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jc w:val="center"/>
      </w:pPr>
      <w:r>
        <w:rPr>
          <w:b/>
          <w:bCs/>
          <w:color w:val="C25E1E"/>
          <w:sz w:val="96"/>
          <w:szCs w:val="96"/>
        </w:rPr>
        <w:t xml:space="preserve">न</w:t>
      </w:r>
    </w:p>
    <w:p>
      <w:pPr>
        <w:spacing w:after="0" w:before="200"/>
        <w:jc w:val="center"/>
      </w:pPr>
      <w:r>
        <w:rPr>
          <w:b/>
          <w:bCs/>
          <w:color w:val="1A1714"/>
          <w:sz w:val="64"/>
          <w:szCs w:val="64"/>
        </w:rPr>
        <w:t xml:space="preserve">NIVESH</w:t>
      </w:r>
    </w:p>
    <w:p>
      <w:pPr>
        <w:spacing w:after="0" w:before="120"/>
        <w:jc w:val="center"/>
      </w:pPr>
      <w:r>
        <w:rPr>
          <w:color w:val="6B6358"/>
          <w:sz w:val="28"/>
          <w:szCs w:val="28"/>
        </w:rPr>
        <w:t xml:space="preserve">AI Copilot for Wealth</w:t>
      </w:r>
    </w:p>
    <w:p>
      <w:pPr>
        <w:spacing w:after="0" w:before="520"/>
        <w:jc w:val="center"/>
      </w:pPr>
      <w:r>
        <w:rPr>
          <w:b/>
          <w:bCs/>
          <w:color w:val="1A1714"/>
          <w:sz w:val="34"/>
          <w:szCs w:val="34"/>
        </w:rPr>
        <w:t xml:space="preserve">Product Requirements Document</w:t>
      </w:r>
    </w:p>
    <w:p>
      <w:pPr>
        <w:spacing w:after="0" w:before="100"/>
        <w:jc w:val="center"/>
      </w:pPr>
      <w:r>
        <w:rPr>
          <w:color w:val="6B6358"/>
          <w:sz w:val="22"/>
          <w:szCs w:val="22"/>
        </w:rPr>
        <w:t xml:space="preserve">Consumer &amp; Advisor Platform  ·  Version 1.0</w:t>
      </w:r>
    </w:p>
    <w:p>
      <w:pPr>
        <w:spacing w:after="0" w:before="1700"/>
        <w:jc w:val="center"/>
      </w:pPr>
      <w:r>
        <w:rPr>
          <w:color w:val="C25E1E"/>
          <w:sz w:val="19"/>
          <w:szCs w:val="19"/>
        </w:rPr>
        <w:t xml:space="preserve">Companion deliverable: nivesh_app.html — clickable 12-screen prototype</w:t>
      </w:r>
    </w:p>
    <w:p>
      <w:pPr>
        <w:spacing w:after="0" w:before="80"/>
        <w:jc w:val="center"/>
      </w:pPr>
      <w:r>
        <w:rPr>
          <w:color w:val="6B6358"/>
          <w:sz w:val="18"/>
          <w:szCs w:val="18"/>
        </w:rPr>
        <w:t xml:space="preserve">Prepared May 2026  ·  Confidential</w:t>
      </w:r>
    </w:p>
    <w:p>
      <w:r>
        <w:br w:type="page"/>
      </w:r>
    </w:p>
    <w:p>
      <w:pPr>
        <w:pStyle w:val="Heading1"/>
      </w:pPr>
      <w: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88"/>
      </w:pPr>
      <w:r>
        <w:t xml:space="preserve">Nivesh is an AI-copilot wealth platform for Indian retail investors and the advisors who serve them. It answers a question most investors cannot answer today: </w:t>
      </w:r>
      <w:r>
        <w:rPr>
          <w:b/>
          <w:bCs/>
        </w:rPr>
        <w:t xml:space="preserve">is my portfolio actually healthy, and if not, what should I do about it?</w:t>
      </w:r>
    </w:p>
    <w:p>
      <w:pPr>
        <w:spacing w:after="120" w:line="288"/>
      </w:pPr>
      <w:r>
        <w:t xml:space="preserve">Indian households hold a growing share of their savings in mutual funds and direct equity, but the tools available to them stop at reporting. They show </w:t>
      </w:r>
      <w:r>
        <w:rPr>
          <w:b/>
          <w:bCs/>
        </w:rPr>
        <w:t xml:space="preserve">what</w:t>
      </w:r>
      <w:r>
        <w:t xml:space="preserve"> a portfolio contains; they rarely explain </w:t>
      </w:r>
      <w:r>
        <w:rPr>
          <w:b/>
          <w:bCs/>
        </w:rPr>
        <w:t xml:space="preserve">whether that is wise</w:t>
      </w:r>
      <w:r>
        <w:t xml:space="preserve">. Nivesh closes that gap. It imports a portfolio in seconds, scores its health across twenty diagnostic checks, explains every finding in plain language, and recommends specific, ranked actions — naming the exact stock or fund to buy, trim, switch, or hold.</w:t>
      </w:r>
    </w:p>
    <w:p>
      <w:pPr>
        <w:spacing w:after="120" w:line="288"/>
      </w:pPr>
      <w:r>
        <w:t xml:space="preserve">The product has two faces built on one engine. The </w:t>
      </w:r>
      <w:r>
        <w:rPr>
          <w:b/>
          <w:bCs/>
        </w:rPr>
        <w:t xml:space="preserve">client experience</w:t>
      </w:r>
      <w:r>
        <w:t xml:space="preserve"> is a chat-first copilot: the conversation is home, insight cards surface in the thread, and six analytical dashboards sit one tap away. The </w:t>
      </w:r>
      <w:r>
        <w:rPr>
          <w:b/>
          <w:bCs/>
        </w:rPr>
        <w:t xml:space="preserve">advisor experience</w:t>
      </w:r>
      <w:r>
        <w:t xml:space="preserve"> is the same intelligence inverted into a book view — every client triaged by who needs attention, a per-client 360, and an operational SIP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25E1E" w:sz="18"/>
              <w:bottom w:val="none"/>
              <w:right w:val="none"/>
            </w:tcBorders>
            <w:shd w:fill="FBEEE2" w:val="clear"/>
            <w:tcMar>
              <w:top w:type="dxa" w:w="140"/>
              <w:left w:type="dxa" w:w="200"/>
              <w:bottom w:type="dxa" w:w="140"/>
              <w:right w:type="dxa" w:w="200"/>
            </w:tcMar>
          </w:tcPr>
          <w:p>
            <w:pPr>
              <w:spacing w:after="60"/>
            </w:pPr>
            <w:r>
              <w:rPr>
                <w:b/>
                <w:bCs/>
                <w:color w:val="C25E1E"/>
                <w:sz w:val="20"/>
                <w:szCs w:val="20"/>
              </w:rPr>
              <w:t xml:space="preserve">The single sentence</w:t>
            </w:r>
          </w:p>
          <w:p>
            <w:pPr>
              <w:spacing w:after="120" w:line="288"/>
            </w:pPr>
            <w:r>
              <w:rPr>
                <w:i/>
                <w:iCs/>
              </w:rPr>
              <w:t xml:space="preserve">Nivesh tells an investor — in plain words — exactly how healthy their portfolio is, and what to do next; and gives their advisor the same truth, scaled across an entire book.</w:t>
            </w:r>
          </w:p>
        </w:tc>
      </w:tr>
    </w:tbl>
    <w:p>
      <w:pPr>
        <w:spacing w:after="80"/>
      </w:pPr>
      <w:r>
        <w:t xml:space="preserve"/>
      </w:r>
    </w:p>
    <w:p>
      <w:pPr>
        <w:pStyle w:val="Heading2"/>
      </w:pPr>
      <w:r>
        <w:t xml:space="preserve">1.1 What this document covers</w:t>
      </w:r>
    </w:p>
    <w:p>
      <w:pPr>
        <w:spacing w:after="120" w:line="288"/>
      </w:pPr>
      <w:r>
        <w:t xml:space="preserve">This PRD specifies the complete Nivesh product as designed: the vision and goals, the two primary personas, the twenty-insight diagnostic framework, the six analytical dashboards and their action matrices, the portfolio builder, the cross-cutting Plan Board, the advisor tools, onboarding, the three shared engines that guarantee consistency, the design system, and a phased build plan.</w:t>
      </w:r>
    </w:p>
    <w:p>
      <w:pPr>
        <w:spacing w:after="120" w:line="288"/>
      </w:pPr>
      <w:r>
        <w:t xml:space="preserve">It is accompanied by </w:t>
      </w:r>
      <w:r>
        <w:rPr>
          <w:b/>
          <w:bCs/>
        </w:rPr>
        <w:t xml:space="preserve">nivesh_app.html</w:t>
      </w:r>
      <w:r>
        <w:t xml:space="preserve">, a clickable twelve-screen prototype. Every screen described in this document exists in that prototype as a working, navigable mockup. Section 12 maps each PRD section to its prototype screen so the two can be reviewed side by side.</w:t>
      </w:r>
    </w:p>
    <w:p>
      <w:r>
        <w:br w:type="page"/>
      </w:r>
    </w:p>
    <w:p>
      <w:pPr>
        <w:pStyle w:val="Heading1"/>
      </w:pPr>
      <w:r>
        <w:t xml:space="preserve">2. Vision &amp; Goals</w:t>
      </w:r>
    </w:p>
    <w:p>
      <w:pPr>
        <w:pStyle w:val="Heading2"/>
      </w:pPr>
      <w:r>
        <w:t xml:space="preserve">2.1 Problem statement</w:t>
      </w:r>
    </w:p>
    <w:p>
      <w:pPr>
        <w:spacing w:after="120" w:line="288"/>
      </w:pPr>
      <w:r>
        <w:t xml:space="preserve">A typical Indian retail investor accumulates holdings over years — a fund recommended by a friend, a stock bought on a tip, an SIP started and forgotten. The result is rarely a portfolio in any deliberate sense. It is a collection. The investor cannot easily tell whether it is over-concentrated, whether it carries more risk than they intended, whether two of their funds hold the same stocks, or whether they are on track for the goals the money was meant to serve.</w:t>
      </w:r>
    </w:p>
    <w:p>
      <w:pPr>
        <w:spacing w:after="120" w:line="288"/>
      </w:pPr>
      <w:r>
        <w:t xml:space="preserve">Existing apps report holdings and returns. They do not diagnose. The investor is left to interpret raw data they were never equipped to interpret, or to pay for advice they cannot easily verify. Advisors face the mirror problem: managing dozens of clients with no systematic way to know which portfolios have quietly drifted into trouble.</w:t>
      </w:r>
    </w:p>
    <w:p>
      <w:pPr>
        <w:pStyle w:val="Heading2"/>
      </w:pPr>
      <w:r>
        <w:t xml:space="preserve">2.2 Product vision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25E1E" w:sz="18"/>
              <w:bottom w:val="none"/>
              <w:right w:val="none"/>
            </w:tcBorders>
            <w:shd w:fill="FBEEE2" w:val="clear"/>
            <w:tcMar>
              <w:top w:type="dxa" w:w="140"/>
              <w:left w:type="dxa" w:w="200"/>
              <w:bottom w:type="dxa" w:w="140"/>
              <w:right w:type="dxa" w:w="200"/>
            </w:tcMar>
          </w:tcPr>
          <w:p>
            <w:pPr>
              <w:spacing w:after="60"/>
            </w:pPr>
            <w:r>
              <w:rPr>
                <w:b/>
                <w:bCs/>
                <w:color w:val="C25E1E"/>
                <w:sz w:val="20"/>
                <w:szCs w:val="20"/>
              </w:rPr>
              <w:t xml:space="preserve">Vision</w:t>
            </w:r>
          </w:p>
          <w:p>
            <w:pPr>
              <w:spacing w:after="120" w:line="288"/>
            </w:pPr>
            <w:r>
              <w:rPr>
                <w:i/>
                <w:iCs/>
              </w:rPr>
              <w:t xml:space="preserve">Make portfolio health as understandable as a credit score, and make acting on it as simple as accepting a recommendation — for every Indian investor, and for every advisor who guides them.</w:t>
            </w:r>
          </w:p>
        </w:tc>
      </w:tr>
    </w:tbl>
    <w:p>
      <w:pPr>
        <w:spacing w:after="80"/>
      </w:pPr>
      <w:r>
        <w:t xml:space="preserve"/>
      </w:r>
    </w:p>
    <w:p>
      <w:pPr>
        <w:pStyle w:val="Heading2"/>
      </w:pPr>
      <w:r>
        <w:t xml:space="preserve">2.3 Goals</w:t>
      </w:r>
    </w:p>
    <w:p>
      <w:pPr>
        <w:pStyle w:val="Heading3"/>
      </w:pPr>
      <w:r>
        <w:t xml:space="preserve">Product goals</w:t>
      </w:r>
    </w:p>
    <w:p>
      <w:pPr>
        <w:pStyle w:val="ListParagraph"/>
        <w:numPr>
          <w:ilvl w:val="0"/>
          <w:numId w:val="2"/>
        </w:numPr>
        <w:spacing w:after="80" w:line="288"/>
      </w:pPr>
      <w:r>
        <w:rPr>
          <w:b/>
          <w:bCs/>
        </w:rPr>
        <w:t xml:space="preserve">Diagnose. </w:t>
      </w:r>
      <w:r>
        <w:t xml:space="preserve">Convert any imported portfolio into one health score and twenty specific, grounded findings.</w:t>
      </w:r>
    </w:p>
    <w:p>
      <w:pPr>
        <w:pStyle w:val="ListParagraph"/>
        <w:numPr>
          <w:ilvl w:val="0"/>
          <w:numId w:val="2"/>
        </w:numPr>
        <w:spacing w:after="80" w:line="288"/>
      </w:pPr>
      <w:r>
        <w:rPr>
          <w:b/>
          <w:bCs/>
        </w:rPr>
        <w:t xml:space="preserve">Explain. </w:t>
      </w:r>
      <w:r>
        <w:t xml:space="preserve">State every finding in plain language a non-expert understands, with the actual number that triggered it.</w:t>
      </w:r>
    </w:p>
    <w:p>
      <w:pPr>
        <w:pStyle w:val="ListParagraph"/>
        <w:numPr>
          <w:ilvl w:val="0"/>
          <w:numId w:val="2"/>
        </w:numPr>
        <w:spacing w:after="80" w:line="288"/>
      </w:pPr>
      <w:r>
        <w:rPr>
          <w:b/>
          <w:bCs/>
        </w:rPr>
        <w:t xml:space="preserve">Prescribe. </w:t>
      </w:r>
      <w:r>
        <w:t xml:space="preserve">For each finding, offer ranked actions naming the exact instrument and the trade-off involved.</w:t>
      </w:r>
    </w:p>
    <w:p>
      <w:pPr>
        <w:pStyle w:val="ListParagraph"/>
        <w:numPr>
          <w:ilvl w:val="0"/>
          <w:numId w:val="2"/>
        </w:numPr>
        <w:spacing w:after="80" w:line="288"/>
      </w:pPr>
      <w:r>
        <w:rPr>
          <w:b/>
          <w:bCs/>
        </w:rPr>
        <w:t xml:space="preserve">Construct. </w:t>
      </w:r>
      <w:r>
        <w:t xml:space="preserve">Let a client build a new goal-aligned portfolio from their risk profile, income, and horizon.</w:t>
      </w:r>
    </w:p>
    <w:p>
      <w:pPr>
        <w:pStyle w:val="ListParagraph"/>
        <w:numPr>
          <w:ilvl w:val="0"/>
          <w:numId w:val="2"/>
        </w:numPr>
        <w:spacing w:after="80" w:line="288"/>
      </w:pPr>
      <w:r>
        <w:rPr>
          <w:b/>
          <w:bCs/>
        </w:rPr>
        <w:t xml:space="preserve">Scale to advisors. </w:t>
      </w:r>
      <w:r>
        <w:t xml:space="preserve">Give advisors the same intelligence as a triaged book, a per-client 360, and an operations board.</w:t>
      </w:r>
    </w:p>
    <w:p>
      <w:pPr>
        <w:pStyle w:val="Heading3"/>
      </w:pPr>
      <w:r>
        <w:t xml:space="preserve">Design principles</w:t>
      </w:r>
    </w:p>
    <w:p>
      <w:pPr>
        <w:pStyle w:val="ListParagraph"/>
        <w:numPr>
          <w:ilvl w:val="0"/>
          <w:numId w:val="2"/>
        </w:numPr>
        <w:spacing w:after="80" w:line="288"/>
      </w:pPr>
      <w:r>
        <w:rPr>
          <w:b/>
          <w:bCs/>
        </w:rPr>
        <w:t xml:space="preserve">Grounded, never invented. </w:t>
      </w:r>
      <w:r>
        <w:t xml:space="preserve">Every figure traces to the client's own data. The product never fabricates a number.</w:t>
      </w:r>
    </w:p>
    <w:p>
      <w:pPr>
        <w:pStyle w:val="ListParagraph"/>
        <w:numPr>
          <w:ilvl w:val="0"/>
          <w:numId w:val="2"/>
        </w:numPr>
        <w:spacing w:after="80" w:line="288"/>
      </w:pPr>
      <w:r>
        <w:rPr>
          <w:b/>
          <w:bCs/>
        </w:rPr>
        <w:t xml:space="preserve">Honest over flattering. </w:t>
      </w:r>
      <w:r>
        <w:t xml:space="preserve">Nivesh shows red when the math is red. A tool that always reassures is worthless.</w:t>
      </w:r>
    </w:p>
    <w:p>
      <w:pPr>
        <w:pStyle w:val="ListParagraph"/>
        <w:numPr>
          <w:ilvl w:val="0"/>
          <w:numId w:val="2"/>
        </w:numPr>
        <w:spacing w:after="80" w:line="288"/>
      </w:pPr>
      <w:r>
        <w:rPr>
          <w:b/>
          <w:bCs/>
        </w:rPr>
        <w:t xml:space="preserve">Propose, never execute silently. </w:t>
      </w:r>
      <w:r>
        <w:t xml:space="preserve">The system recommends; the human decides and acts. This keeps the SEBI line clean.</w:t>
      </w:r>
    </w:p>
    <w:p>
      <w:pPr>
        <w:pStyle w:val="ListParagraph"/>
        <w:numPr>
          <w:ilvl w:val="0"/>
          <w:numId w:val="2"/>
        </w:numPr>
        <w:spacing w:after="80" w:line="288"/>
      </w:pPr>
      <w:r>
        <w:rPr>
          <w:b/>
          <w:bCs/>
        </w:rPr>
        <w:t xml:space="preserve">One truth, two audiences. </w:t>
      </w:r>
      <w:r>
        <w:t xml:space="preserve">The health score a client sees is the identical number their advisor sees.</w:t>
      </w:r>
    </w:p>
    <w:p>
      <w:pPr>
        <w:pStyle w:val="Heading2"/>
      </w:pPr>
      <w:r>
        <w:t xml:space="preserve">2.4 Non-goals (v1)</w:t>
      </w:r>
    </w:p>
    <w:p>
      <w:pPr>
        <w:pStyle w:val="ListParagraph"/>
        <w:numPr>
          <w:ilvl w:val="0"/>
          <w:numId w:val="2"/>
        </w:numPr>
        <w:spacing w:after="80" w:line="288"/>
      </w:pPr>
      <w:r>
        <w:t xml:space="preserve">Nivesh does not execute trades or place orders. It is a diagnostic and advisory layer, not a broker.</w:t>
      </w:r>
    </w:p>
    <w:p>
      <w:pPr>
        <w:pStyle w:val="ListParagraph"/>
        <w:numPr>
          <w:ilvl w:val="0"/>
          <w:numId w:val="2"/>
        </w:numPr>
        <w:spacing w:after="80" w:line="288"/>
      </w:pPr>
      <w:r>
        <w:t xml:space="preserve">Nivesh does not hold custody of assets or money.</w:t>
      </w:r>
    </w:p>
    <w:p>
      <w:pPr>
        <w:pStyle w:val="ListParagraph"/>
        <w:numPr>
          <w:ilvl w:val="0"/>
          <w:numId w:val="2"/>
        </w:numPr>
        <w:spacing w:after="80" w:line="288"/>
      </w:pPr>
      <w:r>
        <w:t xml:space="preserve">Nivesh does not auto-rebalance. Every change is a human-accepted action.</w:t>
      </w:r>
    </w:p>
    <w:p>
      <w:r>
        <w:br w:type="page"/>
      </w:r>
    </w:p>
    <w:p>
      <w:pPr>
        <w:pStyle w:val="Heading1"/>
      </w:pPr>
      <w:r>
        <w:t xml:space="preserve">3. Target Users &amp; Personas</w:t>
      </w:r>
    </w:p>
    <w:p>
      <w:pPr>
        <w:spacing w:after="120" w:line="288"/>
      </w:pPr>
      <w:r>
        <w:t xml:space="preserve">Nivesh serves two primary personas. Both bind to the same underlying engine; the product surface differs because their jobs differ.</w:t>
      </w:r>
    </w:p>
    <w:p>
      <w:pPr>
        <w:spacing w:after="80"/>
      </w:pPr>
      <w:r>
        <w:t xml:space="preserve"/>
      </w:r>
    </w:p>
    <w:p>
      <w:pPr>
        <w:pStyle w:val="Heading2"/>
      </w:pPr>
      <w:r>
        <w:t xml:space="preserve">3.1 Persona A — The retail investor</w:t>
      </w:r>
    </w:p>
    <w:tbl>
      <w:tblPr>
        <w:tblW w:type="dxa" w:w="9360"/>
        <w:tblBorders>
          <w:top w:val="single" w:color="CCC6BA" w:sz="1"/>
          <w:left w:val="single" w:color="CCC6BA" w:sz="1"/>
          <w:bottom w:val="single" w:color="CCC6BA" w:sz="1"/>
          <w:right w:val="single" w:color="CCC6BA" w:sz="1"/>
          <w:insideH w:val="single" w:color="CCC6BA" w:sz="1"/>
          <w:insideV w:val="single" w:color="CCC6BA" w:sz="1"/>
        </w:tblBorders>
      </w:tblPr>
      <w:tblGrid>
        <w:gridCol w:w="2400"/>
        <w:gridCol w:w="6960"/>
      </w:tblGrid>
      <w:tr>
        <w:trPr>
          <w:tblHeader/>
        </w:trPr>
        <w:tc>
          <w:tcPr>
            <w:tcW w:type="dxa" w:w="2400"/>
            <w:shd w:fill="2A2620" w:val="clear"/>
            <w:tcMar>
              <w:top w:type="dxa" w:w="90"/>
              <w:left w:type="dxa" w:w="130"/>
              <w:bottom w:type="dxa" w:w="90"/>
              <w:right w:type="dxa" w:w="130"/>
            </w:tcMar>
            <w:vAlign w:val="center"/>
          </w:tcPr>
          <w:p>
            <w:r>
              <w:rPr>
                <w:b/>
                <w:bCs/>
                <w:color w:val="FFFFFF"/>
                <w:sz w:val="19"/>
                <w:szCs w:val="19"/>
              </w:rPr>
              <w:t xml:space="preserve">Attribute</w:t>
            </w:r>
          </w:p>
        </w:tc>
        <w:tc>
          <w:tcPr>
            <w:tcW w:type="dxa" w:w="6960"/>
            <w:shd w:fill="2A2620" w:val="clear"/>
            <w:tcMar>
              <w:top w:type="dxa" w:w="90"/>
              <w:left w:type="dxa" w:w="130"/>
              <w:bottom w:type="dxa" w:w="90"/>
              <w:right w:type="dxa" w:w="130"/>
            </w:tcMar>
            <w:vAlign w:val="center"/>
          </w:tcPr>
          <w:p>
            <w:r>
              <w:rPr>
                <w:b/>
                <w:bCs/>
                <w:color w:val="FFFFFF"/>
                <w:sz w:val="19"/>
                <w:szCs w:val="19"/>
              </w:rPr>
              <w:t xml:space="preserve">Detail</w:t>
            </w:r>
          </w:p>
        </w:tc>
      </w:tr>
      <w:tr>
        <w:tc>
          <w:tcPr>
            <w:tcW w:type="dxa" w:w="2400"/>
            <w:shd w:fill="FFFFFF" w:val="clear"/>
            <w:tcMar>
              <w:top w:type="dxa" w:w="80"/>
              <w:left w:type="dxa" w:w="130"/>
              <w:bottom w:type="dxa" w:w="80"/>
              <w:right w:type="dxa" w:w="130"/>
            </w:tcMar>
            <w:vAlign w:val="center"/>
          </w:tcPr>
          <w:p>
            <w:pPr>
              <w:spacing w:after="40" w:line="264"/>
            </w:pPr>
            <w:r>
              <w:rPr>
                <w:sz w:val="18"/>
                <w:szCs w:val="18"/>
              </w:rPr>
              <w:t xml:space="preserve">Who</w:t>
            </w:r>
          </w:p>
        </w:tc>
        <w:tc>
          <w:tcPr>
            <w:tcW w:type="dxa" w:w="6960"/>
            <w:shd w:fill="FFFFFF" w:val="clear"/>
            <w:tcMar>
              <w:top w:type="dxa" w:w="80"/>
              <w:left w:type="dxa" w:w="130"/>
              <w:bottom w:type="dxa" w:w="80"/>
              <w:right w:type="dxa" w:w="130"/>
            </w:tcMar>
            <w:vAlign w:val="center"/>
          </w:tcPr>
          <w:p>
            <w:pPr>
              <w:spacing w:after="40" w:line="264"/>
            </w:pPr>
            <w:r>
              <w:rPr>
                <w:sz w:val="18"/>
                <w:szCs w:val="18"/>
              </w:rPr>
              <w:t xml:space="preserve">Indian retail investor, 28–50, salaried or self-employed. Holds mutual funds and often direct stocks.</w:t>
            </w:r>
          </w:p>
        </w:tc>
      </w:tr>
      <w:tr>
        <w:tc>
          <w:tcPr>
            <w:tcW w:type="dxa" w:w="2400"/>
            <w:shd w:fill="F4F1EA" w:val="clear"/>
            <w:tcMar>
              <w:top w:type="dxa" w:w="80"/>
              <w:left w:type="dxa" w:w="130"/>
              <w:bottom w:type="dxa" w:w="80"/>
              <w:right w:type="dxa" w:w="130"/>
            </w:tcMar>
            <w:vAlign w:val="center"/>
          </w:tcPr>
          <w:p>
            <w:pPr>
              <w:spacing w:after="40" w:line="264"/>
            </w:pPr>
            <w:r>
              <w:rPr>
                <w:sz w:val="18"/>
                <w:szCs w:val="18"/>
              </w:rPr>
              <w:t xml:space="preserve">Context</w:t>
            </w:r>
          </w:p>
        </w:tc>
        <w:tc>
          <w:tcPr>
            <w:tcW w:type="dxa" w:w="6960"/>
            <w:shd w:fill="F4F1EA" w:val="clear"/>
            <w:tcMar>
              <w:top w:type="dxa" w:w="80"/>
              <w:left w:type="dxa" w:w="130"/>
              <w:bottom w:type="dxa" w:w="80"/>
              <w:right w:type="dxa" w:w="130"/>
            </w:tcMar>
            <w:vAlign w:val="center"/>
          </w:tcPr>
          <w:p>
            <w:pPr>
              <w:spacing w:after="40" w:line="264"/>
            </w:pPr>
            <w:r>
              <w:rPr>
                <w:sz w:val="18"/>
                <w:szCs w:val="18"/>
              </w:rPr>
              <w:t xml:space="preserve">Has invested for years across multiple apps and AMCs. Holdings accumulated, not designed.</w:t>
            </w:r>
          </w:p>
        </w:tc>
      </w:tr>
      <w:tr>
        <w:tc>
          <w:tcPr>
            <w:tcW w:type="dxa" w:w="2400"/>
            <w:shd w:fill="FFFFFF" w:val="clear"/>
            <w:tcMar>
              <w:top w:type="dxa" w:w="80"/>
              <w:left w:type="dxa" w:w="130"/>
              <w:bottom w:type="dxa" w:w="80"/>
              <w:right w:type="dxa" w:w="130"/>
            </w:tcMar>
            <w:vAlign w:val="center"/>
          </w:tcPr>
          <w:p>
            <w:pPr>
              <w:spacing w:after="40" w:line="264"/>
            </w:pPr>
            <w:r>
              <w:rPr>
                <w:sz w:val="18"/>
                <w:szCs w:val="18"/>
              </w:rPr>
              <w:t xml:space="preserve">Frustration</w:t>
            </w:r>
          </w:p>
        </w:tc>
        <w:tc>
          <w:tcPr>
            <w:tcW w:type="dxa" w:w="6960"/>
            <w:shd w:fill="FFFFFF" w:val="clear"/>
            <w:tcMar>
              <w:top w:type="dxa" w:w="80"/>
              <w:left w:type="dxa" w:w="130"/>
              <w:bottom w:type="dxa" w:w="80"/>
              <w:right w:type="dxa" w:w="130"/>
            </w:tcMar>
            <w:vAlign w:val="center"/>
          </w:tcPr>
          <w:p>
            <w:pPr>
              <w:spacing w:after="40" w:line="264"/>
            </w:pPr>
            <w:r>
              <w:rPr>
                <w:sz w:val="18"/>
                <w:szCs w:val="18"/>
              </w:rPr>
              <w:t xml:space="preserve">Cannot tell if the portfolio is healthy, too risky, or on track. Reporting tools do not diagnose.</w:t>
            </w:r>
          </w:p>
        </w:tc>
      </w:tr>
      <w:tr>
        <w:tc>
          <w:tcPr>
            <w:tcW w:type="dxa" w:w="2400"/>
            <w:shd w:fill="F4F1EA" w:val="clear"/>
            <w:tcMar>
              <w:top w:type="dxa" w:w="80"/>
              <w:left w:type="dxa" w:w="130"/>
              <w:bottom w:type="dxa" w:w="80"/>
              <w:right w:type="dxa" w:w="130"/>
            </w:tcMar>
            <w:vAlign w:val="center"/>
          </w:tcPr>
          <w:p>
            <w:pPr>
              <w:spacing w:after="40" w:line="264"/>
            </w:pPr>
            <w:r>
              <w:rPr>
                <w:sz w:val="18"/>
                <w:szCs w:val="18"/>
              </w:rPr>
              <w:t xml:space="preserve">Goal</w:t>
            </w:r>
          </w:p>
        </w:tc>
        <w:tc>
          <w:tcPr>
            <w:tcW w:type="dxa" w:w="6960"/>
            <w:shd w:fill="F4F1EA" w:val="clear"/>
            <w:tcMar>
              <w:top w:type="dxa" w:w="80"/>
              <w:left w:type="dxa" w:w="130"/>
              <w:bottom w:type="dxa" w:w="80"/>
              <w:right w:type="dxa" w:w="130"/>
            </w:tcMar>
            <w:vAlign w:val="center"/>
          </w:tcPr>
          <w:p>
            <w:pPr>
              <w:spacing w:after="40" w:line="264"/>
            </w:pPr>
            <w:r>
              <w:rPr>
                <w:sz w:val="18"/>
                <w:szCs w:val="18"/>
              </w:rPr>
              <w:t xml:space="preserve">A clear verdict on portfolio health and a short list of concrete things to do about it.</w:t>
            </w:r>
          </w:p>
        </w:tc>
      </w:tr>
      <w:tr>
        <w:tc>
          <w:tcPr>
            <w:tcW w:type="dxa" w:w="2400"/>
            <w:shd w:fill="FFFFFF" w:val="clear"/>
            <w:tcMar>
              <w:top w:type="dxa" w:w="80"/>
              <w:left w:type="dxa" w:w="130"/>
              <w:bottom w:type="dxa" w:w="80"/>
              <w:right w:type="dxa" w:w="130"/>
            </w:tcMar>
            <w:vAlign w:val="center"/>
          </w:tcPr>
          <w:p>
            <w:pPr>
              <w:spacing w:after="40" w:line="264"/>
            </w:pPr>
            <w:r>
              <w:rPr>
                <w:sz w:val="18"/>
                <w:szCs w:val="18"/>
              </w:rPr>
              <w:t xml:space="preserve">Success</w:t>
            </w:r>
          </w:p>
        </w:tc>
        <w:tc>
          <w:tcPr>
            <w:tcW w:type="dxa" w:w="6960"/>
            <w:shd w:fill="FFFFFF" w:val="clear"/>
            <w:tcMar>
              <w:top w:type="dxa" w:w="80"/>
              <w:left w:type="dxa" w:w="130"/>
              <w:bottom w:type="dxa" w:w="80"/>
              <w:right w:type="dxa" w:w="130"/>
            </w:tcMar>
            <w:vAlign w:val="center"/>
          </w:tcPr>
          <w:p>
            <w:pPr>
              <w:spacing w:after="40" w:line="264"/>
            </w:pPr>
            <w:r>
              <w:rPr>
                <w:sz w:val="18"/>
                <w:szCs w:val="18"/>
              </w:rPr>
              <w:t xml:space="preserve">Opens Nivesh, understands their score in 30 seconds, accepts one or two actions with confidence.</w:t>
            </w:r>
          </w:p>
        </w:tc>
      </w:tr>
    </w:tbl>
    <w:p>
      <w:pPr>
        <w:spacing w:after="80"/>
      </w:pPr>
      <w:r>
        <w:t xml:space="preserve"/>
      </w:r>
    </w:p>
    <w:p>
      <w:pPr>
        <w:pStyle w:val="Heading2"/>
      </w:pPr>
      <w:r>
        <w:t xml:space="preserve">3.2 Persona B — The advisor / Relationship Manager</w:t>
      </w:r>
    </w:p>
    <w:tbl>
      <w:tblPr>
        <w:tblW w:type="dxa" w:w="9360"/>
        <w:tblBorders>
          <w:top w:val="single" w:color="CCC6BA" w:sz="1"/>
          <w:left w:val="single" w:color="CCC6BA" w:sz="1"/>
          <w:bottom w:val="single" w:color="CCC6BA" w:sz="1"/>
          <w:right w:val="single" w:color="CCC6BA" w:sz="1"/>
          <w:insideH w:val="single" w:color="CCC6BA" w:sz="1"/>
          <w:insideV w:val="single" w:color="CCC6BA" w:sz="1"/>
        </w:tblBorders>
      </w:tblPr>
      <w:tblGrid>
        <w:gridCol w:w="2400"/>
        <w:gridCol w:w="6960"/>
      </w:tblGrid>
      <w:tr>
        <w:trPr>
          <w:tblHeader/>
        </w:trPr>
        <w:tc>
          <w:tcPr>
            <w:tcW w:type="dxa" w:w="2400"/>
            <w:shd w:fill="2A2620" w:val="clear"/>
            <w:tcMar>
              <w:top w:type="dxa" w:w="90"/>
              <w:left w:type="dxa" w:w="130"/>
              <w:bottom w:type="dxa" w:w="90"/>
              <w:right w:type="dxa" w:w="130"/>
            </w:tcMar>
            <w:vAlign w:val="center"/>
          </w:tcPr>
          <w:p>
            <w:r>
              <w:rPr>
                <w:b/>
                <w:bCs/>
                <w:color w:val="FFFFFF"/>
                <w:sz w:val="19"/>
                <w:szCs w:val="19"/>
              </w:rPr>
              <w:t xml:space="preserve">Attribute</w:t>
            </w:r>
          </w:p>
        </w:tc>
        <w:tc>
          <w:tcPr>
            <w:tcW w:type="dxa" w:w="6960"/>
            <w:shd w:fill="2A2620" w:val="clear"/>
            <w:tcMar>
              <w:top w:type="dxa" w:w="90"/>
              <w:left w:type="dxa" w:w="130"/>
              <w:bottom w:type="dxa" w:w="90"/>
              <w:right w:type="dxa" w:w="130"/>
            </w:tcMar>
            <w:vAlign w:val="center"/>
          </w:tcPr>
          <w:p>
            <w:r>
              <w:rPr>
                <w:b/>
                <w:bCs/>
                <w:color w:val="FFFFFF"/>
                <w:sz w:val="19"/>
                <w:szCs w:val="19"/>
              </w:rPr>
              <w:t xml:space="preserve">Detail</w:t>
            </w:r>
          </w:p>
        </w:tc>
      </w:tr>
      <w:tr>
        <w:tc>
          <w:tcPr>
            <w:tcW w:type="dxa" w:w="2400"/>
            <w:shd w:fill="FFFFFF" w:val="clear"/>
            <w:tcMar>
              <w:top w:type="dxa" w:w="80"/>
              <w:left w:type="dxa" w:w="130"/>
              <w:bottom w:type="dxa" w:w="80"/>
              <w:right w:type="dxa" w:w="130"/>
            </w:tcMar>
            <w:vAlign w:val="center"/>
          </w:tcPr>
          <w:p>
            <w:pPr>
              <w:spacing w:after="40" w:line="264"/>
            </w:pPr>
            <w:r>
              <w:rPr>
                <w:sz w:val="18"/>
                <w:szCs w:val="18"/>
              </w:rPr>
              <w:t xml:space="preserve">Who</w:t>
            </w:r>
          </w:p>
        </w:tc>
        <w:tc>
          <w:tcPr>
            <w:tcW w:type="dxa" w:w="6960"/>
            <w:shd w:fill="FFFFFF" w:val="clear"/>
            <w:tcMar>
              <w:top w:type="dxa" w:w="80"/>
              <w:left w:type="dxa" w:w="130"/>
              <w:bottom w:type="dxa" w:w="80"/>
              <w:right w:type="dxa" w:w="130"/>
            </w:tcMar>
            <w:vAlign w:val="center"/>
          </w:tcPr>
          <w:p>
            <w:pPr>
              <w:spacing w:after="40" w:line="264"/>
            </w:pPr>
            <w:r>
              <w:rPr>
                <w:sz w:val="18"/>
                <w:szCs w:val="18"/>
              </w:rPr>
              <w:t xml:space="preserve">SEBI-registered advisor or RM managing a book of 20–200 client portfolios.</w:t>
            </w:r>
          </w:p>
        </w:tc>
      </w:tr>
      <w:tr>
        <w:tc>
          <w:tcPr>
            <w:tcW w:type="dxa" w:w="2400"/>
            <w:shd w:fill="F4F1EA" w:val="clear"/>
            <w:tcMar>
              <w:top w:type="dxa" w:w="80"/>
              <w:left w:type="dxa" w:w="130"/>
              <w:bottom w:type="dxa" w:w="80"/>
              <w:right w:type="dxa" w:w="130"/>
            </w:tcMar>
            <w:vAlign w:val="center"/>
          </w:tcPr>
          <w:p>
            <w:pPr>
              <w:spacing w:after="40" w:line="264"/>
            </w:pPr>
            <w:r>
              <w:rPr>
                <w:sz w:val="18"/>
                <w:szCs w:val="18"/>
              </w:rPr>
              <w:t xml:space="preserve">Context</w:t>
            </w:r>
          </w:p>
        </w:tc>
        <w:tc>
          <w:tcPr>
            <w:tcW w:type="dxa" w:w="6960"/>
            <w:shd w:fill="F4F1EA" w:val="clear"/>
            <w:tcMar>
              <w:top w:type="dxa" w:w="80"/>
              <w:left w:type="dxa" w:w="130"/>
              <w:bottom w:type="dxa" w:w="80"/>
              <w:right w:type="dxa" w:w="130"/>
            </w:tcMar>
            <w:vAlign w:val="center"/>
          </w:tcPr>
          <w:p>
            <w:pPr>
              <w:spacing w:after="40" w:line="264"/>
            </w:pPr>
            <w:r>
              <w:rPr>
                <w:sz w:val="18"/>
                <w:szCs w:val="18"/>
              </w:rPr>
              <w:t xml:space="preserve">Responsible for portfolio health and the client relationship. Reviews are periodic; problems are not.</w:t>
            </w:r>
          </w:p>
        </w:tc>
      </w:tr>
      <w:tr>
        <w:tc>
          <w:tcPr>
            <w:tcW w:type="dxa" w:w="2400"/>
            <w:shd w:fill="FFFFFF" w:val="clear"/>
            <w:tcMar>
              <w:top w:type="dxa" w:w="80"/>
              <w:left w:type="dxa" w:w="130"/>
              <w:bottom w:type="dxa" w:w="80"/>
              <w:right w:type="dxa" w:w="130"/>
            </w:tcMar>
            <w:vAlign w:val="center"/>
          </w:tcPr>
          <w:p>
            <w:pPr>
              <w:spacing w:after="40" w:line="264"/>
            </w:pPr>
            <w:r>
              <w:rPr>
                <w:sz w:val="18"/>
                <w:szCs w:val="18"/>
              </w:rPr>
              <w:t xml:space="preserve">Frustration</w:t>
            </w:r>
          </w:p>
        </w:tc>
        <w:tc>
          <w:tcPr>
            <w:tcW w:type="dxa" w:w="6960"/>
            <w:shd w:fill="FFFFFF" w:val="clear"/>
            <w:tcMar>
              <w:top w:type="dxa" w:w="80"/>
              <w:left w:type="dxa" w:w="130"/>
              <w:bottom w:type="dxa" w:w="80"/>
              <w:right w:type="dxa" w:w="130"/>
            </w:tcMar>
            <w:vAlign w:val="center"/>
          </w:tcPr>
          <w:p>
            <w:pPr>
              <w:spacing w:after="40" w:line="264"/>
            </w:pPr>
            <w:r>
              <w:rPr>
                <w:sz w:val="18"/>
                <w:szCs w:val="18"/>
              </w:rPr>
              <w:t xml:space="preserve">No systematic way to know which clients have drifted into trouble between scheduled reviews.</w:t>
            </w:r>
          </w:p>
        </w:tc>
      </w:tr>
      <w:tr>
        <w:tc>
          <w:tcPr>
            <w:tcW w:type="dxa" w:w="2400"/>
            <w:shd w:fill="F4F1EA" w:val="clear"/>
            <w:tcMar>
              <w:top w:type="dxa" w:w="80"/>
              <w:left w:type="dxa" w:w="130"/>
              <w:bottom w:type="dxa" w:w="80"/>
              <w:right w:type="dxa" w:w="130"/>
            </w:tcMar>
            <w:vAlign w:val="center"/>
          </w:tcPr>
          <w:p>
            <w:pPr>
              <w:spacing w:after="40" w:line="264"/>
            </w:pPr>
            <w:r>
              <w:rPr>
                <w:sz w:val="18"/>
                <w:szCs w:val="18"/>
              </w:rPr>
              <w:t xml:space="preserve">Goal</w:t>
            </w:r>
          </w:p>
        </w:tc>
        <w:tc>
          <w:tcPr>
            <w:tcW w:type="dxa" w:w="6960"/>
            <w:shd w:fill="F4F1EA" w:val="clear"/>
            <w:tcMar>
              <w:top w:type="dxa" w:w="80"/>
              <w:left w:type="dxa" w:w="130"/>
              <w:bottom w:type="dxa" w:w="80"/>
              <w:right w:type="dxa" w:w="130"/>
            </w:tcMar>
            <w:vAlign w:val="center"/>
          </w:tcPr>
          <w:p>
            <w:pPr>
              <w:spacing w:after="40" w:line="264"/>
            </w:pPr>
            <w:r>
              <w:rPr>
                <w:sz w:val="18"/>
                <w:szCs w:val="18"/>
              </w:rPr>
              <w:t xml:space="preserve">Walk in each day to a triaged list — who needs attention, who is healthy, what is time-bound.</w:t>
            </w:r>
          </w:p>
        </w:tc>
      </w:tr>
      <w:tr>
        <w:tc>
          <w:tcPr>
            <w:tcW w:type="dxa" w:w="2400"/>
            <w:shd w:fill="FFFFFF" w:val="clear"/>
            <w:tcMar>
              <w:top w:type="dxa" w:w="80"/>
              <w:left w:type="dxa" w:w="130"/>
              <w:bottom w:type="dxa" w:w="80"/>
              <w:right w:type="dxa" w:w="130"/>
            </w:tcMar>
            <w:vAlign w:val="center"/>
          </w:tcPr>
          <w:p>
            <w:pPr>
              <w:spacing w:after="40" w:line="264"/>
            </w:pPr>
            <w:r>
              <w:rPr>
                <w:sz w:val="18"/>
                <w:szCs w:val="18"/>
              </w:rPr>
              <w:t xml:space="preserve">Success</w:t>
            </w:r>
          </w:p>
        </w:tc>
        <w:tc>
          <w:tcPr>
            <w:tcW w:type="dxa" w:w="6960"/>
            <w:shd w:fill="FFFFFF" w:val="clear"/>
            <w:tcMar>
              <w:top w:type="dxa" w:w="80"/>
              <w:left w:type="dxa" w:w="130"/>
              <w:bottom w:type="dxa" w:w="80"/>
              <w:right w:type="dxa" w:w="130"/>
            </w:tcMar>
            <w:vAlign w:val="center"/>
          </w:tcPr>
          <w:p>
            <w:pPr>
              <w:spacing w:after="40" w:line="264"/>
            </w:pPr>
            <w:r>
              <w:rPr>
                <w:sz w:val="18"/>
                <w:szCs w:val="18"/>
              </w:rPr>
              <w:t xml:space="preserve">Spends time on the clients who need it, never blindsided by a problem they could have caught.</w:t>
            </w:r>
          </w:p>
        </w:tc>
      </w:tr>
    </w:tbl>
    <w:p>
      <w:pPr>
        <w:spacing w:after="80"/>
      </w:pPr>
      <w:r>
        <w:t xml:space="preserve"/>
      </w:r>
    </w:p>
    <w:p>
      <w:pPr>
        <w:pStyle w:val="Heading2"/>
      </w:pPr>
      <w:r>
        <w:t xml:space="preserve">3.3 How the two relate</w:t>
      </w:r>
    </w:p>
    <w:p>
      <w:pPr>
        <w:spacing w:after="120" w:line="288"/>
      </w:pPr>
      <w:r>
        <w:t xml:space="preserve">The advisor product is the client product </w:t>
      </w:r>
      <w:r>
        <w:rPr>
          <w:b/>
          <w:bCs/>
        </w:rPr>
        <w:t xml:space="preserve">inverted</w:t>
      </w:r>
      <w:r>
        <w:t xml:space="preserve">. The client sees one portfolio in depth; the advisor sees many portfolios at a glance and drills into one. Crucially, the advisor never edits a client's plan silently — advisor-side actions read </w:t>
      </w:r>
      <w:r>
        <w:rPr>
          <w:b/>
          <w:bCs/>
        </w:rPr>
        <w:t xml:space="preserve">Discuss</w:t>
      </w:r>
      <w:r>
        <w:t xml:space="preserve">, not </w:t>
      </w:r>
      <w:r>
        <w:rPr>
          <w:b/>
          <w:bCs/>
        </w:rPr>
        <w:t xml:space="preserve">Accept</w:t>
      </w:r>
      <w:r>
        <w:t xml:space="preserve">. The advisor proposes; the client decides. This preserves the regulatory boundary and the client's ownership of their own money.</w:t>
      </w:r>
    </w:p>
    <w:p>
      <w:r>
        <w:br w:type="page"/>
      </w:r>
    </w:p>
    <w:p>
      <w:pPr>
        <w:pStyle w:val="Heading1"/>
      </w:pPr>
      <w:r>
        <w:t xml:space="preserve">4. Product Architecture</w:t>
      </w:r>
    </w:p>
    <w:p>
      <w:pPr>
        <w:pStyle w:val="Heading2"/>
      </w:pPr>
      <w:r>
        <w:t xml:space="preserve">4.1 The chat-first model</w:t>
      </w:r>
    </w:p>
    <w:p>
      <w:pPr>
        <w:spacing w:after="120" w:line="288"/>
      </w:pPr>
      <w:r>
        <w:t xml:space="preserve">Nivesh's client experience is organised in three layers, not as a traditional screen hierarchy:</w:t>
      </w:r>
    </w:p>
    <w:p>
      <w:pPr>
        <w:pStyle w:val="ListParagraph"/>
        <w:numPr>
          <w:ilvl w:val="0"/>
          <w:numId w:val="3"/>
        </w:numPr>
        <w:spacing w:after="80" w:line="288"/>
      </w:pPr>
      <w:r>
        <w:rPr>
          <w:b/>
          <w:bCs/>
        </w:rPr>
        <w:t xml:space="preserve">The conversation is home. </w:t>
      </w:r>
      <w:r>
        <w:t xml:space="preserve">There is no dashboard landing page. The client lands in a chat thread that has already analysed their portfolio and surfaced a health score.</w:t>
      </w:r>
    </w:p>
    <w:p>
      <w:pPr>
        <w:pStyle w:val="ListParagraph"/>
        <w:numPr>
          <w:ilvl w:val="0"/>
          <w:numId w:val="3"/>
        </w:numPr>
        <w:spacing w:after="80" w:line="288"/>
      </w:pPr>
      <w:r>
        <w:rPr>
          <w:b/>
          <w:bCs/>
        </w:rPr>
        <w:t xml:space="preserve">Insight cards are rich messages. </w:t>
      </w:r>
      <w:r>
        <w:t xml:space="preserve">Each diagnostic finding appears as a structured card inside the thread — severity badge, headline finding with the real number, two stat tiles, a mini-visual, and two chips.</w:t>
      </w:r>
    </w:p>
    <w:p>
      <w:pPr>
        <w:pStyle w:val="ListParagraph"/>
        <w:numPr>
          <w:ilvl w:val="0"/>
          <w:numId w:val="3"/>
        </w:numPr>
        <w:spacing w:after="80" w:line="288"/>
      </w:pPr>
      <w:r>
        <w:rPr>
          <w:b/>
          <w:bCs/>
        </w:rPr>
        <w:t xml:space="preserve">Dashboards are the detail layer. </w:t>
      </w:r>
      <w:r>
        <w:t xml:space="preserve">The six analytical dashboards are not top-level destinations; they open from an insight card when the client wants depth.</w:t>
      </w:r>
    </w:p>
    <w:p>
      <w:pPr>
        <w:spacing w:after="80"/>
      </w:pPr>
      <w:r>
        <w:t xml:space="preserve"/>
      </w:r>
    </w:p>
    <w:p>
      <w:pPr>
        <w:pStyle w:val="Heading2"/>
      </w:pPr>
      <w:r>
        <w:t xml:space="preserve">4.2 The diagnose → prescribe → track loop</w:t>
      </w:r>
    </w:p>
    <w:p>
      <w:pPr>
        <w:spacing w:after="120" w:line="288"/>
      </w:pPr>
      <w:r>
        <w:t xml:space="preserve">The product is a closed loop. Every screen plays one role in it:</w:t>
      </w:r>
    </w:p>
    <w:tbl>
      <w:tblPr>
        <w:tblW w:type="dxa" w:w="9360"/>
        <w:tblBorders>
          <w:top w:val="single" w:color="CCC6BA" w:sz="1"/>
          <w:left w:val="single" w:color="CCC6BA" w:sz="1"/>
          <w:bottom w:val="single" w:color="CCC6BA" w:sz="1"/>
          <w:right w:val="single" w:color="CCC6BA" w:sz="1"/>
          <w:insideH w:val="single" w:color="CCC6BA" w:sz="1"/>
          <w:insideV w:val="single" w:color="CCC6BA" w:sz="1"/>
        </w:tblBorders>
      </w:tblPr>
      <w:tblGrid>
        <w:gridCol w:w="1500"/>
        <w:gridCol w:w="3260"/>
        <w:gridCol w:w="4600"/>
      </w:tblGrid>
      <w:tr>
        <w:trPr>
          <w:tblHeader/>
        </w:trPr>
        <w:tc>
          <w:tcPr>
            <w:tcW w:type="dxa" w:w="1500"/>
            <w:shd w:fill="2A2620" w:val="clear"/>
            <w:tcMar>
              <w:top w:type="dxa" w:w="90"/>
              <w:left w:type="dxa" w:w="130"/>
              <w:bottom w:type="dxa" w:w="90"/>
              <w:right w:type="dxa" w:w="130"/>
            </w:tcMar>
            <w:vAlign w:val="center"/>
          </w:tcPr>
          <w:p>
            <w:r>
              <w:rPr>
                <w:b/>
                <w:bCs/>
                <w:color w:val="FFFFFF"/>
                <w:sz w:val="19"/>
                <w:szCs w:val="19"/>
              </w:rPr>
              <w:t xml:space="preserve">Stage</w:t>
            </w:r>
          </w:p>
        </w:tc>
        <w:tc>
          <w:tcPr>
            <w:tcW w:type="dxa" w:w="3260"/>
            <w:shd w:fill="2A2620" w:val="clear"/>
            <w:tcMar>
              <w:top w:type="dxa" w:w="90"/>
              <w:left w:type="dxa" w:w="130"/>
              <w:bottom w:type="dxa" w:w="90"/>
              <w:right w:type="dxa" w:w="130"/>
            </w:tcMar>
            <w:vAlign w:val="center"/>
          </w:tcPr>
          <w:p>
            <w:r>
              <w:rPr>
                <w:b/>
                <w:bCs/>
                <w:color w:val="FFFFFF"/>
                <w:sz w:val="19"/>
                <w:szCs w:val="19"/>
              </w:rPr>
              <w:t xml:space="preserve">Screens</w:t>
            </w:r>
          </w:p>
        </w:tc>
        <w:tc>
          <w:tcPr>
            <w:tcW w:type="dxa" w:w="4600"/>
            <w:shd w:fill="2A2620" w:val="clear"/>
            <w:tcMar>
              <w:top w:type="dxa" w:w="90"/>
              <w:left w:type="dxa" w:w="130"/>
              <w:bottom w:type="dxa" w:w="90"/>
              <w:right w:type="dxa" w:w="130"/>
            </w:tcMar>
            <w:vAlign w:val="center"/>
          </w:tcPr>
          <w:p>
            <w:r>
              <w:rPr>
                <w:b/>
                <w:bCs/>
                <w:color w:val="FFFFFF"/>
                <w:sz w:val="19"/>
                <w:szCs w:val="19"/>
              </w:rPr>
              <w:t xml:space="preserve">What happens</w:t>
            </w:r>
          </w:p>
        </w:tc>
      </w:tr>
      <w:tr>
        <w:tc>
          <w:tcPr>
            <w:tcW w:type="dxa" w:w="1500"/>
            <w:shd w:fill="FFFFFF" w:val="clear"/>
            <w:tcMar>
              <w:top w:type="dxa" w:w="80"/>
              <w:left w:type="dxa" w:w="130"/>
              <w:bottom w:type="dxa" w:w="80"/>
              <w:right w:type="dxa" w:w="130"/>
            </w:tcMar>
            <w:vAlign w:val="center"/>
          </w:tcPr>
          <w:p>
            <w:pPr>
              <w:spacing w:after="40" w:line="264"/>
            </w:pPr>
            <w:r>
              <w:rPr>
                <w:sz w:val="18"/>
                <w:szCs w:val="18"/>
              </w:rPr>
              <w:t xml:space="preserve">Import</w:t>
            </w:r>
          </w:p>
        </w:tc>
        <w:tc>
          <w:tcPr>
            <w:tcW w:type="dxa" w:w="3260"/>
            <w:shd w:fill="FFFFFF" w:val="clear"/>
            <w:tcMar>
              <w:top w:type="dxa" w:w="80"/>
              <w:left w:type="dxa" w:w="130"/>
              <w:bottom w:type="dxa" w:w="80"/>
              <w:right w:type="dxa" w:w="130"/>
            </w:tcMar>
            <w:vAlign w:val="center"/>
          </w:tcPr>
          <w:p>
            <w:pPr>
              <w:spacing w:after="40" w:line="264"/>
            </w:pPr>
            <w:r>
              <w:rPr>
                <w:sz w:val="18"/>
                <w:szCs w:val="18"/>
              </w:rPr>
              <w:t xml:space="preserve">Onboarding, Review holdings</w:t>
            </w:r>
          </w:p>
        </w:tc>
        <w:tc>
          <w:tcPr>
            <w:tcW w:type="dxa" w:w="4600"/>
            <w:shd w:fill="FFFFFF" w:val="clear"/>
            <w:tcMar>
              <w:top w:type="dxa" w:w="80"/>
              <w:left w:type="dxa" w:w="130"/>
              <w:bottom w:type="dxa" w:w="80"/>
              <w:right w:type="dxa" w:w="130"/>
            </w:tcMar>
            <w:vAlign w:val="center"/>
          </w:tcPr>
          <w:p>
            <w:pPr>
              <w:spacing w:after="40" w:line="264"/>
            </w:pPr>
            <w:r>
              <w:rPr>
                <w:sz w:val="18"/>
                <w:szCs w:val="18"/>
              </w:rPr>
              <w:t xml:space="preserve">The portfolio enters the system and is confirmed.</w:t>
            </w:r>
          </w:p>
        </w:tc>
      </w:tr>
      <w:tr>
        <w:tc>
          <w:tcPr>
            <w:tcW w:type="dxa" w:w="1500"/>
            <w:shd w:fill="F4F1EA" w:val="clear"/>
            <w:tcMar>
              <w:top w:type="dxa" w:w="80"/>
              <w:left w:type="dxa" w:w="130"/>
              <w:bottom w:type="dxa" w:w="80"/>
              <w:right w:type="dxa" w:w="130"/>
            </w:tcMar>
            <w:vAlign w:val="center"/>
          </w:tcPr>
          <w:p>
            <w:pPr>
              <w:spacing w:after="40" w:line="264"/>
            </w:pPr>
            <w:r>
              <w:rPr>
                <w:sz w:val="18"/>
                <w:szCs w:val="18"/>
              </w:rPr>
              <w:t xml:space="preserve">Diagnose</w:t>
            </w:r>
          </w:p>
        </w:tc>
        <w:tc>
          <w:tcPr>
            <w:tcW w:type="dxa" w:w="3260"/>
            <w:shd w:fill="F4F1EA" w:val="clear"/>
            <w:tcMar>
              <w:top w:type="dxa" w:w="80"/>
              <w:left w:type="dxa" w:w="130"/>
              <w:bottom w:type="dxa" w:w="80"/>
              <w:right w:type="dxa" w:w="130"/>
            </w:tcMar>
            <w:vAlign w:val="center"/>
          </w:tcPr>
          <w:p>
            <w:pPr>
              <w:spacing w:after="40" w:line="264"/>
            </w:pPr>
            <w:r>
              <w:rPr>
                <w:sz w:val="18"/>
                <w:szCs w:val="18"/>
              </w:rPr>
              <w:t xml:space="preserve">Chat landing, six dashboards</w:t>
            </w:r>
          </w:p>
        </w:tc>
        <w:tc>
          <w:tcPr>
            <w:tcW w:type="dxa" w:w="4600"/>
            <w:shd w:fill="F4F1EA" w:val="clear"/>
            <w:tcMar>
              <w:top w:type="dxa" w:w="80"/>
              <w:left w:type="dxa" w:w="130"/>
              <w:bottom w:type="dxa" w:w="80"/>
              <w:right w:type="dxa" w:w="130"/>
            </w:tcMar>
            <w:vAlign w:val="center"/>
          </w:tcPr>
          <w:p>
            <w:pPr>
              <w:spacing w:after="40" w:line="264"/>
            </w:pPr>
            <w:r>
              <w:rPr>
                <w:sz w:val="18"/>
                <w:szCs w:val="18"/>
              </w:rPr>
              <w:t xml:space="preserve">The portfolio is scored; findings are explained.</w:t>
            </w:r>
          </w:p>
        </w:tc>
      </w:tr>
      <w:tr>
        <w:tc>
          <w:tcPr>
            <w:tcW w:type="dxa" w:w="1500"/>
            <w:shd w:fill="FFFFFF" w:val="clear"/>
            <w:tcMar>
              <w:top w:type="dxa" w:w="80"/>
              <w:left w:type="dxa" w:w="130"/>
              <w:bottom w:type="dxa" w:w="80"/>
              <w:right w:type="dxa" w:w="130"/>
            </w:tcMar>
            <w:vAlign w:val="center"/>
          </w:tcPr>
          <w:p>
            <w:pPr>
              <w:spacing w:after="40" w:line="264"/>
            </w:pPr>
            <w:r>
              <w:rPr>
                <w:sz w:val="18"/>
                <w:szCs w:val="18"/>
              </w:rPr>
              <w:t xml:space="preserve">Prescribe</w:t>
            </w:r>
          </w:p>
        </w:tc>
        <w:tc>
          <w:tcPr>
            <w:tcW w:type="dxa" w:w="3260"/>
            <w:shd w:fill="FFFFFF" w:val="clear"/>
            <w:tcMar>
              <w:top w:type="dxa" w:w="80"/>
              <w:left w:type="dxa" w:w="130"/>
              <w:bottom w:type="dxa" w:w="80"/>
              <w:right w:type="dxa" w:w="130"/>
            </w:tcMar>
            <w:vAlign w:val="center"/>
          </w:tcPr>
          <w:p>
            <w:pPr>
              <w:spacing w:after="40" w:line="264"/>
            </w:pPr>
            <w:r>
              <w:rPr>
                <w:sz w:val="18"/>
                <w:szCs w:val="18"/>
              </w:rPr>
              <w:t xml:space="preserve">Recommendation matrices</w:t>
            </w:r>
          </w:p>
        </w:tc>
        <w:tc>
          <w:tcPr>
            <w:tcW w:type="dxa" w:w="4600"/>
            <w:shd w:fill="FFFFFF" w:val="clear"/>
            <w:tcMar>
              <w:top w:type="dxa" w:w="80"/>
              <w:left w:type="dxa" w:w="130"/>
              <w:bottom w:type="dxa" w:w="80"/>
              <w:right w:type="dxa" w:w="130"/>
            </w:tcMar>
            <w:vAlign w:val="center"/>
          </w:tcPr>
          <w:p>
            <w:pPr>
              <w:spacing w:after="40" w:line="264"/>
            </w:pPr>
            <w:r>
              <w:rPr>
                <w:sz w:val="18"/>
                <w:szCs w:val="18"/>
              </w:rPr>
              <w:t xml:space="preserve">Ranked actions are offered, each naming an instrument.</w:t>
            </w:r>
          </w:p>
        </w:tc>
      </w:tr>
      <w:tr>
        <w:tc>
          <w:tcPr>
            <w:tcW w:type="dxa" w:w="1500"/>
            <w:shd w:fill="F4F1EA" w:val="clear"/>
            <w:tcMar>
              <w:top w:type="dxa" w:w="80"/>
              <w:left w:type="dxa" w:w="130"/>
              <w:bottom w:type="dxa" w:w="80"/>
              <w:right w:type="dxa" w:w="130"/>
            </w:tcMar>
            <w:vAlign w:val="center"/>
          </w:tcPr>
          <w:p>
            <w:pPr>
              <w:spacing w:after="40" w:line="264"/>
            </w:pPr>
            <w:r>
              <w:rPr>
                <w:sz w:val="18"/>
                <w:szCs w:val="18"/>
              </w:rPr>
              <w:t xml:space="preserve">Track</w:t>
            </w:r>
          </w:p>
        </w:tc>
        <w:tc>
          <w:tcPr>
            <w:tcW w:type="dxa" w:w="3260"/>
            <w:shd w:fill="F4F1EA" w:val="clear"/>
            <w:tcMar>
              <w:top w:type="dxa" w:w="80"/>
              <w:left w:type="dxa" w:w="130"/>
              <w:bottom w:type="dxa" w:w="80"/>
              <w:right w:type="dxa" w:w="130"/>
            </w:tcMar>
            <w:vAlign w:val="center"/>
          </w:tcPr>
          <w:p>
            <w:pPr>
              <w:spacing w:after="40" w:line="264"/>
            </w:pPr>
            <w:r>
              <w:rPr>
                <w:sz w:val="18"/>
                <w:szCs w:val="18"/>
              </w:rPr>
              <w:t xml:space="preserve">Plan Board</w:t>
            </w:r>
          </w:p>
        </w:tc>
        <w:tc>
          <w:tcPr>
            <w:tcW w:type="dxa" w:w="4600"/>
            <w:shd w:fill="F4F1EA" w:val="clear"/>
            <w:tcMar>
              <w:top w:type="dxa" w:w="80"/>
              <w:left w:type="dxa" w:w="130"/>
              <w:bottom w:type="dxa" w:w="80"/>
              <w:right w:type="dxa" w:w="130"/>
            </w:tcMar>
            <w:vAlign w:val="center"/>
          </w:tcPr>
          <w:p>
            <w:pPr>
              <w:spacing w:after="40" w:line="264"/>
            </w:pPr>
            <w:r>
              <w:rPr>
                <w:sz w:val="18"/>
                <w:szCs w:val="18"/>
              </w:rPr>
              <w:t xml:space="preserve">Accepted actions are collected and worked to done.</w:t>
            </w:r>
          </w:p>
        </w:tc>
      </w:tr>
      <w:tr>
        <w:tc>
          <w:tcPr>
            <w:tcW w:type="dxa" w:w="1500"/>
            <w:shd w:fill="FFFFFF" w:val="clear"/>
            <w:tcMar>
              <w:top w:type="dxa" w:w="80"/>
              <w:left w:type="dxa" w:w="130"/>
              <w:bottom w:type="dxa" w:w="80"/>
              <w:right w:type="dxa" w:w="130"/>
            </w:tcMar>
            <w:vAlign w:val="center"/>
          </w:tcPr>
          <w:p>
            <w:pPr>
              <w:spacing w:after="40" w:line="264"/>
            </w:pPr>
            <w:r>
              <w:rPr>
                <w:sz w:val="18"/>
                <w:szCs w:val="18"/>
              </w:rPr>
              <w:t xml:space="preserve">Construct</w:t>
            </w:r>
          </w:p>
        </w:tc>
        <w:tc>
          <w:tcPr>
            <w:tcW w:type="dxa" w:w="3260"/>
            <w:shd w:fill="FFFFFF" w:val="clear"/>
            <w:tcMar>
              <w:top w:type="dxa" w:w="80"/>
              <w:left w:type="dxa" w:w="130"/>
              <w:bottom w:type="dxa" w:w="80"/>
              <w:right w:type="dxa" w:w="130"/>
            </w:tcMar>
            <w:vAlign w:val="center"/>
          </w:tcPr>
          <w:p>
            <w:pPr>
              <w:spacing w:after="40" w:line="264"/>
            </w:pPr>
            <w:r>
              <w:rPr>
                <w:sz w:val="18"/>
                <w:szCs w:val="18"/>
              </w:rPr>
              <w:t xml:space="preserve">Portfolio builder</w:t>
            </w:r>
          </w:p>
        </w:tc>
        <w:tc>
          <w:tcPr>
            <w:tcW w:type="dxa" w:w="4600"/>
            <w:shd w:fill="FFFFFF" w:val="clear"/>
            <w:tcMar>
              <w:top w:type="dxa" w:w="80"/>
              <w:left w:type="dxa" w:w="130"/>
              <w:bottom w:type="dxa" w:w="80"/>
              <w:right w:type="dxa" w:w="130"/>
            </w:tcMar>
            <w:vAlign w:val="center"/>
          </w:tcPr>
          <w:p>
            <w:pPr>
              <w:spacing w:after="40" w:line="264"/>
            </w:pPr>
            <w:r>
              <w:rPr>
                <w:sz w:val="18"/>
                <w:szCs w:val="18"/>
              </w:rPr>
              <w:t xml:space="preserve">A new goal-aligned portfolio is built from a profile.</w:t>
            </w:r>
          </w:p>
        </w:tc>
      </w:tr>
    </w:tbl>
    <w:p>
      <w:pPr>
        <w:spacing w:after="80"/>
      </w:pPr>
      <w:r>
        <w:t xml:space="preserve"/>
      </w:r>
    </w:p>
    <w:p>
      <w:pPr>
        <w:pStyle w:val="Heading2"/>
      </w:pPr>
      <w:r>
        <w:t xml:space="preserve">4.3 The three shared engines</w:t>
      </w:r>
    </w:p>
    <w:p>
      <w:pPr>
        <w:spacing w:after="120" w:line="288"/>
      </w:pPr>
      <w:r>
        <w:t xml:space="preserve">Beneath every screen sit three engines. They are the reason roughly twenty screens feel like one coherent product rather than a suite of disconnected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6B33" w:sz="18"/>
              <w:bottom w:val="none"/>
              <w:right w:val="none"/>
            </w:tcBorders>
            <w:shd w:fill="EEF1E8" w:val="clear"/>
            <w:tcMar>
              <w:top w:type="dxa" w:w="140"/>
              <w:left w:type="dxa" w:w="200"/>
              <w:bottom w:type="dxa" w:w="140"/>
              <w:right w:type="dxa" w:w="200"/>
            </w:tcMar>
          </w:tcPr>
          <w:p>
            <w:pPr>
              <w:spacing w:after="60"/>
            </w:pPr>
            <w:r>
              <w:rPr>
                <w:b/>
                <w:bCs/>
                <w:color w:val="C25E1E"/>
                <w:sz w:val="20"/>
                <w:szCs w:val="20"/>
              </w:rPr>
              <w:t xml:space="preserve">Health-score engine</w:t>
            </w:r>
          </w:p>
          <w:p>
            <w:pPr>
              <w:spacing w:after="120" w:line="288"/>
            </w:pPr>
            <w:r>
              <w:t xml:space="preserve">Produces one number, 0–100, with a letter grade. The score a client sees in their chat is the identical score the advisor sees on their book. If these ever diverged, trust would break.</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6B33" w:sz="18"/>
              <w:bottom w:val="none"/>
              <w:right w:val="none"/>
            </w:tcBorders>
            <w:shd w:fill="EEF1E8" w:val="clear"/>
            <w:tcMar>
              <w:top w:type="dxa" w:w="140"/>
              <w:left w:type="dxa" w:w="200"/>
              <w:bottom w:type="dxa" w:w="140"/>
              <w:right w:type="dxa" w:w="200"/>
            </w:tcMar>
          </w:tcPr>
          <w:p>
            <w:pPr>
              <w:spacing w:after="60"/>
            </w:pPr>
            <w:r>
              <w:rPr>
                <w:b/>
                <w:bCs/>
                <w:color w:val="C25E1E"/>
                <w:sz w:val="20"/>
                <w:szCs w:val="20"/>
              </w:rPr>
              <w:t xml:space="preserve">Rule engine</w:t>
            </w:r>
          </w:p>
          <w:p>
            <w:pPr>
              <w:spacing w:after="120" w:line="288"/>
            </w:pPr>
            <w:r>
              <w:t xml:space="preserve">Evaluates the twenty diagnostic signals against the portfolio, each as a deterministic rule, and ranks the resulting findings by severity. This engine drives the insight cards and the dashboards.</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4F6B33" w:sz="18"/>
              <w:bottom w:val="none"/>
              <w:right w:val="none"/>
            </w:tcBorders>
            <w:shd w:fill="EEF1E8" w:val="clear"/>
            <w:tcMar>
              <w:top w:type="dxa" w:w="140"/>
              <w:left w:type="dxa" w:w="200"/>
              <w:bottom w:type="dxa" w:w="140"/>
              <w:right w:type="dxa" w:w="200"/>
            </w:tcMar>
          </w:tcPr>
          <w:p>
            <w:pPr>
              <w:spacing w:after="60"/>
            </w:pPr>
            <w:r>
              <w:rPr>
                <w:b/>
                <w:bCs/>
                <w:color w:val="C25E1E"/>
                <w:sz w:val="20"/>
                <w:szCs w:val="20"/>
              </w:rPr>
              <w:t xml:space="preserve">Screening engine</w:t>
            </w:r>
          </w:p>
          <w:p>
            <w:pPr>
              <w:spacing w:after="120" w:line="288"/>
            </w:pPr>
            <w:r>
              <w:t xml:space="preserve">Scores every stock and fund in the investable universe on fundamentals and technicals. It is the single source for instrument recommendations — the same engine powers a dashboard switch suggestion, a builder recommendation, and an advisor's proposal.</w:t>
            </w:r>
          </w:p>
        </w:tc>
      </w:tr>
    </w:tbl>
    <w:p>
      <w:pPr>
        <w:spacing w:after="80"/>
      </w:pPr>
      <w:r>
        <w:t xml:space="preserve"/>
      </w:r>
    </w:p>
    <w:p>
      <w:pPr>
        <w:spacing w:after="120" w:line="288"/>
      </w:pPr>
      <w:r>
        <w:t xml:space="preserve">All three engines operate on </w:t>
      </w:r>
      <w:r>
        <w:rPr>
          <w:b/>
          <w:bCs/>
        </w:rPr>
        <w:t xml:space="preserve">NIDP</w:t>
      </w:r>
      <w:r>
        <w:t xml:space="preserve"> — the Nivesh holdings data layer. The grounding discipline is absolute: every figure shown to a user traces to NIDP data, and none is invented.</w:t>
      </w:r>
    </w:p>
    <w:p>
      <w:r>
        <w:br w:type="page"/>
      </w:r>
    </w:p>
    <w:p>
      <w:pPr>
        <w:pStyle w:val="Heading1"/>
      </w:pPr>
      <w:r>
        <w:t xml:space="preserve">5. Onboarding &amp; Portfolio Import</w:t>
      </w:r>
    </w:p>
    <w:p>
      <w:pPr>
        <w:spacing w:after="120" w:line="288"/>
      </w:pPr>
      <w:r>
        <w:t xml:space="preserve">Import is the front door and the single highest-anxiety moment in the product. Everything downstream depends on getting the client's holdings in. Nivesh offers three import paths, deliberately ranked by friction.</w:t>
      </w:r>
    </w:p>
    <w:p>
      <w:pPr>
        <w:spacing w:after="80"/>
      </w:pPr>
      <w:r>
        <w:t xml:space="preserve"/>
      </w:r>
    </w:p>
    <w:tbl>
      <w:tblPr>
        <w:tblW w:type="dxa" w:w="9360"/>
        <w:tblBorders>
          <w:top w:val="single" w:color="CCC6BA" w:sz="1"/>
          <w:left w:val="single" w:color="CCC6BA" w:sz="1"/>
          <w:bottom w:val="single" w:color="CCC6BA" w:sz="1"/>
          <w:right w:val="single" w:color="CCC6BA" w:sz="1"/>
          <w:insideH w:val="single" w:color="CCC6BA" w:sz="1"/>
          <w:insideV w:val="single" w:color="CCC6BA" w:sz="1"/>
        </w:tblBorders>
      </w:tblPr>
      <w:tblGrid>
        <w:gridCol w:w="1700"/>
        <w:gridCol w:w="4060"/>
        <w:gridCol w:w="3600"/>
      </w:tblGrid>
      <w:tr>
        <w:trPr>
          <w:tblHeader/>
        </w:trPr>
        <w:tc>
          <w:tcPr>
            <w:tcW w:type="dxa" w:w="1700"/>
            <w:shd w:fill="2A2620" w:val="clear"/>
            <w:tcMar>
              <w:top w:type="dxa" w:w="90"/>
              <w:left w:type="dxa" w:w="130"/>
              <w:bottom w:type="dxa" w:w="90"/>
              <w:right w:type="dxa" w:w="130"/>
            </w:tcMar>
            <w:vAlign w:val="center"/>
          </w:tcPr>
          <w:p>
            <w:r>
              <w:rPr>
                <w:b/>
                <w:bCs/>
                <w:color w:val="FFFFFF"/>
                <w:sz w:val="19"/>
                <w:szCs w:val="19"/>
              </w:rPr>
              <w:t xml:space="preserve">Path</w:t>
            </w:r>
          </w:p>
        </w:tc>
        <w:tc>
          <w:tcPr>
            <w:tcW w:type="dxa" w:w="4060"/>
            <w:shd w:fill="2A2620" w:val="clear"/>
            <w:tcMar>
              <w:top w:type="dxa" w:w="90"/>
              <w:left w:type="dxa" w:w="130"/>
              <w:bottom w:type="dxa" w:w="90"/>
              <w:right w:type="dxa" w:w="130"/>
            </w:tcMar>
            <w:vAlign w:val="center"/>
          </w:tcPr>
          <w:p>
            <w:r>
              <w:rPr>
                <w:b/>
                <w:bCs/>
                <w:color w:val="FFFFFF"/>
                <w:sz w:val="19"/>
                <w:szCs w:val="19"/>
              </w:rPr>
              <w:t xml:space="preserve">How it works</w:t>
            </w:r>
          </w:p>
        </w:tc>
        <w:tc>
          <w:tcPr>
            <w:tcW w:type="dxa" w:w="3600"/>
            <w:shd w:fill="2A2620" w:val="clear"/>
            <w:tcMar>
              <w:top w:type="dxa" w:w="90"/>
              <w:left w:type="dxa" w:w="130"/>
              <w:bottom w:type="dxa" w:w="90"/>
              <w:right w:type="dxa" w:w="130"/>
            </w:tcMar>
            <w:vAlign w:val="center"/>
          </w:tcPr>
          <w:p>
            <w:r>
              <w:rPr>
                <w:b/>
                <w:bCs/>
                <w:color w:val="FFFFFF"/>
                <w:sz w:val="19"/>
                <w:szCs w:val="19"/>
              </w:rPr>
              <w:t xml:space="preserve">Friction &amp; trust note</w:t>
            </w:r>
          </w:p>
        </w:tc>
      </w:tr>
      <w:tr>
        <w:tc>
          <w:tcPr>
            <w:tcW w:type="dxa" w:w="1700"/>
            <w:shd w:fill="FFFFFF" w:val="clear"/>
            <w:tcMar>
              <w:top w:type="dxa" w:w="80"/>
              <w:left w:type="dxa" w:w="130"/>
              <w:bottom w:type="dxa" w:w="80"/>
              <w:right w:type="dxa" w:w="130"/>
            </w:tcMar>
            <w:vAlign w:val="center"/>
          </w:tcPr>
          <w:p>
            <w:pPr>
              <w:spacing w:after="40" w:line="264"/>
            </w:pPr>
            <w:r>
              <w:rPr>
                <w:b/>
                <w:bCs/>
              </w:rPr>
              <w:t xml:space="preserve">Gmail CAS import</w:t>
            </w:r>
          </w:p>
        </w:tc>
        <w:tc>
          <w:tcPr>
            <w:tcW w:type="dxa" w:w="4060"/>
            <w:shd w:fill="FFFFFF" w:val="clear"/>
            <w:tcMar>
              <w:top w:type="dxa" w:w="80"/>
              <w:left w:type="dxa" w:w="130"/>
              <w:bottom w:type="dxa" w:w="80"/>
              <w:right w:type="dxa" w:w="130"/>
            </w:tcMar>
            <w:vAlign w:val="center"/>
          </w:tcPr>
          <w:p>
            <w:pPr>
              <w:spacing w:after="40" w:line="264"/>
            </w:pPr>
            <w:r>
              <w:rPr>
                <w:sz w:val="18"/>
                <w:szCs w:val="18"/>
              </w:rPr>
              <w:t xml:space="preserve">Nivesh locates the Consolidated Account Statement email sent monthly by CAMS/KFintech and reads it automatically.</w:t>
            </w:r>
          </w:p>
        </w:tc>
        <w:tc>
          <w:tcPr>
            <w:tcW w:type="dxa" w:w="3600"/>
            <w:shd w:fill="FFFFFF" w:val="clear"/>
            <w:tcMar>
              <w:top w:type="dxa" w:w="80"/>
              <w:left w:type="dxa" w:w="130"/>
              <w:bottom w:type="dxa" w:w="80"/>
              <w:right w:type="dxa" w:w="130"/>
            </w:tcMar>
            <w:vAlign w:val="center"/>
          </w:tcPr>
          <w:p>
            <w:pPr>
              <w:spacing w:after="40" w:line="264"/>
            </w:pPr>
            <w:r>
              <w:rPr>
                <w:sz w:val="18"/>
                <w:szCs w:val="18"/>
              </w:rPr>
              <w:t xml:space="preserve">Lowest friction — no file, no password. Read-only OAuth scope limited to CAS emails; revocable anytime.</w:t>
            </w:r>
          </w:p>
        </w:tc>
      </w:tr>
      <w:tr>
        <w:tc>
          <w:tcPr>
            <w:tcW w:type="dxa" w:w="1700"/>
            <w:shd w:fill="F4F1EA" w:val="clear"/>
            <w:tcMar>
              <w:top w:type="dxa" w:w="80"/>
              <w:left w:type="dxa" w:w="130"/>
              <w:bottom w:type="dxa" w:w="80"/>
              <w:right w:type="dxa" w:w="130"/>
            </w:tcMar>
            <w:vAlign w:val="center"/>
          </w:tcPr>
          <w:p>
            <w:pPr>
              <w:spacing w:after="40" w:line="264"/>
            </w:pPr>
            <w:r>
              <w:rPr>
                <w:b/>
                <w:bCs/>
              </w:rPr>
              <w:t xml:space="preserve">CAS file upload</w:t>
            </w:r>
          </w:p>
        </w:tc>
        <w:tc>
          <w:tcPr>
            <w:tcW w:type="dxa" w:w="4060"/>
            <w:shd w:fill="F4F1EA" w:val="clear"/>
            <w:tcMar>
              <w:top w:type="dxa" w:w="80"/>
              <w:left w:type="dxa" w:w="130"/>
              <w:bottom w:type="dxa" w:w="80"/>
              <w:right w:type="dxa" w:w="130"/>
            </w:tcMar>
            <w:vAlign w:val="center"/>
          </w:tcPr>
          <w:p>
            <w:pPr>
              <w:spacing w:after="40" w:line="264"/>
            </w:pPr>
            <w:r>
              <w:rPr>
                <w:sz w:val="18"/>
                <w:szCs w:val="18"/>
              </w:rPr>
              <w:t xml:space="preserve">The client uploads the CAS PDF they already received from CAMS or KFintech.</w:t>
            </w:r>
          </w:p>
        </w:tc>
        <w:tc>
          <w:tcPr>
            <w:tcW w:type="dxa" w:w="3600"/>
            <w:shd w:fill="F4F1EA" w:val="clear"/>
            <w:tcMar>
              <w:top w:type="dxa" w:w="80"/>
              <w:left w:type="dxa" w:w="130"/>
              <w:bottom w:type="dxa" w:w="80"/>
              <w:right w:type="dxa" w:w="130"/>
            </w:tcMar>
            <w:vAlign w:val="center"/>
          </w:tcPr>
          <w:p>
            <w:pPr>
              <w:spacing w:after="40" w:line="264"/>
            </w:pPr>
            <w:r>
              <w:rPr>
                <w:sz w:val="18"/>
                <w:szCs w:val="18"/>
              </w:rPr>
              <w:t xml:space="preserve">Medium friction — the client must supply the PDF password. Processed securely, not stored.</w:t>
            </w:r>
          </w:p>
        </w:tc>
      </w:tr>
      <w:tr>
        <w:tc>
          <w:tcPr>
            <w:tcW w:type="dxa" w:w="1700"/>
            <w:shd w:fill="FFFFFF" w:val="clear"/>
            <w:tcMar>
              <w:top w:type="dxa" w:w="80"/>
              <w:left w:type="dxa" w:w="130"/>
              <w:bottom w:type="dxa" w:w="80"/>
              <w:right w:type="dxa" w:w="130"/>
            </w:tcMar>
            <w:vAlign w:val="center"/>
          </w:tcPr>
          <w:p>
            <w:pPr>
              <w:spacing w:after="40" w:line="264"/>
            </w:pPr>
            <w:r>
              <w:rPr>
                <w:b/>
                <w:bCs/>
              </w:rPr>
              <w:t xml:space="preserve">Broker connect</w:t>
            </w:r>
          </w:p>
        </w:tc>
        <w:tc>
          <w:tcPr>
            <w:tcW w:type="dxa" w:w="4060"/>
            <w:shd w:fill="FFFFFF" w:val="clear"/>
            <w:tcMar>
              <w:top w:type="dxa" w:w="80"/>
              <w:left w:type="dxa" w:w="130"/>
              <w:bottom w:type="dxa" w:w="80"/>
              <w:right w:type="dxa" w:w="130"/>
            </w:tcMar>
            <w:vAlign w:val="center"/>
          </w:tcPr>
          <w:p>
            <w:pPr>
              <w:spacing w:after="40" w:line="264"/>
            </w:pPr>
            <w:r>
              <w:rPr>
                <w:sz w:val="18"/>
                <w:szCs w:val="18"/>
              </w:rPr>
              <w:t xml:space="preserve">The client links their demat account for live direct-stock holdings.</w:t>
            </w:r>
          </w:p>
        </w:tc>
        <w:tc>
          <w:tcPr>
            <w:tcW w:type="dxa" w:w="3600"/>
            <w:shd w:fill="FFFFFF" w:val="clear"/>
            <w:tcMar>
              <w:top w:type="dxa" w:w="80"/>
              <w:left w:type="dxa" w:w="130"/>
              <w:bottom w:type="dxa" w:w="80"/>
              <w:right w:type="dxa" w:w="130"/>
            </w:tcMar>
            <w:vAlign w:val="center"/>
          </w:tcPr>
          <w:p>
            <w:pPr>
              <w:spacing w:after="40" w:line="264"/>
            </w:pPr>
            <w:r>
              <w:rPr>
                <w:sz w:val="18"/>
                <w:szCs w:val="18"/>
              </w:rPr>
              <w:t xml:space="preserve">Structurally necessary for stocks — CAS covers funds only. Read-only OAuth; cannot place trades.</w:t>
            </w:r>
          </w:p>
        </w:tc>
      </w:tr>
    </w:tbl>
    <w:p>
      <w:pPr>
        <w:spacing w:after="80"/>
      </w:pPr>
      <w:r>
        <w:t xml:space="preserve"/>
      </w:r>
    </w:p>
    <w:p>
      <w:pPr>
        <w:pStyle w:val="Heading2"/>
      </w:pPr>
      <w:r>
        <w:t xml:space="preserve">5.1 Key requirements</w:t>
      </w:r>
    </w:p>
    <w:p>
      <w:pPr>
        <w:pStyle w:val="ListParagraph"/>
        <w:numPr>
          <w:ilvl w:val="0"/>
          <w:numId w:val="2"/>
        </w:numPr>
        <w:spacing w:after="80" w:line="288"/>
      </w:pPr>
      <w:r>
        <w:rPr>
          <w:b/>
          <w:bCs/>
        </w:rPr>
        <w:t xml:space="preserve">Authentication is token-based. </w:t>
      </w:r>
      <w:r>
        <w:t xml:space="preserve">Both Gmail and broker connections use OAuth. Nivesh never receives, handles, or stores an email or broker password.</w:t>
      </w:r>
    </w:p>
    <w:p>
      <w:pPr>
        <w:pStyle w:val="ListParagraph"/>
        <w:numPr>
          <w:ilvl w:val="0"/>
          <w:numId w:val="2"/>
        </w:numPr>
        <w:spacing w:after="80" w:line="288"/>
      </w:pPr>
      <w:r>
        <w:rPr>
          <w:b/>
          <w:bCs/>
        </w:rPr>
        <w:t xml:space="preserve">Coverage is explicit. </w:t>
      </w:r>
      <w:r>
        <w:t xml:space="preserve">CAS covers mutual funds across all AMCs but not direct equity. A client with both must use a CAS path and broker connect; the screen states this.</w:t>
      </w:r>
    </w:p>
    <w:p>
      <w:pPr>
        <w:pStyle w:val="ListParagraph"/>
        <w:numPr>
          <w:ilvl w:val="0"/>
          <w:numId w:val="2"/>
        </w:numPr>
        <w:spacing w:after="80" w:line="288"/>
      </w:pPr>
      <w:r>
        <w:rPr>
          <w:b/>
          <w:bCs/>
        </w:rPr>
        <w:t xml:space="preserve">There is always an escape hatch. </w:t>
      </w:r>
      <w:r>
        <w:t xml:space="preserve">A client unwilling to connect anything can add holdings manually and import properly later. Onboarding never dead-ends.</w:t>
      </w:r>
    </w:p>
    <w:p>
      <w:pPr>
        <w:pStyle w:val="ListParagraph"/>
        <w:numPr>
          <w:ilvl w:val="0"/>
          <w:numId w:val="2"/>
        </w:numPr>
        <w:spacing w:after="80" w:line="288"/>
      </w:pPr>
      <w:r>
        <w:rPr>
          <w:b/>
          <w:bCs/>
        </w:rPr>
        <w:t xml:space="preserve">A review step precedes analysis. </w:t>
      </w:r>
      <w:r>
        <w:t xml:space="preserve">After import, the client confirms the parsed holdings before the first health score is computed. A wrong score must never be a client's first impression.</w:t>
      </w:r>
    </w:p>
    <w:p>
      <w:r>
        <w:br w:type="page"/>
      </w:r>
    </w:p>
    <w:p>
      <w:pPr>
        <w:pStyle w:val="Heading1"/>
      </w:pPr>
      <w:r>
        <w:t xml:space="preserve">6. The Insight Framework</w:t>
      </w:r>
    </w:p>
    <w:p>
      <w:pPr>
        <w:spacing w:after="120" w:line="288"/>
      </w:pPr>
      <w:r>
        <w:t xml:space="preserve">Diagnosis rests on a library of </w:t>
      </w:r>
      <w:r>
        <w:rPr>
          <w:b/>
          <w:bCs/>
        </w:rPr>
        <w:t xml:space="preserve">twenty portfolio insights</w:t>
      </w:r>
      <w:r>
        <w:t xml:space="preserve">. Each is a deterministic check: a defined set of input signals, a rule that evaluates them, and a plain-language conclusion. The rule engine runs all twenty and ranks the findings by severity.</w:t>
      </w:r>
    </w:p>
    <w:p>
      <w:pPr>
        <w:pStyle w:val="Heading2"/>
      </w:pPr>
      <w:r>
        <w:t xml:space="preserve">6.1 The twenty insights</w:t>
      </w:r>
    </w:p>
    <w:tbl>
      <w:tblPr>
        <w:tblW w:type="dxa" w:w="9360"/>
        <w:tblBorders>
          <w:top w:val="single" w:color="CCC6BA" w:sz="1"/>
          <w:left w:val="single" w:color="CCC6BA" w:sz="1"/>
          <w:bottom w:val="single" w:color="CCC6BA" w:sz="1"/>
          <w:right w:val="single" w:color="CCC6BA" w:sz="1"/>
          <w:insideH w:val="single" w:color="CCC6BA" w:sz="1"/>
          <w:insideV w:val="single" w:color="CCC6BA" w:sz="1"/>
        </w:tblBorders>
      </w:tblPr>
      <w:tblGrid>
        <w:gridCol w:w="600"/>
        <w:gridCol w:w="2700"/>
        <w:gridCol w:w="6060"/>
      </w:tblGrid>
      <w:tr>
        <w:trPr>
          <w:tblHeader/>
        </w:trPr>
        <w:tc>
          <w:tcPr>
            <w:tcW w:type="dxa" w:w="600"/>
            <w:shd w:fill="2A2620" w:val="clear"/>
            <w:tcMar>
              <w:top w:type="dxa" w:w="90"/>
              <w:left w:type="dxa" w:w="130"/>
              <w:bottom w:type="dxa" w:w="90"/>
              <w:right w:type="dxa" w:w="130"/>
            </w:tcMar>
            <w:vAlign w:val="center"/>
          </w:tcPr>
          <w:p>
            <w:r>
              <w:rPr>
                <w:b/>
                <w:bCs/>
                <w:color w:val="FFFFFF"/>
                <w:sz w:val="19"/>
                <w:szCs w:val="19"/>
              </w:rPr>
              <w:t xml:space="preserve">#</w:t>
            </w:r>
          </w:p>
        </w:tc>
        <w:tc>
          <w:tcPr>
            <w:tcW w:type="dxa" w:w="2700"/>
            <w:shd w:fill="2A2620" w:val="clear"/>
            <w:tcMar>
              <w:top w:type="dxa" w:w="90"/>
              <w:left w:type="dxa" w:w="130"/>
              <w:bottom w:type="dxa" w:w="90"/>
              <w:right w:type="dxa" w:w="130"/>
            </w:tcMar>
            <w:vAlign w:val="center"/>
          </w:tcPr>
          <w:p>
            <w:r>
              <w:rPr>
                <w:b/>
                <w:bCs/>
                <w:color w:val="FFFFFF"/>
                <w:sz w:val="19"/>
                <w:szCs w:val="19"/>
              </w:rPr>
              <w:t xml:space="preserve">Insight</w:t>
            </w:r>
          </w:p>
        </w:tc>
        <w:tc>
          <w:tcPr>
            <w:tcW w:type="dxa" w:w="6060"/>
            <w:shd w:fill="2A2620" w:val="clear"/>
            <w:tcMar>
              <w:top w:type="dxa" w:w="90"/>
              <w:left w:type="dxa" w:w="130"/>
              <w:bottom w:type="dxa" w:w="90"/>
              <w:right w:type="dxa" w:w="130"/>
            </w:tcMar>
            <w:vAlign w:val="center"/>
          </w:tcPr>
          <w:p>
            <w:r>
              <w:rPr>
                <w:b/>
                <w:bCs/>
                <w:color w:val="FFFFFF"/>
                <w:sz w:val="19"/>
                <w:szCs w:val="19"/>
              </w:rPr>
              <w:t xml:space="preserve">What it detects</w:t>
            </w:r>
          </w:p>
        </w:tc>
      </w:tr>
      <w:tr>
        <w:tc>
          <w:tcPr>
            <w:tcW w:type="dxa" w:w="600"/>
            <w:shd w:fill="FFFFFF" w:val="clear"/>
            <w:tcMar>
              <w:top w:type="dxa" w:w="80"/>
              <w:left w:type="dxa" w:w="130"/>
              <w:bottom w:type="dxa" w:w="80"/>
              <w:right w:type="dxa" w:w="130"/>
            </w:tcMar>
            <w:vAlign w:val="center"/>
          </w:tcPr>
          <w:p>
            <w:pPr>
              <w:spacing w:after="40" w:line="264"/>
            </w:pPr>
            <w:r>
              <w:rPr>
                <w:sz w:val="18"/>
                <w:szCs w:val="18"/>
              </w:rPr>
              <w:t xml:space="preserve">1</w:t>
            </w:r>
          </w:p>
        </w:tc>
        <w:tc>
          <w:tcPr>
            <w:tcW w:type="dxa" w:w="2700"/>
            <w:shd w:fill="FFFFFF" w:val="clear"/>
            <w:tcMar>
              <w:top w:type="dxa" w:w="80"/>
              <w:left w:type="dxa" w:w="130"/>
              <w:bottom w:type="dxa" w:w="80"/>
              <w:right w:type="dxa" w:w="130"/>
            </w:tcMar>
            <w:vAlign w:val="center"/>
          </w:tcPr>
          <w:p>
            <w:pPr>
              <w:spacing w:after="40" w:line="264"/>
            </w:pPr>
            <w:r>
              <w:rPr>
                <w:sz w:val="18"/>
                <w:szCs w:val="18"/>
              </w:rPr>
              <w:t xml:space="preserve">Concentration</w:t>
            </w:r>
          </w:p>
        </w:tc>
        <w:tc>
          <w:tcPr>
            <w:tcW w:type="dxa" w:w="6060"/>
            <w:shd w:fill="FFFFFF" w:val="clear"/>
            <w:tcMar>
              <w:top w:type="dxa" w:w="80"/>
              <w:left w:type="dxa" w:w="130"/>
              <w:bottom w:type="dxa" w:w="80"/>
              <w:right w:type="dxa" w:w="130"/>
            </w:tcMar>
            <w:vAlign w:val="center"/>
          </w:tcPr>
          <w:p>
            <w:pPr>
              <w:spacing w:after="40" w:line="264"/>
            </w:pPr>
            <w:r>
              <w:rPr>
                <w:sz w:val="18"/>
                <w:szCs w:val="18"/>
              </w:rPr>
              <w:t xml:space="preserve">Too much of the portfolio in one stock, sector, or group.</w:t>
            </w:r>
          </w:p>
        </w:tc>
      </w:tr>
      <w:tr>
        <w:tc>
          <w:tcPr>
            <w:tcW w:type="dxa" w:w="600"/>
            <w:shd w:fill="F4F1EA" w:val="clear"/>
            <w:tcMar>
              <w:top w:type="dxa" w:w="80"/>
              <w:left w:type="dxa" w:w="130"/>
              <w:bottom w:type="dxa" w:w="80"/>
              <w:right w:type="dxa" w:w="130"/>
            </w:tcMar>
            <w:vAlign w:val="center"/>
          </w:tcPr>
          <w:p>
            <w:pPr>
              <w:spacing w:after="40" w:line="264"/>
            </w:pPr>
            <w:r>
              <w:rPr>
                <w:sz w:val="18"/>
                <w:szCs w:val="18"/>
              </w:rPr>
              <w:t xml:space="preserve">2</w:t>
            </w:r>
          </w:p>
        </w:tc>
        <w:tc>
          <w:tcPr>
            <w:tcW w:type="dxa" w:w="2700"/>
            <w:shd w:fill="F4F1EA" w:val="clear"/>
            <w:tcMar>
              <w:top w:type="dxa" w:w="80"/>
              <w:left w:type="dxa" w:w="130"/>
              <w:bottom w:type="dxa" w:w="80"/>
              <w:right w:type="dxa" w:w="130"/>
            </w:tcMar>
            <w:vAlign w:val="center"/>
          </w:tcPr>
          <w:p>
            <w:pPr>
              <w:spacing w:after="40" w:line="264"/>
            </w:pPr>
            <w:r>
              <w:rPr>
                <w:sz w:val="18"/>
                <w:szCs w:val="18"/>
              </w:rPr>
              <w:t xml:space="preserve">Too many funds</w:t>
            </w:r>
          </w:p>
        </w:tc>
        <w:tc>
          <w:tcPr>
            <w:tcW w:type="dxa" w:w="6060"/>
            <w:shd w:fill="F4F1EA" w:val="clear"/>
            <w:tcMar>
              <w:top w:type="dxa" w:w="80"/>
              <w:left w:type="dxa" w:w="130"/>
              <w:bottom w:type="dxa" w:w="80"/>
              <w:right w:type="dxa" w:w="130"/>
            </w:tcMar>
            <w:vAlign w:val="center"/>
          </w:tcPr>
          <w:p>
            <w:pPr>
              <w:spacing w:after="40" w:line="264"/>
            </w:pPr>
            <w:r>
              <w:rPr>
                <w:sz w:val="18"/>
                <w:szCs w:val="18"/>
              </w:rPr>
              <w:t xml:space="preserve">Fund sprawl that adds overlap, not diversification.</w:t>
            </w:r>
          </w:p>
        </w:tc>
      </w:tr>
      <w:tr>
        <w:tc>
          <w:tcPr>
            <w:tcW w:type="dxa" w:w="600"/>
            <w:shd w:fill="FFFFFF" w:val="clear"/>
            <w:tcMar>
              <w:top w:type="dxa" w:w="80"/>
              <w:left w:type="dxa" w:w="130"/>
              <w:bottom w:type="dxa" w:w="80"/>
              <w:right w:type="dxa" w:w="130"/>
            </w:tcMar>
            <w:vAlign w:val="center"/>
          </w:tcPr>
          <w:p>
            <w:pPr>
              <w:spacing w:after="40" w:line="264"/>
            </w:pPr>
            <w:r>
              <w:rPr>
                <w:sz w:val="18"/>
                <w:szCs w:val="18"/>
              </w:rPr>
              <w:t xml:space="preserve">3</w:t>
            </w:r>
          </w:p>
        </w:tc>
        <w:tc>
          <w:tcPr>
            <w:tcW w:type="dxa" w:w="2700"/>
            <w:shd w:fill="FFFFFF" w:val="clear"/>
            <w:tcMar>
              <w:top w:type="dxa" w:w="80"/>
              <w:left w:type="dxa" w:w="130"/>
              <w:bottom w:type="dxa" w:w="80"/>
              <w:right w:type="dxa" w:w="130"/>
            </w:tcMar>
            <w:vAlign w:val="center"/>
          </w:tcPr>
          <w:p>
            <w:pPr>
              <w:spacing w:after="40" w:line="264"/>
            </w:pPr>
            <w:r>
              <w:rPr>
                <w:sz w:val="18"/>
                <w:szCs w:val="18"/>
              </w:rPr>
              <w:t xml:space="preserve">Smallcap exposure</w:t>
            </w:r>
          </w:p>
        </w:tc>
        <w:tc>
          <w:tcPr>
            <w:tcW w:type="dxa" w:w="6060"/>
            <w:shd w:fill="FFFFFF" w:val="clear"/>
            <w:tcMar>
              <w:top w:type="dxa" w:w="80"/>
              <w:left w:type="dxa" w:w="130"/>
              <w:bottom w:type="dxa" w:w="80"/>
              <w:right w:type="dxa" w:w="130"/>
            </w:tcMar>
            <w:vAlign w:val="center"/>
          </w:tcPr>
          <w:p>
            <w:pPr>
              <w:spacing w:after="40" w:line="264"/>
            </w:pPr>
            <w:r>
              <w:rPr>
                <w:sz w:val="18"/>
                <w:szCs w:val="18"/>
              </w:rPr>
              <w:t xml:space="preserve">Smallcap weight beyond what the risk profile supports.</w:t>
            </w:r>
          </w:p>
        </w:tc>
      </w:tr>
      <w:tr>
        <w:tc>
          <w:tcPr>
            <w:tcW w:type="dxa" w:w="600"/>
            <w:shd w:fill="F4F1EA" w:val="clear"/>
            <w:tcMar>
              <w:top w:type="dxa" w:w="80"/>
              <w:left w:type="dxa" w:w="130"/>
              <w:bottom w:type="dxa" w:w="80"/>
              <w:right w:type="dxa" w:w="130"/>
            </w:tcMar>
            <w:vAlign w:val="center"/>
          </w:tcPr>
          <w:p>
            <w:pPr>
              <w:spacing w:after="40" w:line="264"/>
            </w:pPr>
            <w:r>
              <w:rPr>
                <w:sz w:val="18"/>
                <w:szCs w:val="18"/>
              </w:rPr>
              <w:t xml:space="preserve">4</w:t>
            </w:r>
          </w:p>
        </w:tc>
        <w:tc>
          <w:tcPr>
            <w:tcW w:type="dxa" w:w="2700"/>
            <w:shd w:fill="F4F1EA" w:val="clear"/>
            <w:tcMar>
              <w:top w:type="dxa" w:w="80"/>
              <w:left w:type="dxa" w:w="130"/>
              <w:bottom w:type="dxa" w:w="80"/>
              <w:right w:type="dxa" w:w="130"/>
            </w:tcMar>
            <w:vAlign w:val="center"/>
          </w:tcPr>
          <w:p>
            <w:pPr>
              <w:spacing w:after="40" w:line="264"/>
            </w:pPr>
            <w:r>
              <w:rPr>
                <w:sz w:val="18"/>
                <w:szCs w:val="18"/>
              </w:rPr>
              <w:t xml:space="preserve">Weak diversification</w:t>
            </w:r>
          </w:p>
        </w:tc>
        <w:tc>
          <w:tcPr>
            <w:tcW w:type="dxa" w:w="6060"/>
            <w:shd w:fill="F4F1EA" w:val="clear"/>
            <w:tcMar>
              <w:top w:type="dxa" w:w="80"/>
              <w:left w:type="dxa" w:w="130"/>
              <w:bottom w:type="dxa" w:w="80"/>
              <w:right w:type="dxa" w:w="130"/>
            </w:tcMar>
            <w:vAlign w:val="center"/>
          </w:tcPr>
          <w:p>
            <w:pPr>
              <w:spacing w:after="40" w:line="264"/>
            </w:pPr>
            <w:r>
              <w:rPr>
                <w:sz w:val="18"/>
                <w:szCs w:val="18"/>
              </w:rPr>
              <w:t xml:space="preserve">Holdings that move together; little genuine spread.</w:t>
            </w:r>
          </w:p>
        </w:tc>
      </w:tr>
      <w:tr>
        <w:tc>
          <w:tcPr>
            <w:tcW w:type="dxa" w:w="600"/>
            <w:shd w:fill="FFFFFF" w:val="clear"/>
            <w:tcMar>
              <w:top w:type="dxa" w:w="80"/>
              <w:left w:type="dxa" w:w="130"/>
              <w:bottom w:type="dxa" w:w="80"/>
              <w:right w:type="dxa" w:w="130"/>
            </w:tcMar>
            <w:vAlign w:val="center"/>
          </w:tcPr>
          <w:p>
            <w:pPr>
              <w:spacing w:after="40" w:line="264"/>
            </w:pPr>
            <w:r>
              <w:rPr>
                <w:sz w:val="18"/>
                <w:szCs w:val="18"/>
              </w:rPr>
              <w:t xml:space="preserve">5</w:t>
            </w:r>
          </w:p>
        </w:tc>
        <w:tc>
          <w:tcPr>
            <w:tcW w:type="dxa" w:w="2700"/>
            <w:shd w:fill="FFFFFF" w:val="clear"/>
            <w:tcMar>
              <w:top w:type="dxa" w:w="80"/>
              <w:left w:type="dxa" w:w="130"/>
              <w:bottom w:type="dxa" w:w="80"/>
              <w:right w:type="dxa" w:w="130"/>
            </w:tcMar>
            <w:vAlign w:val="center"/>
          </w:tcPr>
          <w:p>
            <w:pPr>
              <w:spacing w:after="40" w:line="264"/>
            </w:pPr>
            <w:r>
              <w:rPr>
                <w:sz w:val="18"/>
                <w:szCs w:val="18"/>
              </w:rPr>
              <w:t xml:space="preserve">Volatility</w:t>
            </w:r>
          </w:p>
        </w:tc>
        <w:tc>
          <w:tcPr>
            <w:tcW w:type="dxa" w:w="6060"/>
            <w:shd w:fill="FFFFFF" w:val="clear"/>
            <w:tcMar>
              <w:top w:type="dxa" w:w="80"/>
              <w:left w:type="dxa" w:w="130"/>
              <w:bottom w:type="dxa" w:w="80"/>
              <w:right w:type="dxa" w:w="130"/>
            </w:tcMar>
            <w:vAlign w:val="center"/>
          </w:tcPr>
          <w:p>
            <w:pPr>
              <w:spacing w:after="40" w:line="264"/>
            </w:pPr>
            <w:r>
              <w:rPr>
                <w:sz w:val="18"/>
                <w:szCs w:val="18"/>
              </w:rPr>
              <w:t xml:space="preserve">Portfolio swings wider than the client's tolerance.</w:t>
            </w:r>
          </w:p>
        </w:tc>
      </w:tr>
      <w:tr>
        <w:tc>
          <w:tcPr>
            <w:tcW w:type="dxa" w:w="600"/>
            <w:shd w:fill="F4F1EA" w:val="clear"/>
            <w:tcMar>
              <w:top w:type="dxa" w:w="80"/>
              <w:left w:type="dxa" w:w="130"/>
              <w:bottom w:type="dxa" w:w="80"/>
              <w:right w:type="dxa" w:w="130"/>
            </w:tcMar>
            <w:vAlign w:val="center"/>
          </w:tcPr>
          <w:p>
            <w:pPr>
              <w:spacing w:after="40" w:line="264"/>
            </w:pPr>
            <w:r>
              <w:rPr>
                <w:sz w:val="18"/>
                <w:szCs w:val="18"/>
              </w:rPr>
              <w:t xml:space="preserve">6</w:t>
            </w:r>
          </w:p>
        </w:tc>
        <w:tc>
          <w:tcPr>
            <w:tcW w:type="dxa" w:w="2700"/>
            <w:shd w:fill="F4F1EA" w:val="clear"/>
            <w:tcMar>
              <w:top w:type="dxa" w:w="80"/>
              <w:left w:type="dxa" w:w="130"/>
              <w:bottom w:type="dxa" w:w="80"/>
              <w:right w:type="dxa" w:w="130"/>
            </w:tcMar>
            <w:vAlign w:val="center"/>
          </w:tcPr>
          <w:p>
            <w:pPr>
              <w:spacing w:after="40" w:line="264"/>
            </w:pPr>
            <w:r>
              <w:rPr>
                <w:sz w:val="18"/>
                <w:szCs w:val="18"/>
              </w:rPr>
              <w:t xml:space="preserve">Downside protection</w:t>
            </w:r>
          </w:p>
        </w:tc>
        <w:tc>
          <w:tcPr>
            <w:tcW w:type="dxa" w:w="6060"/>
            <w:shd w:fill="F4F1EA" w:val="clear"/>
            <w:tcMar>
              <w:top w:type="dxa" w:w="80"/>
              <w:left w:type="dxa" w:w="130"/>
              <w:bottom w:type="dxa" w:w="80"/>
              <w:right w:type="dxa" w:w="130"/>
            </w:tcMar>
            <w:vAlign w:val="center"/>
          </w:tcPr>
          <w:p>
            <w:pPr>
              <w:spacing w:after="40" w:line="264"/>
            </w:pPr>
            <w:r>
              <w:rPr>
                <w:sz w:val="18"/>
                <w:szCs w:val="18"/>
              </w:rPr>
              <w:t xml:space="preserve">Thin buffer against a market fall.</w:t>
            </w:r>
          </w:p>
        </w:tc>
      </w:tr>
      <w:tr>
        <w:tc>
          <w:tcPr>
            <w:tcW w:type="dxa" w:w="600"/>
            <w:shd w:fill="FFFFFF" w:val="clear"/>
            <w:tcMar>
              <w:top w:type="dxa" w:w="80"/>
              <w:left w:type="dxa" w:w="130"/>
              <w:bottom w:type="dxa" w:w="80"/>
              <w:right w:type="dxa" w:w="130"/>
            </w:tcMar>
            <w:vAlign w:val="center"/>
          </w:tcPr>
          <w:p>
            <w:pPr>
              <w:spacing w:after="40" w:line="264"/>
            </w:pPr>
            <w:r>
              <w:rPr>
                <w:sz w:val="18"/>
                <w:szCs w:val="18"/>
              </w:rPr>
              <w:t xml:space="preserve">7</w:t>
            </w:r>
          </w:p>
        </w:tc>
        <w:tc>
          <w:tcPr>
            <w:tcW w:type="dxa" w:w="2700"/>
            <w:shd w:fill="FFFFFF" w:val="clear"/>
            <w:tcMar>
              <w:top w:type="dxa" w:w="80"/>
              <w:left w:type="dxa" w:w="130"/>
              <w:bottom w:type="dxa" w:w="80"/>
              <w:right w:type="dxa" w:w="130"/>
            </w:tcMar>
            <w:vAlign w:val="center"/>
          </w:tcPr>
          <w:p>
            <w:pPr>
              <w:spacing w:after="40" w:line="264"/>
            </w:pPr>
            <w:r>
              <w:rPr>
                <w:sz w:val="18"/>
                <w:szCs w:val="18"/>
              </w:rPr>
              <w:t xml:space="preserve">Retirement gap</w:t>
            </w:r>
          </w:p>
        </w:tc>
        <w:tc>
          <w:tcPr>
            <w:tcW w:type="dxa" w:w="6060"/>
            <w:shd w:fill="FFFFFF" w:val="clear"/>
            <w:tcMar>
              <w:top w:type="dxa" w:w="80"/>
              <w:left w:type="dxa" w:w="130"/>
              <w:bottom w:type="dxa" w:w="80"/>
              <w:right w:type="dxa" w:w="130"/>
            </w:tcMar>
            <w:vAlign w:val="center"/>
          </w:tcPr>
          <w:p>
            <w:pPr>
              <w:spacing w:after="40" w:line="264"/>
            </w:pPr>
            <w:r>
              <w:rPr>
                <w:sz w:val="18"/>
                <w:szCs w:val="18"/>
              </w:rPr>
              <w:t xml:space="preserve">Retirement corpus projected to fall short.</w:t>
            </w:r>
          </w:p>
        </w:tc>
      </w:tr>
      <w:tr>
        <w:tc>
          <w:tcPr>
            <w:tcW w:type="dxa" w:w="600"/>
            <w:shd w:fill="F4F1EA" w:val="clear"/>
            <w:tcMar>
              <w:top w:type="dxa" w:w="80"/>
              <w:left w:type="dxa" w:w="130"/>
              <w:bottom w:type="dxa" w:w="80"/>
              <w:right w:type="dxa" w:w="130"/>
            </w:tcMar>
            <w:vAlign w:val="center"/>
          </w:tcPr>
          <w:p>
            <w:pPr>
              <w:spacing w:after="40" w:line="264"/>
            </w:pPr>
            <w:r>
              <w:rPr>
                <w:sz w:val="18"/>
                <w:szCs w:val="18"/>
              </w:rPr>
              <w:t xml:space="preserve">8</w:t>
            </w:r>
          </w:p>
        </w:tc>
        <w:tc>
          <w:tcPr>
            <w:tcW w:type="dxa" w:w="2700"/>
            <w:shd w:fill="F4F1EA" w:val="clear"/>
            <w:tcMar>
              <w:top w:type="dxa" w:w="80"/>
              <w:left w:type="dxa" w:w="130"/>
              <w:bottom w:type="dxa" w:w="80"/>
              <w:right w:type="dxa" w:w="130"/>
            </w:tcMar>
            <w:vAlign w:val="center"/>
          </w:tcPr>
          <w:p>
            <w:pPr>
              <w:spacing w:after="40" w:line="264"/>
            </w:pPr>
            <w:r>
              <w:rPr>
                <w:sz w:val="18"/>
                <w:szCs w:val="18"/>
              </w:rPr>
              <w:t xml:space="preserve">Inflation risk</w:t>
            </w:r>
          </w:p>
        </w:tc>
        <w:tc>
          <w:tcPr>
            <w:tcW w:type="dxa" w:w="6060"/>
            <w:shd w:fill="F4F1EA" w:val="clear"/>
            <w:tcMar>
              <w:top w:type="dxa" w:w="80"/>
              <w:left w:type="dxa" w:w="130"/>
              <w:bottom w:type="dxa" w:w="80"/>
              <w:right w:type="dxa" w:w="130"/>
            </w:tcMar>
            <w:vAlign w:val="center"/>
          </w:tcPr>
          <w:p>
            <w:pPr>
              <w:spacing w:after="40" w:line="264"/>
            </w:pPr>
            <w:r>
              <w:rPr>
                <w:sz w:val="18"/>
                <w:szCs w:val="18"/>
              </w:rPr>
              <w:t xml:space="preserve">Real returns too low to outpace inflation.</w:t>
            </w:r>
          </w:p>
        </w:tc>
      </w:tr>
      <w:tr>
        <w:tc>
          <w:tcPr>
            <w:tcW w:type="dxa" w:w="600"/>
            <w:shd w:fill="FFFFFF" w:val="clear"/>
            <w:tcMar>
              <w:top w:type="dxa" w:w="80"/>
              <w:left w:type="dxa" w:w="130"/>
              <w:bottom w:type="dxa" w:w="80"/>
              <w:right w:type="dxa" w:w="130"/>
            </w:tcMar>
            <w:vAlign w:val="center"/>
          </w:tcPr>
          <w:p>
            <w:pPr>
              <w:spacing w:after="40" w:line="264"/>
            </w:pPr>
            <w:r>
              <w:rPr>
                <w:sz w:val="18"/>
                <w:szCs w:val="18"/>
              </w:rPr>
              <w:t xml:space="preserve">9</w:t>
            </w:r>
          </w:p>
        </w:tc>
        <w:tc>
          <w:tcPr>
            <w:tcW w:type="dxa" w:w="2700"/>
            <w:shd w:fill="FFFFFF" w:val="clear"/>
            <w:tcMar>
              <w:top w:type="dxa" w:w="80"/>
              <w:left w:type="dxa" w:w="130"/>
              <w:bottom w:type="dxa" w:w="80"/>
              <w:right w:type="dxa" w:w="130"/>
            </w:tcMar>
            <w:vAlign w:val="center"/>
          </w:tcPr>
          <w:p>
            <w:pPr>
              <w:spacing w:after="40" w:line="264"/>
            </w:pPr>
            <w:r>
              <w:rPr>
                <w:sz w:val="18"/>
                <w:szCs w:val="18"/>
              </w:rPr>
              <w:t xml:space="preserve">Excess cash</w:t>
            </w:r>
          </w:p>
        </w:tc>
        <w:tc>
          <w:tcPr>
            <w:tcW w:type="dxa" w:w="6060"/>
            <w:shd w:fill="FFFFFF" w:val="clear"/>
            <w:tcMar>
              <w:top w:type="dxa" w:w="80"/>
              <w:left w:type="dxa" w:w="130"/>
              <w:bottom w:type="dxa" w:w="80"/>
              <w:right w:type="dxa" w:w="130"/>
            </w:tcMar>
            <w:vAlign w:val="center"/>
          </w:tcPr>
          <w:p>
            <w:pPr>
              <w:spacing w:after="40" w:line="264"/>
            </w:pPr>
            <w:r>
              <w:rPr>
                <w:sz w:val="18"/>
                <w:szCs w:val="18"/>
              </w:rPr>
              <w:t xml:space="preserve">Idle cash dragging long-term returns.</w:t>
            </w:r>
          </w:p>
        </w:tc>
      </w:tr>
      <w:tr>
        <w:tc>
          <w:tcPr>
            <w:tcW w:type="dxa" w:w="600"/>
            <w:shd w:fill="F4F1EA" w:val="clear"/>
            <w:tcMar>
              <w:top w:type="dxa" w:w="80"/>
              <w:left w:type="dxa" w:w="130"/>
              <w:bottom w:type="dxa" w:w="80"/>
              <w:right w:type="dxa" w:w="130"/>
            </w:tcMar>
            <w:vAlign w:val="center"/>
          </w:tcPr>
          <w:p>
            <w:pPr>
              <w:spacing w:after="40" w:line="264"/>
            </w:pPr>
            <w:r>
              <w:rPr>
                <w:sz w:val="18"/>
                <w:szCs w:val="18"/>
              </w:rPr>
              <w:t xml:space="preserve">10</w:t>
            </w:r>
          </w:p>
        </w:tc>
        <w:tc>
          <w:tcPr>
            <w:tcW w:type="dxa" w:w="2700"/>
            <w:shd w:fill="F4F1EA" w:val="clear"/>
            <w:tcMar>
              <w:top w:type="dxa" w:w="80"/>
              <w:left w:type="dxa" w:w="130"/>
              <w:bottom w:type="dxa" w:w="80"/>
              <w:right w:type="dxa" w:w="130"/>
            </w:tcMar>
            <w:vAlign w:val="center"/>
          </w:tcPr>
          <w:p>
            <w:pPr>
              <w:spacing w:after="40" w:line="264"/>
            </w:pPr>
            <w:r>
              <w:rPr>
                <w:sz w:val="18"/>
                <w:szCs w:val="18"/>
              </w:rPr>
              <w:t xml:space="preserve">No emergency fund</w:t>
            </w:r>
          </w:p>
        </w:tc>
        <w:tc>
          <w:tcPr>
            <w:tcW w:type="dxa" w:w="6060"/>
            <w:shd w:fill="F4F1EA" w:val="clear"/>
            <w:tcMar>
              <w:top w:type="dxa" w:w="80"/>
              <w:left w:type="dxa" w:w="130"/>
              <w:bottom w:type="dxa" w:w="80"/>
              <w:right w:type="dxa" w:w="130"/>
            </w:tcMar>
            <w:vAlign w:val="center"/>
          </w:tcPr>
          <w:p>
            <w:pPr>
              <w:spacing w:after="40" w:line="264"/>
            </w:pPr>
            <w:r>
              <w:rPr>
                <w:sz w:val="18"/>
                <w:szCs w:val="18"/>
              </w:rPr>
              <w:t xml:space="preserve">No liquid reserve for shocks.</w:t>
            </w:r>
          </w:p>
        </w:tc>
      </w:tr>
      <w:tr>
        <w:tc>
          <w:tcPr>
            <w:tcW w:type="dxa" w:w="600"/>
            <w:shd w:fill="FFFFFF" w:val="clear"/>
            <w:tcMar>
              <w:top w:type="dxa" w:w="80"/>
              <w:left w:type="dxa" w:w="130"/>
              <w:bottom w:type="dxa" w:w="80"/>
              <w:right w:type="dxa" w:w="130"/>
            </w:tcMar>
            <w:vAlign w:val="center"/>
          </w:tcPr>
          <w:p>
            <w:pPr>
              <w:spacing w:after="40" w:line="264"/>
            </w:pPr>
            <w:r>
              <w:rPr>
                <w:sz w:val="18"/>
                <w:szCs w:val="18"/>
              </w:rPr>
              <w:t xml:space="preserve">11</w:t>
            </w:r>
          </w:p>
        </w:tc>
        <w:tc>
          <w:tcPr>
            <w:tcW w:type="dxa" w:w="2700"/>
            <w:shd w:fill="FFFFFF" w:val="clear"/>
            <w:tcMar>
              <w:top w:type="dxa" w:w="80"/>
              <w:left w:type="dxa" w:w="130"/>
              <w:bottom w:type="dxa" w:w="80"/>
              <w:right w:type="dxa" w:w="130"/>
            </w:tcMar>
            <w:vAlign w:val="center"/>
          </w:tcPr>
          <w:p>
            <w:pPr>
              <w:spacing w:after="40" w:line="264"/>
            </w:pPr>
            <w:r>
              <w:rPr>
                <w:sz w:val="18"/>
                <w:szCs w:val="18"/>
              </w:rPr>
              <w:t xml:space="preserve">Expense ratios</w:t>
            </w:r>
          </w:p>
        </w:tc>
        <w:tc>
          <w:tcPr>
            <w:tcW w:type="dxa" w:w="6060"/>
            <w:shd w:fill="FFFFFF" w:val="clear"/>
            <w:tcMar>
              <w:top w:type="dxa" w:w="80"/>
              <w:left w:type="dxa" w:w="130"/>
              <w:bottom w:type="dxa" w:w="80"/>
              <w:right w:type="dxa" w:w="130"/>
            </w:tcMar>
            <w:vAlign w:val="center"/>
          </w:tcPr>
          <w:p>
            <w:pPr>
              <w:spacing w:after="40" w:line="264"/>
            </w:pPr>
            <w:r>
              <w:rPr>
                <w:sz w:val="18"/>
                <w:szCs w:val="18"/>
              </w:rPr>
              <w:t xml:space="preserve">Funds costing more than category peers.</w:t>
            </w:r>
          </w:p>
        </w:tc>
      </w:tr>
      <w:tr>
        <w:tc>
          <w:tcPr>
            <w:tcW w:type="dxa" w:w="600"/>
            <w:shd w:fill="F4F1EA" w:val="clear"/>
            <w:tcMar>
              <w:top w:type="dxa" w:w="80"/>
              <w:left w:type="dxa" w:w="130"/>
              <w:bottom w:type="dxa" w:w="80"/>
              <w:right w:type="dxa" w:w="130"/>
            </w:tcMar>
            <w:vAlign w:val="center"/>
          </w:tcPr>
          <w:p>
            <w:pPr>
              <w:spacing w:after="40" w:line="264"/>
            </w:pPr>
            <w:r>
              <w:rPr>
                <w:sz w:val="18"/>
                <w:szCs w:val="18"/>
              </w:rPr>
              <w:t xml:space="preserve">12</w:t>
            </w:r>
          </w:p>
        </w:tc>
        <w:tc>
          <w:tcPr>
            <w:tcW w:type="dxa" w:w="2700"/>
            <w:shd w:fill="F4F1EA" w:val="clear"/>
            <w:tcMar>
              <w:top w:type="dxa" w:w="80"/>
              <w:left w:type="dxa" w:w="130"/>
              <w:bottom w:type="dxa" w:w="80"/>
              <w:right w:type="dxa" w:w="130"/>
            </w:tcMar>
            <w:vAlign w:val="center"/>
          </w:tcPr>
          <w:p>
            <w:pPr>
              <w:spacing w:after="40" w:line="264"/>
            </w:pPr>
            <w:r>
              <w:rPr>
                <w:sz w:val="18"/>
                <w:szCs w:val="18"/>
              </w:rPr>
              <w:t xml:space="preserve">Tax inefficiency</w:t>
            </w:r>
          </w:p>
        </w:tc>
        <w:tc>
          <w:tcPr>
            <w:tcW w:type="dxa" w:w="6060"/>
            <w:shd w:fill="F4F1EA" w:val="clear"/>
            <w:tcMar>
              <w:top w:type="dxa" w:w="80"/>
              <w:left w:type="dxa" w:w="130"/>
              <w:bottom w:type="dxa" w:w="80"/>
              <w:right w:type="dxa" w:w="130"/>
            </w:tcMar>
            <w:vAlign w:val="center"/>
          </w:tcPr>
          <w:p>
            <w:pPr>
              <w:spacing w:after="40" w:line="264"/>
            </w:pPr>
            <w:r>
              <w:rPr>
                <w:sz w:val="18"/>
                <w:szCs w:val="18"/>
              </w:rPr>
              <w:t xml:space="preserve">Missed harvesting or poor tax structuring.</w:t>
            </w:r>
          </w:p>
        </w:tc>
      </w:tr>
      <w:tr>
        <w:tc>
          <w:tcPr>
            <w:tcW w:type="dxa" w:w="600"/>
            <w:shd w:fill="FFFFFF" w:val="clear"/>
            <w:tcMar>
              <w:top w:type="dxa" w:w="80"/>
              <w:left w:type="dxa" w:w="130"/>
              <w:bottom w:type="dxa" w:w="80"/>
              <w:right w:type="dxa" w:w="130"/>
            </w:tcMar>
            <w:vAlign w:val="center"/>
          </w:tcPr>
          <w:p>
            <w:pPr>
              <w:spacing w:after="40" w:line="264"/>
            </w:pPr>
            <w:r>
              <w:rPr>
                <w:sz w:val="18"/>
                <w:szCs w:val="18"/>
              </w:rPr>
              <w:t xml:space="preserve">13</w:t>
            </w:r>
          </w:p>
        </w:tc>
        <w:tc>
          <w:tcPr>
            <w:tcW w:type="dxa" w:w="2700"/>
            <w:shd w:fill="FFFFFF" w:val="clear"/>
            <w:tcMar>
              <w:top w:type="dxa" w:w="80"/>
              <w:left w:type="dxa" w:w="130"/>
              <w:bottom w:type="dxa" w:w="80"/>
              <w:right w:type="dxa" w:w="130"/>
            </w:tcMar>
            <w:vAlign w:val="center"/>
          </w:tcPr>
          <w:p>
            <w:pPr>
              <w:spacing w:after="40" w:line="264"/>
            </w:pPr>
            <w:r>
              <w:rPr>
                <w:sz w:val="18"/>
                <w:szCs w:val="18"/>
              </w:rPr>
              <w:t xml:space="preserve">Weak international</w:t>
            </w:r>
          </w:p>
        </w:tc>
        <w:tc>
          <w:tcPr>
            <w:tcW w:type="dxa" w:w="6060"/>
            <w:shd w:fill="FFFFFF" w:val="clear"/>
            <w:tcMar>
              <w:top w:type="dxa" w:w="80"/>
              <w:left w:type="dxa" w:w="130"/>
              <w:bottom w:type="dxa" w:w="80"/>
              <w:right w:type="dxa" w:w="130"/>
            </w:tcMar>
            <w:vAlign w:val="center"/>
          </w:tcPr>
          <w:p>
            <w:pPr>
              <w:spacing w:after="40" w:line="264"/>
            </w:pPr>
            <w:r>
              <w:rPr>
                <w:sz w:val="18"/>
                <w:szCs w:val="18"/>
              </w:rPr>
              <w:t xml:space="preserve">Little or no global diversification.</w:t>
            </w:r>
          </w:p>
        </w:tc>
      </w:tr>
      <w:tr>
        <w:tc>
          <w:tcPr>
            <w:tcW w:type="dxa" w:w="600"/>
            <w:shd w:fill="F4F1EA" w:val="clear"/>
            <w:tcMar>
              <w:top w:type="dxa" w:w="80"/>
              <w:left w:type="dxa" w:w="130"/>
              <w:bottom w:type="dxa" w:w="80"/>
              <w:right w:type="dxa" w:w="130"/>
            </w:tcMar>
            <w:vAlign w:val="center"/>
          </w:tcPr>
          <w:p>
            <w:pPr>
              <w:spacing w:after="40" w:line="264"/>
            </w:pPr>
            <w:r>
              <w:rPr>
                <w:sz w:val="18"/>
                <w:szCs w:val="18"/>
              </w:rPr>
              <w:t xml:space="preserve">14</w:t>
            </w:r>
          </w:p>
        </w:tc>
        <w:tc>
          <w:tcPr>
            <w:tcW w:type="dxa" w:w="2700"/>
            <w:shd w:fill="F4F1EA" w:val="clear"/>
            <w:tcMar>
              <w:top w:type="dxa" w:w="80"/>
              <w:left w:type="dxa" w:w="130"/>
              <w:bottom w:type="dxa" w:w="80"/>
              <w:right w:type="dxa" w:w="130"/>
            </w:tcMar>
            <w:vAlign w:val="center"/>
          </w:tcPr>
          <w:p>
            <w:pPr>
              <w:spacing w:after="40" w:line="264"/>
            </w:pPr>
            <w:r>
              <w:rPr>
                <w:sz w:val="18"/>
                <w:szCs w:val="18"/>
              </w:rPr>
              <w:t xml:space="preserve">Thematic overexposure</w:t>
            </w:r>
          </w:p>
        </w:tc>
        <w:tc>
          <w:tcPr>
            <w:tcW w:type="dxa" w:w="6060"/>
            <w:shd w:fill="F4F1EA" w:val="clear"/>
            <w:tcMar>
              <w:top w:type="dxa" w:w="80"/>
              <w:left w:type="dxa" w:w="130"/>
              <w:bottom w:type="dxa" w:w="80"/>
              <w:right w:type="dxa" w:w="130"/>
            </w:tcMar>
            <w:vAlign w:val="center"/>
          </w:tcPr>
          <w:p>
            <w:pPr>
              <w:spacing w:after="40" w:line="264"/>
            </w:pPr>
            <w:r>
              <w:rPr>
                <w:sz w:val="18"/>
                <w:szCs w:val="18"/>
              </w:rPr>
              <w:t xml:space="preserve">Over-reliance on a narrow theme or sector fund.</w:t>
            </w:r>
          </w:p>
        </w:tc>
      </w:tr>
      <w:tr>
        <w:tc>
          <w:tcPr>
            <w:tcW w:type="dxa" w:w="600"/>
            <w:shd w:fill="FFFFFF" w:val="clear"/>
            <w:tcMar>
              <w:top w:type="dxa" w:w="80"/>
              <w:left w:type="dxa" w:w="130"/>
              <w:bottom w:type="dxa" w:w="80"/>
              <w:right w:type="dxa" w:w="130"/>
            </w:tcMar>
            <w:vAlign w:val="center"/>
          </w:tcPr>
          <w:p>
            <w:pPr>
              <w:spacing w:after="40" w:line="264"/>
            </w:pPr>
            <w:r>
              <w:rPr>
                <w:sz w:val="18"/>
                <w:szCs w:val="18"/>
              </w:rPr>
              <w:t xml:space="preserve">15</w:t>
            </w:r>
          </w:p>
        </w:tc>
        <w:tc>
          <w:tcPr>
            <w:tcW w:type="dxa" w:w="2700"/>
            <w:shd w:fill="FFFFFF" w:val="clear"/>
            <w:tcMar>
              <w:top w:type="dxa" w:w="80"/>
              <w:left w:type="dxa" w:w="130"/>
              <w:bottom w:type="dxa" w:w="80"/>
              <w:right w:type="dxa" w:w="130"/>
            </w:tcMar>
            <w:vAlign w:val="center"/>
          </w:tcPr>
          <w:p>
            <w:pPr>
              <w:spacing w:after="40" w:line="264"/>
            </w:pPr>
            <w:r>
              <w:rPr>
                <w:sz w:val="18"/>
                <w:szCs w:val="18"/>
              </w:rPr>
              <w:t xml:space="preserve">Weak quality</w:t>
            </w:r>
          </w:p>
        </w:tc>
        <w:tc>
          <w:tcPr>
            <w:tcW w:type="dxa" w:w="6060"/>
            <w:shd w:fill="FFFFFF" w:val="clear"/>
            <w:tcMar>
              <w:top w:type="dxa" w:w="80"/>
              <w:left w:type="dxa" w:w="130"/>
              <w:bottom w:type="dxa" w:w="80"/>
              <w:right w:type="dxa" w:w="130"/>
            </w:tcMar>
            <w:vAlign w:val="center"/>
          </w:tcPr>
          <w:p>
            <w:pPr>
              <w:spacing w:after="40" w:line="264"/>
            </w:pPr>
            <w:r>
              <w:rPr>
                <w:sz w:val="18"/>
                <w:szCs w:val="18"/>
              </w:rPr>
              <w:t xml:space="preserve">Holdings with poor fundamental quality.</w:t>
            </w:r>
          </w:p>
        </w:tc>
      </w:tr>
      <w:tr>
        <w:tc>
          <w:tcPr>
            <w:tcW w:type="dxa" w:w="600"/>
            <w:shd w:fill="F4F1EA" w:val="clear"/>
            <w:tcMar>
              <w:top w:type="dxa" w:w="80"/>
              <w:left w:type="dxa" w:w="130"/>
              <w:bottom w:type="dxa" w:w="80"/>
              <w:right w:type="dxa" w:w="130"/>
            </w:tcMar>
            <w:vAlign w:val="center"/>
          </w:tcPr>
          <w:p>
            <w:pPr>
              <w:spacing w:after="40" w:line="264"/>
            </w:pPr>
            <w:r>
              <w:rPr>
                <w:sz w:val="18"/>
                <w:szCs w:val="18"/>
              </w:rPr>
              <w:t xml:space="preserve">16</w:t>
            </w:r>
          </w:p>
        </w:tc>
        <w:tc>
          <w:tcPr>
            <w:tcW w:type="dxa" w:w="2700"/>
            <w:shd w:fill="F4F1EA" w:val="clear"/>
            <w:tcMar>
              <w:top w:type="dxa" w:w="80"/>
              <w:left w:type="dxa" w:w="130"/>
              <w:bottom w:type="dxa" w:w="80"/>
              <w:right w:type="dxa" w:w="130"/>
            </w:tcMar>
            <w:vAlign w:val="center"/>
          </w:tcPr>
          <w:p>
            <w:pPr>
              <w:spacing w:after="40" w:line="264"/>
            </w:pPr>
            <w:r>
              <w:rPr>
                <w:sz w:val="18"/>
                <w:szCs w:val="18"/>
              </w:rPr>
              <w:t xml:space="preserve">Governance risk</w:t>
            </w:r>
          </w:p>
        </w:tc>
        <w:tc>
          <w:tcPr>
            <w:tcW w:type="dxa" w:w="6060"/>
            <w:shd w:fill="F4F1EA" w:val="clear"/>
            <w:tcMar>
              <w:top w:type="dxa" w:w="80"/>
              <w:left w:type="dxa" w:w="130"/>
              <w:bottom w:type="dxa" w:w="80"/>
              <w:right w:type="dxa" w:w="130"/>
            </w:tcMar>
            <w:vAlign w:val="center"/>
          </w:tcPr>
          <w:p>
            <w:pPr>
              <w:spacing w:after="40" w:line="264"/>
            </w:pPr>
            <w:r>
              <w:rPr>
                <w:sz w:val="18"/>
                <w:szCs w:val="18"/>
              </w:rPr>
              <w:t xml:space="preserve">Exposure to weak-governance names.</w:t>
            </w:r>
          </w:p>
        </w:tc>
      </w:tr>
      <w:tr>
        <w:tc>
          <w:tcPr>
            <w:tcW w:type="dxa" w:w="600"/>
            <w:shd w:fill="FFFFFF" w:val="clear"/>
            <w:tcMar>
              <w:top w:type="dxa" w:w="80"/>
              <w:left w:type="dxa" w:w="130"/>
              <w:bottom w:type="dxa" w:w="80"/>
              <w:right w:type="dxa" w:w="130"/>
            </w:tcMar>
            <w:vAlign w:val="center"/>
          </w:tcPr>
          <w:p>
            <w:pPr>
              <w:spacing w:after="40" w:line="264"/>
            </w:pPr>
            <w:r>
              <w:rPr>
                <w:sz w:val="18"/>
                <w:szCs w:val="18"/>
              </w:rPr>
              <w:t xml:space="preserve">17</w:t>
            </w:r>
          </w:p>
        </w:tc>
        <w:tc>
          <w:tcPr>
            <w:tcW w:type="dxa" w:w="2700"/>
            <w:shd w:fill="FFFFFF" w:val="clear"/>
            <w:tcMar>
              <w:top w:type="dxa" w:w="80"/>
              <w:left w:type="dxa" w:w="130"/>
              <w:bottom w:type="dxa" w:w="80"/>
              <w:right w:type="dxa" w:w="130"/>
            </w:tcMar>
            <w:vAlign w:val="center"/>
          </w:tcPr>
          <w:p>
            <w:pPr>
              <w:spacing w:after="40" w:line="264"/>
            </w:pPr>
            <w:r>
              <w:rPr>
                <w:sz w:val="18"/>
                <w:szCs w:val="18"/>
              </w:rPr>
              <w:t xml:space="preserve">Portfolio drift</w:t>
            </w:r>
          </w:p>
        </w:tc>
        <w:tc>
          <w:tcPr>
            <w:tcW w:type="dxa" w:w="6060"/>
            <w:shd w:fill="FFFFFF" w:val="clear"/>
            <w:tcMar>
              <w:top w:type="dxa" w:w="80"/>
              <w:left w:type="dxa" w:w="130"/>
              <w:bottom w:type="dxa" w:w="80"/>
              <w:right w:type="dxa" w:w="130"/>
            </w:tcMar>
            <w:vAlign w:val="center"/>
          </w:tcPr>
          <w:p>
            <w:pPr>
              <w:spacing w:after="40" w:line="264"/>
            </w:pPr>
            <w:r>
              <w:rPr>
                <w:sz w:val="18"/>
                <w:szCs w:val="18"/>
              </w:rPr>
              <w:t xml:space="preserve">Allocation has wandered from its target.</w:t>
            </w:r>
          </w:p>
        </w:tc>
      </w:tr>
      <w:tr>
        <w:tc>
          <w:tcPr>
            <w:tcW w:type="dxa" w:w="600"/>
            <w:shd w:fill="F4F1EA" w:val="clear"/>
            <w:tcMar>
              <w:top w:type="dxa" w:w="80"/>
              <w:left w:type="dxa" w:w="130"/>
              <w:bottom w:type="dxa" w:w="80"/>
              <w:right w:type="dxa" w:w="130"/>
            </w:tcMar>
            <w:vAlign w:val="center"/>
          </w:tcPr>
          <w:p>
            <w:pPr>
              <w:spacing w:after="40" w:line="264"/>
            </w:pPr>
            <w:r>
              <w:rPr>
                <w:sz w:val="18"/>
                <w:szCs w:val="18"/>
              </w:rPr>
              <w:t xml:space="preserve">18</w:t>
            </w:r>
          </w:p>
        </w:tc>
        <w:tc>
          <w:tcPr>
            <w:tcW w:type="dxa" w:w="2700"/>
            <w:shd w:fill="F4F1EA" w:val="clear"/>
            <w:tcMar>
              <w:top w:type="dxa" w:w="80"/>
              <w:left w:type="dxa" w:w="130"/>
              <w:bottom w:type="dxa" w:w="80"/>
              <w:right w:type="dxa" w:w="130"/>
            </w:tcMar>
            <w:vAlign w:val="center"/>
          </w:tcPr>
          <w:p>
            <w:pPr>
              <w:spacing w:after="40" w:line="264"/>
            </w:pPr>
            <w:r>
              <w:rPr>
                <w:sz w:val="18"/>
                <w:szCs w:val="18"/>
              </w:rPr>
              <w:t xml:space="preserve">Emotional risk mismatch</w:t>
            </w:r>
          </w:p>
        </w:tc>
        <w:tc>
          <w:tcPr>
            <w:tcW w:type="dxa" w:w="6060"/>
            <w:shd w:fill="F4F1EA" w:val="clear"/>
            <w:tcMar>
              <w:top w:type="dxa" w:w="80"/>
              <w:left w:type="dxa" w:w="130"/>
              <w:bottom w:type="dxa" w:w="80"/>
              <w:right w:type="dxa" w:w="130"/>
            </w:tcMar>
            <w:vAlign w:val="center"/>
          </w:tcPr>
          <w:p>
            <w:pPr>
              <w:spacing w:after="40" w:line="264"/>
            </w:pPr>
            <w:r>
              <w:rPr>
                <w:sz w:val="18"/>
                <w:szCs w:val="18"/>
              </w:rPr>
              <w:t xml:space="preserve">Real risk taken differs from stated comfort.</w:t>
            </w:r>
          </w:p>
        </w:tc>
      </w:tr>
      <w:tr>
        <w:tc>
          <w:tcPr>
            <w:tcW w:type="dxa" w:w="600"/>
            <w:shd w:fill="FFFFFF" w:val="clear"/>
            <w:tcMar>
              <w:top w:type="dxa" w:w="80"/>
              <w:left w:type="dxa" w:w="130"/>
              <w:bottom w:type="dxa" w:w="80"/>
              <w:right w:type="dxa" w:w="130"/>
            </w:tcMar>
            <w:vAlign w:val="center"/>
          </w:tcPr>
          <w:p>
            <w:pPr>
              <w:spacing w:after="40" w:line="264"/>
            </w:pPr>
            <w:r>
              <w:rPr>
                <w:sz w:val="18"/>
                <w:szCs w:val="18"/>
              </w:rPr>
              <w:t xml:space="preserve">19</w:t>
            </w:r>
          </w:p>
        </w:tc>
        <w:tc>
          <w:tcPr>
            <w:tcW w:type="dxa" w:w="2700"/>
            <w:shd w:fill="FFFFFF" w:val="clear"/>
            <w:tcMar>
              <w:top w:type="dxa" w:w="80"/>
              <w:left w:type="dxa" w:w="130"/>
              <w:bottom w:type="dxa" w:w="80"/>
              <w:right w:type="dxa" w:w="130"/>
            </w:tcMar>
            <w:vAlign w:val="center"/>
          </w:tcPr>
          <w:p>
            <w:pPr>
              <w:spacing w:after="40" w:line="264"/>
            </w:pPr>
            <w:r>
              <w:rPr>
                <w:sz w:val="18"/>
                <w:szCs w:val="18"/>
              </w:rPr>
              <w:t xml:space="preserve">Low return efficiency</w:t>
            </w:r>
          </w:p>
        </w:tc>
        <w:tc>
          <w:tcPr>
            <w:tcW w:type="dxa" w:w="6060"/>
            <w:shd w:fill="FFFFFF" w:val="clear"/>
            <w:tcMar>
              <w:top w:type="dxa" w:w="80"/>
              <w:left w:type="dxa" w:w="130"/>
              <w:bottom w:type="dxa" w:w="80"/>
              <w:right w:type="dxa" w:w="130"/>
            </w:tcMar>
            <w:vAlign w:val="center"/>
          </w:tcPr>
          <w:p>
            <w:pPr>
              <w:spacing w:after="40" w:line="264"/>
            </w:pPr>
            <w:r>
              <w:rPr>
                <w:sz w:val="18"/>
                <w:szCs w:val="18"/>
              </w:rPr>
              <w:t xml:space="preserve">Returns weak for the risk being carried.</w:t>
            </w:r>
          </w:p>
        </w:tc>
      </w:tr>
      <w:tr>
        <w:tc>
          <w:tcPr>
            <w:tcW w:type="dxa" w:w="600"/>
            <w:shd w:fill="F4F1EA" w:val="clear"/>
            <w:tcMar>
              <w:top w:type="dxa" w:w="80"/>
              <w:left w:type="dxa" w:w="130"/>
              <w:bottom w:type="dxa" w:w="80"/>
              <w:right w:type="dxa" w:w="130"/>
            </w:tcMar>
            <w:vAlign w:val="center"/>
          </w:tcPr>
          <w:p>
            <w:pPr>
              <w:spacing w:after="40" w:line="264"/>
            </w:pPr>
            <w:r>
              <w:rPr>
                <w:sz w:val="18"/>
                <w:szCs w:val="18"/>
              </w:rPr>
              <w:t xml:space="preserve">20</w:t>
            </w:r>
          </w:p>
        </w:tc>
        <w:tc>
          <w:tcPr>
            <w:tcW w:type="dxa" w:w="2700"/>
            <w:shd w:fill="F4F1EA" w:val="clear"/>
            <w:tcMar>
              <w:top w:type="dxa" w:w="80"/>
              <w:left w:type="dxa" w:w="130"/>
              <w:bottom w:type="dxa" w:w="80"/>
              <w:right w:type="dxa" w:w="130"/>
            </w:tcMar>
            <w:vAlign w:val="center"/>
          </w:tcPr>
          <w:p>
            <w:pPr>
              <w:spacing w:after="40" w:line="264"/>
            </w:pPr>
            <w:r>
              <w:rPr>
                <w:sz w:val="18"/>
                <w:szCs w:val="18"/>
              </w:rPr>
              <w:t xml:space="preserve">Recession vulnerability</w:t>
            </w:r>
          </w:p>
        </w:tc>
        <w:tc>
          <w:tcPr>
            <w:tcW w:type="dxa" w:w="6060"/>
            <w:shd w:fill="F4F1EA" w:val="clear"/>
            <w:tcMar>
              <w:top w:type="dxa" w:w="80"/>
              <w:left w:type="dxa" w:w="130"/>
              <w:bottom w:type="dxa" w:w="80"/>
              <w:right w:type="dxa" w:w="130"/>
            </w:tcMar>
            <w:vAlign w:val="center"/>
          </w:tcPr>
          <w:p>
            <w:pPr>
              <w:spacing w:after="40" w:line="264"/>
            </w:pPr>
            <w:r>
              <w:rPr>
                <w:sz w:val="18"/>
                <w:szCs w:val="18"/>
              </w:rPr>
              <w:t xml:space="preserve">Fragility to a broad downturn.</w:t>
            </w:r>
          </w:p>
        </w:tc>
      </w:tr>
    </w:tbl>
    <w:p>
      <w:pPr>
        <w:spacing w:after="80"/>
      </w:pPr>
      <w:r>
        <w:t xml:space="preserve"/>
      </w:r>
    </w:p>
    <w:p>
      <w:pPr>
        <w:pStyle w:val="Heading2"/>
      </w:pPr>
      <w:r>
        <w:t xml:space="preserve">6.2 The insight card</w:t>
      </w:r>
    </w:p>
    <w:p>
      <w:pPr>
        <w:spacing w:after="120" w:line="288"/>
      </w:pPr>
      <w:r>
        <w:t xml:space="preserve">Every insight surfaces through one reusable card component, so the client learns the pattern once and reads all twenty fluently. Each card carries:</w:t>
      </w:r>
    </w:p>
    <w:p>
      <w:pPr>
        <w:pStyle w:val="ListParagraph"/>
        <w:numPr>
          <w:ilvl w:val="0"/>
          <w:numId w:val="2"/>
        </w:numPr>
        <w:spacing w:after="80" w:line="288"/>
      </w:pPr>
      <w:r>
        <w:rPr>
          <w:b/>
          <w:bCs/>
        </w:rPr>
        <w:t xml:space="preserve">A severity badge — </w:t>
      </w:r>
      <w:r>
        <w:t xml:space="preserve">HIGH, MEDIUM, or LOW.</w:t>
      </w:r>
    </w:p>
    <w:p>
      <w:pPr>
        <w:pStyle w:val="ListParagraph"/>
        <w:numPr>
          <w:ilvl w:val="0"/>
          <w:numId w:val="2"/>
        </w:numPr>
        <w:spacing w:after="80" w:line="288"/>
      </w:pPr>
      <w:r>
        <w:rPr>
          <w:b/>
          <w:bCs/>
        </w:rPr>
        <w:t xml:space="preserve">A headline finding — </w:t>
      </w:r>
      <w:r>
        <w:t xml:space="preserve">the conclusion with the actual triggering number baked in.</w:t>
      </w:r>
    </w:p>
    <w:p>
      <w:pPr>
        <w:pStyle w:val="ListParagraph"/>
        <w:numPr>
          <w:ilvl w:val="0"/>
          <w:numId w:val="2"/>
        </w:numPr>
        <w:spacing w:after="80" w:line="288"/>
      </w:pPr>
      <w:r>
        <w:rPr>
          <w:b/>
          <w:bCs/>
        </w:rPr>
        <w:t xml:space="preserve">Two stat tiles — </w:t>
      </w:r>
      <w:r>
        <w:t xml:space="preserve">the supporting figures.</w:t>
      </w:r>
    </w:p>
    <w:p>
      <w:pPr>
        <w:pStyle w:val="ListParagraph"/>
        <w:numPr>
          <w:ilvl w:val="0"/>
          <w:numId w:val="2"/>
        </w:numPr>
        <w:spacing w:after="80" w:line="288"/>
      </w:pPr>
      <w:r>
        <w:rPr>
          <w:b/>
          <w:bCs/>
        </w:rPr>
        <w:t xml:space="preserve">A mini-visual — </w:t>
      </w:r>
      <w:r>
        <w:t xml:space="preserve">a compact chart of the finding.</w:t>
      </w:r>
    </w:p>
    <w:p>
      <w:pPr>
        <w:pStyle w:val="ListParagraph"/>
        <w:numPr>
          <w:ilvl w:val="0"/>
          <w:numId w:val="2"/>
        </w:numPr>
        <w:spacing w:after="80" w:line="288"/>
      </w:pPr>
      <w:r>
        <w:rPr>
          <w:b/>
          <w:bCs/>
        </w:rPr>
        <w:t xml:space="preserve">Two chips — </w:t>
      </w:r>
      <w:r>
        <w:t xml:space="preserve">left drills into the relevant dashboard; right asks a follow-up question.</w:t>
      </w:r>
    </w:p>
    <w:p>
      <w:pPr>
        <w:spacing w:after="120" w:line="288"/>
      </w:pPr>
      <w:r>
        <w:t xml:space="preserve">Insights that lack the data to be computed do not disappear — they render as a </w:t>
      </w:r>
      <w:r>
        <w:rPr>
          <w:b/>
          <w:bCs/>
        </w:rPr>
        <w:t xml:space="preserve">Needs-info</w:t>
      </w:r>
      <w:r>
        <w:t xml:space="preserve"> variant that tells the client exactly what to provide to unlock the check.</w:t>
      </w:r>
    </w:p>
    <w:p>
      <w:pPr>
        <w:spacing w:after="80"/>
      </w:pPr>
      <w:r>
        <w:t xml:space="preserve"/>
      </w:r>
    </w:p>
    <w:p>
      <w:pPr>
        <w:pStyle w:val="Heading2"/>
      </w:pPr>
      <w:r>
        <w:t xml:space="preserve">6.3 Build waves by data dependency</w:t>
      </w:r>
    </w:p>
    <w:p>
      <w:pPr>
        <w:spacing w:after="120" w:line="288"/>
      </w:pPr>
      <w:r>
        <w:t xml:space="preserve">The twenty insights are sequenced into three waves by what data each requires:</w:t>
      </w:r>
    </w:p>
    <w:tbl>
      <w:tblPr>
        <w:tblW w:type="dxa" w:w="9360"/>
        <w:tblBorders>
          <w:top w:val="single" w:color="CCC6BA" w:sz="1"/>
          <w:left w:val="single" w:color="CCC6BA" w:sz="1"/>
          <w:bottom w:val="single" w:color="CCC6BA" w:sz="1"/>
          <w:right w:val="single" w:color="CCC6BA" w:sz="1"/>
          <w:insideH w:val="single" w:color="CCC6BA" w:sz="1"/>
          <w:insideV w:val="single" w:color="CCC6BA" w:sz="1"/>
        </w:tblBorders>
      </w:tblPr>
      <w:tblGrid>
        <w:gridCol w:w="1300"/>
        <w:gridCol w:w="2900"/>
        <w:gridCol w:w="5160"/>
      </w:tblGrid>
      <w:tr>
        <w:trPr>
          <w:tblHeader/>
        </w:trPr>
        <w:tc>
          <w:tcPr>
            <w:tcW w:type="dxa" w:w="1300"/>
            <w:shd w:fill="2A2620" w:val="clear"/>
            <w:tcMar>
              <w:top w:type="dxa" w:w="90"/>
              <w:left w:type="dxa" w:w="130"/>
              <w:bottom w:type="dxa" w:w="90"/>
              <w:right w:type="dxa" w:w="130"/>
            </w:tcMar>
            <w:vAlign w:val="center"/>
          </w:tcPr>
          <w:p>
            <w:r>
              <w:rPr>
                <w:b/>
                <w:bCs/>
                <w:color w:val="FFFFFF"/>
                <w:sz w:val="19"/>
                <w:szCs w:val="19"/>
              </w:rPr>
              <w:t xml:space="preserve">Wave</w:t>
            </w:r>
          </w:p>
        </w:tc>
        <w:tc>
          <w:tcPr>
            <w:tcW w:type="dxa" w:w="2900"/>
            <w:shd w:fill="2A2620" w:val="clear"/>
            <w:tcMar>
              <w:top w:type="dxa" w:w="90"/>
              <w:left w:type="dxa" w:w="130"/>
              <w:bottom w:type="dxa" w:w="90"/>
              <w:right w:type="dxa" w:w="130"/>
            </w:tcMar>
            <w:vAlign w:val="center"/>
          </w:tcPr>
          <w:p>
            <w:r>
              <w:rPr>
                <w:b/>
                <w:bCs/>
                <w:color w:val="FFFFFF"/>
                <w:sz w:val="19"/>
                <w:szCs w:val="19"/>
              </w:rPr>
              <w:t xml:space="preserve">Requires</w:t>
            </w:r>
          </w:p>
        </w:tc>
        <w:tc>
          <w:tcPr>
            <w:tcW w:type="dxa" w:w="5160"/>
            <w:shd w:fill="2A2620" w:val="clear"/>
            <w:tcMar>
              <w:top w:type="dxa" w:w="90"/>
              <w:left w:type="dxa" w:w="130"/>
              <w:bottom w:type="dxa" w:w="90"/>
              <w:right w:type="dxa" w:w="130"/>
            </w:tcMar>
            <w:vAlign w:val="center"/>
          </w:tcPr>
          <w:p>
            <w:r>
              <w:rPr>
                <w:b/>
                <w:bCs/>
                <w:color w:val="FFFFFF"/>
                <w:sz w:val="19"/>
                <w:szCs w:val="19"/>
              </w:rPr>
              <w:t xml:space="preserve">Insights</w:t>
            </w:r>
          </w:p>
        </w:tc>
      </w:tr>
      <w:tr>
        <w:tc>
          <w:tcPr>
            <w:tcW w:type="dxa" w:w="1300"/>
            <w:shd w:fill="FFFFFF" w:val="clear"/>
            <w:tcMar>
              <w:top w:type="dxa" w:w="80"/>
              <w:left w:type="dxa" w:w="130"/>
              <w:bottom w:type="dxa" w:w="80"/>
              <w:right w:type="dxa" w:w="130"/>
            </w:tcMar>
            <w:vAlign w:val="center"/>
          </w:tcPr>
          <w:p>
            <w:pPr>
              <w:spacing w:after="40" w:line="264"/>
            </w:pPr>
            <w:r>
              <w:rPr>
                <w:b/>
                <w:bCs/>
              </w:rPr>
              <w:t xml:space="preserve">Wave 1</w:t>
            </w:r>
          </w:p>
        </w:tc>
        <w:tc>
          <w:tcPr>
            <w:tcW w:type="dxa" w:w="2900"/>
            <w:shd w:fill="FFFFFF" w:val="clear"/>
            <w:tcMar>
              <w:top w:type="dxa" w:w="80"/>
              <w:left w:type="dxa" w:w="130"/>
              <w:bottom w:type="dxa" w:w="80"/>
              <w:right w:type="dxa" w:w="130"/>
            </w:tcMar>
            <w:vAlign w:val="center"/>
          </w:tcPr>
          <w:p>
            <w:pPr>
              <w:spacing w:after="40" w:line="264"/>
            </w:pPr>
            <w:r>
              <w:rPr>
                <w:sz w:val="18"/>
                <w:szCs w:val="18"/>
              </w:rPr>
              <w:t xml:space="preserve">Holdings math only</w:t>
            </w:r>
          </w:p>
        </w:tc>
        <w:tc>
          <w:tcPr>
            <w:tcW w:type="dxa" w:w="5160"/>
            <w:shd w:fill="FFFFFF" w:val="clear"/>
            <w:tcMar>
              <w:top w:type="dxa" w:w="80"/>
              <w:left w:type="dxa" w:w="130"/>
              <w:bottom w:type="dxa" w:w="80"/>
              <w:right w:type="dxa" w:w="130"/>
            </w:tcMar>
            <w:vAlign w:val="center"/>
          </w:tcPr>
          <w:p>
            <w:pPr>
              <w:spacing w:after="40" w:line="264"/>
            </w:pPr>
            <w:r>
              <w:rPr>
                <w:sz w:val="18"/>
                <w:szCs w:val="18"/>
              </w:rPr>
              <w:t xml:space="preserve">Concentration, too many funds, weak diversification, excess cash, drift.</w:t>
            </w:r>
          </w:p>
        </w:tc>
      </w:tr>
      <w:tr>
        <w:tc>
          <w:tcPr>
            <w:tcW w:type="dxa" w:w="1300"/>
            <w:shd w:fill="F4F1EA" w:val="clear"/>
            <w:tcMar>
              <w:top w:type="dxa" w:w="80"/>
              <w:left w:type="dxa" w:w="130"/>
              <w:bottom w:type="dxa" w:w="80"/>
              <w:right w:type="dxa" w:w="130"/>
            </w:tcMar>
            <w:vAlign w:val="center"/>
          </w:tcPr>
          <w:p>
            <w:pPr>
              <w:spacing w:after="40" w:line="264"/>
            </w:pPr>
            <w:r>
              <w:rPr>
                <w:b/>
                <w:bCs/>
              </w:rPr>
              <w:t xml:space="preserve">Wave 2</w:t>
            </w:r>
          </w:p>
        </w:tc>
        <w:tc>
          <w:tcPr>
            <w:tcW w:type="dxa" w:w="2900"/>
            <w:shd w:fill="F4F1EA" w:val="clear"/>
            <w:tcMar>
              <w:top w:type="dxa" w:w="80"/>
              <w:left w:type="dxa" w:w="130"/>
              <w:bottom w:type="dxa" w:w="80"/>
              <w:right w:type="dxa" w:w="130"/>
            </w:tcMar>
            <w:vAlign w:val="center"/>
          </w:tcPr>
          <w:p>
            <w:pPr>
              <w:spacing w:after="40" w:line="264"/>
            </w:pPr>
            <w:r>
              <w:rPr>
                <w:sz w:val="18"/>
                <w:szCs w:val="18"/>
              </w:rPr>
              <w:t xml:space="preserve">Holdings + market data</w:t>
            </w:r>
          </w:p>
        </w:tc>
        <w:tc>
          <w:tcPr>
            <w:tcW w:type="dxa" w:w="5160"/>
            <w:shd w:fill="F4F1EA" w:val="clear"/>
            <w:tcMar>
              <w:top w:type="dxa" w:w="80"/>
              <w:left w:type="dxa" w:w="130"/>
              <w:bottom w:type="dxa" w:w="80"/>
              <w:right w:type="dxa" w:w="130"/>
            </w:tcMar>
            <w:vAlign w:val="center"/>
          </w:tcPr>
          <w:p>
            <w:pPr>
              <w:spacing w:after="40" w:line="264"/>
            </w:pPr>
            <w:r>
              <w:rPr>
                <w:sz w:val="18"/>
                <w:szCs w:val="18"/>
              </w:rPr>
              <w:t xml:space="preserve">Smallcap, volatility, downside, expense ratios, international, thematic, return efficiency.</w:t>
            </w:r>
          </w:p>
        </w:tc>
      </w:tr>
      <w:tr>
        <w:tc>
          <w:tcPr>
            <w:tcW w:type="dxa" w:w="1300"/>
            <w:shd w:fill="FFFFFF" w:val="clear"/>
            <w:tcMar>
              <w:top w:type="dxa" w:w="80"/>
              <w:left w:type="dxa" w:w="130"/>
              <w:bottom w:type="dxa" w:w="80"/>
              <w:right w:type="dxa" w:w="130"/>
            </w:tcMar>
            <w:vAlign w:val="center"/>
          </w:tcPr>
          <w:p>
            <w:pPr>
              <w:spacing w:after="40" w:line="264"/>
            </w:pPr>
            <w:r>
              <w:rPr>
                <w:b/>
                <w:bCs/>
              </w:rPr>
              <w:t xml:space="preserve">Wave 3</w:t>
            </w:r>
          </w:p>
        </w:tc>
        <w:tc>
          <w:tcPr>
            <w:tcW w:type="dxa" w:w="2900"/>
            <w:shd w:fill="FFFFFF" w:val="clear"/>
            <w:tcMar>
              <w:top w:type="dxa" w:w="80"/>
              <w:left w:type="dxa" w:w="130"/>
              <w:bottom w:type="dxa" w:w="80"/>
              <w:right w:type="dxa" w:w="130"/>
            </w:tcMar>
            <w:vAlign w:val="center"/>
          </w:tcPr>
          <w:p>
            <w:pPr>
              <w:spacing w:after="40" w:line="264"/>
            </w:pPr>
            <w:r>
              <w:rPr>
                <w:sz w:val="18"/>
                <w:szCs w:val="18"/>
              </w:rPr>
              <w:t xml:space="preserve">Holdings + user input</w:t>
            </w:r>
          </w:p>
        </w:tc>
        <w:tc>
          <w:tcPr>
            <w:tcW w:type="dxa" w:w="5160"/>
            <w:shd w:fill="FFFFFF" w:val="clear"/>
            <w:tcMar>
              <w:top w:type="dxa" w:w="80"/>
              <w:left w:type="dxa" w:w="130"/>
              <w:bottom w:type="dxa" w:w="80"/>
              <w:right w:type="dxa" w:w="130"/>
            </w:tcMar>
            <w:vAlign w:val="center"/>
          </w:tcPr>
          <w:p>
            <w:pPr>
              <w:spacing w:after="40" w:line="264"/>
            </w:pPr>
            <w:r>
              <w:rPr>
                <w:sz w:val="18"/>
                <w:szCs w:val="18"/>
              </w:rPr>
              <w:t xml:space="preserve">Retirement, inflation, emergency fund, tax, quality, governance, emotional mismatch, recession.</w:t>
            </w:r>
          </w:p>
        </w:tc>
      </w:tr>
    </w:tbl>
    <w:p>
      <w:r>
        <w:br w:type="page"/>
      </w:r>
    </w:p>
    <w:p>
      <w:pPr>
        <w:pStyle w:val="Heading1"/>
      </w:pPr>
      <w:r>
        <w:t xml:space="preserve">7. The Six Analytical Dashboards</w:t>
      </w:r>
    </w:p>
    <w:p>
      <w:pPr>
        <w:spacing w:after="120" w:line="288"/>
      </w:pPr>
      <w:r>
        <w:t xml:space="preserve">When a client wants depth on a finding, they open a dashboard. There are six. Every one follows an identical three-section template, so the product is learned once and applied everywhere.</w:t>
      </w:r>
    </w:p>
    <w:p>
      <w:pPr>
        <w:spacing w:after="80"/>
      </w:pPr>
      <w:r>
        <w:t xml:space="preserve"/>
      </w:r>
    </w:p>
    <w:p>
      <w:pPr>
        <w:pStyle w:val="Heading2"/>
      </w:pPr>
      <w:r>
        <w:t xml:space="preserve">7.1 The shared three-section template</w:t>
      </w:r>
    </w:p>
    <w:tbl>
      <w:tblPr>
        <w:tblW w:type="dxa" w:w="9360"/>
        <w:tblBorders>
          <w:top w:val="single" w:color="CCC6BA" w:sz="1"/>
          <w:left w:val="single" w:color="CCC6BA" w:sz="1"/>
          <w:bottom w:val="single" w:color="CCC6BA" w:sz="1"/>
          <w:right w:val="single" w:color="CCC6BA" w:sz="1"/>
          <w:insideH w:val="single" w:color="CCC6BA" w:sz="1"/>
          <w:insideV w:val="single" w:color="CCC6BA" w:sz="1"/>
        </w:tblBorders>
      </w:tblPr>
      <w:tblGrid>
        <w:gridCol w:w="2100"/>
        <w:gridCol w:w="1700"/>
        <w:gridCol w:w="5560"/>
      </w:tblGrid>
      <w:tr>
        <w:trPr>
          <w:tblHeader/>
        </w:trPr>
        <w:tc>
          <w:tcPr>
            <w:tcW w:type="dxa" w:w="2100"/>
            <w:shd w:fill="2A2620" w:val="clear"/>
            <w:tcMar>
              <w:top w:type="dxa" w:w="90"/>
              <w:left w:type="dxa" w:w="130"/>
              <w:bottom w:type="dxa" w:w="90"/>
              <w:right w:type="dxa" w:w="130"/>
            </w:tcMar>
            <w:vAlign w:val="center"/>
          </w:tcPr>
          <w:p>
            <w:r>
              <w:rPr>
                <w:b/>
                <w:bCs/>
                <w:color w:val="FFFFFF"/>
                <w:sz w:val="19"/>
                <w:szCs w:val="19"/>
              </w:rPr>
              <w:t xml:space="preserve">Section</w:t>
            </w:r>
          </w:p>
        </w:tc>
        <w:tc>
          <w:tcPr>
            <w:tcW w:type="dxa" w:w="1700"/>
            <w:shd w:fill="2A2620" w:val="clear"/>
            <w:tcMar>
              <w:top w:type="dxa" w:w="90"/>
              <w:left w:type="dxa" w:w="130"/>
              <w:bottom w:type="dxa" w:w="90"/>
              <w:right w:type="dxa" w:w="130"/>
            </w:tcMar>
            <w:vAlign w:val="center"/>
          </w:tcPr>
          <w:p>
            <w:r>
              <w:rPr>
                <w:b/>
                <w:bCs/>
                <w:color w:val="FFFFFF"/>
                <w:sz w:val="19"/>
                <w:szCs w:val="19"/>
              </w:rPr>
              <w:t xml:space="preserve">Purpose</w:t>
            </w:r>
          </w:p>
        </w:tc>
        <w:tc>
          <w:tcPr>
            <w:tcW w:type="dxa" w:w="5560"/>
            <w:shd w:fill="2A2620" w:val="clear"/>
            <w:tcMar>
              <w:top w:type="dxa" w:w="90"/>
              <w:left w:type="dxa" w:w="130"/>
              <w:bottom w:type="dxa" w:w="90"/>
              <w:right w:type="dxa" w:w="130"/>
            </w:tcMar>
            <w:vAlign w:val="center"/>
          </w:tcPr>
          <w:p>
            <w:r>
              <w:rPr>
                <w:b/>
                <w:bCs/>
                <w:color w:val="FFFFFF"/>
                <w:sz w:val="19"/>
                <w:szCs w:val="19"/>
              </w:rPr>
              <w:t xml:space="preserve">Contents</w:t>
            </w:r>
          </w:p>
        </w:tc>
      </w:tr>
      <w:tr>
        <w:tc>
          <w:tcPr>
            <w:tcW w:type="dxa" w:w="2100"/>
            <w:shd w:fill="FFFFFF" w:val="clear"/>
            <w:tcMar>
              <w:top w:type="dxa" w:w="80"/>
              <w:left w:type="dxa" w:w="130"/>
              <w:bottom w:type="dxa" w:w="80"/>
              <w:right w:type="dxa" w:w="130"/>
            </w:tcMar>
            <w:vAlign w:val="center"/>
          </w:tcPr>
          <w:p>
            <w:pPr>
              <w:spacing w:after="40" w:line="264"/>
            </w:pPr>
            <w:r>
              <w:rPr>
                <w:sz w:val="18"/>
                <w:szCs w:val="18"/>
              </w:rPr>
              <w:t xml:space="preserve">① Insight</w:t>
            </w:r>
          </w:p>
        </w:tc>
        <w:tc>
          <w:tcPr>
            <w:tcW w:type="dxa" w:w="1700"/>
            <w:shd w:fill="FFFFFF" w:val="clear"/>
            <w:tcMar>
              <w:top w:type="dxa" w:w="80"/>
              <w:left w:type="dxa" w:w="130"/>
              <w:bottom w:type="dxa" w:w="80"/>
              <w:right w:type="dxa" w:w="130"/>
            </w:tcMar>
            <w:vAlign w:val="center"/>
          </w:tcPr>
          <w:p>
            <w:pPr>
              <w:spacing w:after="40" w:line="264"/>
            </w:pPr>
            <w:r>
              <w:rPr>
                <w:sz w:val="18"/>
                <w:szCs w:val="18"/>
              </w:rPr>
              <w:t xml:space="preserve">Diagnose</w:t>
            </w:r>
          </w:p>
        </w:tc>
        <w:tc>
          <w:tcPr>
            <w:tcW w:type="dxa" w:w="5560"/>
            <w:shd w:fill="FFFFFF" w:val="clear"/>
            <w:tcMar>
              <w:top w:type="dxa" w:w="80"/>
              <w:left w:type="dxa" w:w="130"/>
              <w:bottom w:type="dxa" w:w="80"/>
              <w:right w:type="dxa" w:w="130"/>
            </w:tcMar>
            <w:vAlign w:val="center"/>
          </w:tcPr>
          <w:p>
            <w:pPr>
              <w:spacing w:after="40" w:line="264"/>
            </w:pPr>
            <w:r>
              <w:rPr>
                <w:sz w:val="18"/>
                <w:szCs w:val="18"/>
              </w:rPr>
              <w:t xml:space="preserve">The headline finding, a hero metric, supporting stat tiles, and a chart.</w:t>
            </w:r>
          </w:p>
        </w:tc>
      </w:tr>
      <w:tr>
        <w:tc>
          <w:tcPr>
            <w:tcW w:type="dxa" w:w="2100"/>
            <w:shd w:fill="F4F1EA" w:val="clear"/>
            <w:tcMar>
              <w:top w:type="dxa" w:w="80"/>
              <w:left w:type="dxa" w:w="130"/>
              <w:bottom w:type="dxa" w:w="80"/>
              <w:right w:type="dxa" w:w="130"/>
            </w:tcMar>
            <w:vAlign w:val="center"/>
          </w:tcPr>
          <w:p>
            <w:pPr>
              <w:spacing w:after="40" w:line="264"/>
            </w:pPr>
            <w:r>
              <w:rPr>
                <w:sz w:val="18"/>
                <w:szCs w:val="18"/>
              </w:rPr>
              <w:t xml:space="preserve">② Recommendations</w:t>
            </w:r>
          </w:p>
        </w:tc>
        <w:tc>
          <w:tcPr>
            <w:tcW w:type="dxa" w:w="1700"/>
            <w:shd w:fill="F4F1EA" w:val="clear"/>
            <w:tcMar>
              <w:top w:type="dxa" w:w="80"/>
              <w:left w:type="dxa" w:w="130"/>
              <w:bottom w:type="dxa" w:w="80"/>
              <w:right w:type="dxa" w:w="130"/>
            </w:tcMar>
            <w:vAlign w:val="center"/>
          </w:tcPr>
          <w:p>
            <w:pPr>
              <w:spacing w:after="40" w:line="264"/>
            </w:pPr>
            <w:r>
              <w:rPr>
                <w:sz w:val="18"/>
                <w:szCs w:val="18"/>
              </w:rPr>
              <w:t xml:space="preserve">Prescribe</w:t>
            </w:r>
          </w:p>
        </w:tc>
        <w:tc>
          <w:tcPr>
            <w:tcW w:type="dxa" w:w="5560"/>
            <w:shd w:fill="F4F1EA" w:val="clear"/>
            <w:tcMar>
              <w:top w:type="dxa" w:w="80"/>
              <w:left w:type="dxa" w:w="130"/>
              <w:bottom w:type="dxa" w:w="80"/>
              <w:right w:type="dxa" w:w="130"/>
            </w:tcMar>
            <w:vAlign w:val="center"/>
          </w:tcPr>
          <w:p>
            <w:pPr>
              <w:spacing w:after="40" w:line="264"/>
            </w:pPr>
            <w:r>
              <w:rPr>
                <w:sz w:val="18"/>
                <w:szCs w:val="18"/>
              </w:rPr>
              <w:t xml:space="preserve">A ranked action matrix — each row a priority-badged recommendation.</w:t>
            </w:r>
          </w:p>
        </w:tc>
      </w:tr>
      <w:tr>
        <w:tc>
          <w:tcPr>
            <w:tcW w:type="dxa" w:w="2100"/>
            <w:shd w:fill="FFFFFF" w:val="clear"/>
            <w:tcMar>
              <w:top w:type="dxa" w:w="80"/>
              <w:left w:type="dxa" w:w="130"/>
              <w:bottom w:type="dxa" w:w="80"/>
              <w:right w:type="dxa" w:w="130"/>
            </w:tcMar>
            <w:vAlign w:val="center"/>
          </w:tcPr>
          <w:p>
            <w:pPr>
              <w:spacing w:after="40" w:line="264"/>
            </w:pPr>
            <w:r>
              <w:rPr>
                <w:sz w:val="18"/>
                <w:szCs w:val="18"/>
              </w:rPr>
              <w:t xml:space="preserve">③ Apply</w:t>
            </w:r>
          </w:p>
        </w:tc>
        <w:tc>
          <w:tcPr>
            <w:tcW w:type="dxa" w:w="1700"/>
            <w:shd w:fill="FFFFFF" w:val="clear"/>
            <w:tcMar>
              <w:top w:type="dxa" w:w="80"/>
              <w:left w:type="dxa" w:w="130"/>
              <w:bottom w:type="dxa" w:w="80"/>
              <w:right w:type="dxa" w:w="130"/>
            </w:tcMar>
            <w:vAlign w:val="center"/>
          </w:tcPr>
          <w:p>
            <w:pPr>
              <w:spacing w:after="40" w:line="264"/>
            </w:pPr>
            <w:r>
              <w:rPr>
                <w:sz w:val="18"/>
                <w:szCs w:val="18"/>
              </w:rPr>
              <w:t xml:space="preserve">Commit</w:t>
            </w:r>
          </w:p>
        </w:tc>
        <w:tc>
          <w:tcPr>
            <w:tcW w:type="dxa" w:w="5560"/>
            <w:shd w:fill="FFFFFF" w:val="clear"/>
            <w:tcMar>
              <w:top w:type="dxa" w:w="80"/>
              <w:left w:type="dxa" w:w="130"/>
              <w:bottom w:type="dxa" w:w="80"/>
              <w:right w:type="dxa" w:w="130"/>
            </w:tcMar>
            <w:vAlign w:val="center"/>
          </w:tcPr>
          <w:p>
            <w:pPr>
              <w:spacing w:after="40" w:line="264"/>
            </w:pPr>
            <w:r>
              <w:rPr>
                <w:sz w:val="18"/>
                <w:szCs w:val="18"/>
              </w:rPr>
              <w:t xml:space="preserve">A projected-metric footer and a Send-to-Plan-board control.</w:t>
            </w:r>
          </w:p>
        </w:tc>
      </w:tr>
    </w:tbl>
    <w:p>
      <w:pPr>
        <w:spacing w:after="80"/>
      </w:pPr>
      <w:r>
        <w:t xml:space="preserve"/>
      </w:r>
    </w:p>
    <w:p>
      <w:pPr>
        <w:pStyle w:val="Heading2"/>
      </w:pPr>
      <w:r>
        <w:t xml:space="preserve">7.2 The six dashboards</w:t>
      </w:r>
    </w:p>
    <w:tbl>
      <w:tblPr>
        <w:tblW w:type="dxa" w:w="9360"/>
        <w:tblBorders>
          <w:top w:val="single" w:color="CCC6BA" w:sz="1"/>
          <w:left w:val="single" w:color="CCC6BA" w:sz="1"/>
          <w:bottom w:val="single" w:color="CCC6BA" w:sz="1"/>
          <w:right w:val="single" w:color="CCC6BA" w:sz="1"/>
          <w:insideH w:val="single" w:color="CCC6BA" w:sz="1"/>
          <w:insideV w:val="single" w:color="CCC6BA" w:sz="1"/>
        </w:tblBorders>
      </w:tblPr>
      <w:tblGrid>
        <w:gridCol w:w="1900"/>
        <w:gridCol w:w="4060"/>
        <w:gridCol w:w="3400"/>
      </w:tblGrid>
      <w:tr>
        <w:trPr>
          <w:tblHeader/>
        </w:trPr>
        <w:tc>
          <w:tcPr>
            <w:tcW w:type="dxa" w:w="1900"/>
            <w:shd w:fill="2A2620" w:val="clear"/>
            <w:tcMar>
              <w:top w:type="dxa" w:w="90"/>
              <w:left w:type="dxa" w:w="130"/>
              <w:bottom w:type="dxa" w:w="90"/>
              <w:right w:type="dxa" w:w="130"/>
            </w:tcMar>
            <w:vAlign w:val="center"/>
          </w:tcPr>
          <w:p>
            <w:r>
              <w:rPr>
                <w:b/>
                <w:bCs/>
                <w:color w:val="FFFFFF"/>
                <w:sz w:val="19"/>
                <w:szCs w:val="19"/>
              </w:rPr>
              <w:t xml:space="preserve">Dashboard</w:t>
            </w:r>
          </w:p>
        </w:tc>
        <w:tc>
          <w:tcPr>
            <w:tcW w:type="dxa" w:w="4060"/>
            <w:shd w:fill="2A2620" w:val="clear"/>
            <w:tcMar>
              <w:top w:type="dxa" w:w="90"/>
              <w:left w:type="dxa" w:w="130"/>
              <w:bottom w:type="dxa" w:w="90"/>
              <w:right w:type="dxa" w:w="130"/>
            </w:tcMar>
            <w:vAlign w:val="center"/>
          </w:tcPr>
          <w:p>
            <w:r>
              <w:rPr>
                <w:b/>
                <w:bCs/>
                <w:color w:val="FFFFFF"/>
                <w:sz w:val="19"/>
                <w:szCs w:val="19"/>
              </w:rPr>
              <w:t xml:space="preserve">Diagnoses</w:t>
            </w:r>
          </w:p>
        </w:tc>
        <w:tc>
          <w:tcPr>
            <w:tcW w:type="dxa" w:w="3400"/>
            <w:shd w:fill="2A2620" w:val="clear"/>
            <w:tcMar>
              <w:top w:type="dxa" w:w="90"/>
              <w:left w:type="dxa" w:w="130"/>
              <w:bottom w:type="dxa" w:w="90"/>
              <w:right w:type="dxa" w:w="130"/>
            </w:tcMar>
            <w:vAlign w:val="center"/>
          </w:tcPr>
          <w:p>
            <w:r>
              <w:rPr>
                <w:b/>
                <w:bCs/>
                <w:color w:val="FFFFFF"/>
                <w:sz w:val="19"/>
                <w:szCs w:val="19"/>
              </w:rPr>
              <w:t xml:space="preserve">Matrix impact metric</w:t>
            </w:r>
          </w:p>
        </w:tc>
      </w:tr>
      <w:tr>
        <w:tc>
          <w:tcPr>
            <w:tcW w:type="dxa" w:w="1900"/>
            <w:shd w:fill="FFFFFF" w:val="clear"/>
            <w:tcMar>
              <w:top w:type="dxa" w:w="80"/>
              <w:left w:type="dxa" w:w="130"/>
              <w:bottom w:type="dxa" w:w="80"/>
              <w:right w:type="dxa" w:w="130"/>
            </w:tcMar>
            <w:vAlign w:val="center"/>
          </w:tcPr>
          <w:p>
            <w:pPr>
              <w:spacing w:after="40" w:line="264"/>
            </w:pPr>
            <w:r>
              <w:rPr>
                <w:sz w:val="18"/>
                <w:szCs w:val="18"/>
              </w:rPr>
              <w:t xml:space="preserve">Concentration</w:t>
            </w:r>
          </w:p>
        </w:tc>
        <w:tc>
          <w:tcPr>
            <w:tcW w:type="dxa" w:w="4060"/>
            <w:shd w:fill="FFFFFF" w:val="clear"/>
            <w:tcMar>
              <w:top w:type="dxa" w:w="80"/>
              <w:left w:type="dxa" w:w="130"/>
              <w:bottom w:type="dxa" w:w="80"/>
              <w:right w:type="dxa" w:w="130"/>
            </w:tcMar>
            <w:vAlign w:val="center"/>
          </w:tcPr>
          <w:p>
            <w:pPr>
              <w:spacing w:after="40" w:line="264"/>
            </w:pPr>
            <w:r>
              <w:rPr>
                <w:sz w:val="18"/>
                <w:szCs w:val="18"/>
              </w:rPr>
              <w:t xml:space="preserve">Over-exposure by stock, sector, AMC, company, group</w:t>
            </w:r>
          </w:p>
        </w:tc>
        <w:tc>
          <w:tcPr>
            <w:tcW w:type="dxa" w:w="3400"/>
            <w:shd w:fill="FFFFFF" w:val="clear"/>
            <w:tcMar>
              <w:top w:type="dxa" w:w="80"/>
              <w:left w:type="dxa" w:w="130"/>
              <w:bottom w:type="dxa" w:w="80"/>
              <w:right w:type="dxa" w:w="130"/>
            </w:tcMar>
            <w:vAlign w:val="center"/>
          </w:tcPr>
          <w:p>
            <w:pPr>
              <w:spacing w:after="40" w:line="264"/>
            </w:pPr>
            <w:r>
              <w:rPr>
                <w:sz w:val="18"/>
                <w:szCs w:val="18"/>
              </w:rPr>
              <w:t xml:space="preserve">Health points</w:t>
            </w:r>
          </w:p>
        </w:tc>
      </w:tr>
      <w:tr>
        <w:tc>
          <w:tcPr>
            <w:tcW w:type="dxa" w:w="1900"/>
            <w:shd w:fill="F4F1EA" w:val="clear"/>
            <w:tcMar>
              <w:top w:type="dxa" w:w="80"/>
              <w:left w:type="dxa" w:w="130"/>
              <w:bottom w:type="dxa" w:w="80"/>
              <w:right w:type="dxa" w:w="130"/>
            </w:tcMar>
            <w:vAlign w:val="center"/>
          </w:tcPr>
          <w:p>
            <w:pPr>
              <w:spacing w:after="40" w:line="264"/>
            </w:pPr>
            <w:r>
              <w:rPr>
                <w:sz w:val="18"/>
                <w:szCs w:val="18"/>
              </w:rPr>
              <w:t xml:space="preserve">Diversification</w:t>
            </w:r>
          </w:p>
        </w:tc>
        <w:tc>
          <w:tcPr>
            <w:tcW w:type="dxa" w:w="4060"/>
            <w:shd w:fill="F4F1EA" w:val="clear"/>
            <w:tcMar>
              <w:top w:type="dxa" w:w="80"/>
              <w:left w:type="dxa" w:w="130"/>
              <w:bottom w:type="dxa" w:w="80"/>
              <w:right w:type="dxa" w:w="130"/>
            </w:tcMar>
            <w:vAlign w:val="center"/>
          </w:tcPr>
          <w:p>
            <w:pPr>
              <w:spacing w:after="40" w:line="264"/>
            </w:pPr>
            <w:r>
              <w:rPr>
                <w:sz w:val="18"/>
                <w:szCs w:val="18"/>
              </w:rPr>
              <w:t xml:space="preserve">Fund overlap, repeated stocks, category &amp; asset mix</w:t>
            </w:r>
          </w:p>
        </w:tc>
        <w:tc>
          <w:tcPr>
            <w:tcW w:type="dxa" w:w="3400"/>
            <w:shd w:fill="F4F1EA" w:val="clear"/>
            <w:tcMar>
              <w:top w:type="dxa" w:w="80"/>
              <w:left w:type="dxa" w:w="130"/>
              <w:bottom w:type="dxa" w:w="80"/>
              <w:right w:type="dxa" w:w="130"/>
            </w:tcMar>
            <w:vAlign w:val="center"/>
          </w:tcPr>
          <w:p>
            <w:pPr>
              <w:spacing w:after="40" w:line="264"/>
            </w:pPr>
            <w:r>
              <w:rPr>
                <w:sz w:val="18"/>
                <w:szCs w:val="18"/>
              </w:rPr>
              <w:t xml:space="preserve">Funds removed / health points</w:t>
            </w:r>
          </w:p>
        </w:tc>
      </w:tr>
      <w:tr>
        <w:tc>
          <w:tcPr>
            <w:tcW w:type="dxa" w:w="1900"/>
            <w:shd w:fill="FFFFFF" w:val="clear"/>
            <w:tcMar>
              <w:top w:type="dxa" w:w="80"/>
              <w:left w:type="dxa" w:w="130"/>
              <w:bottom w:type="dxa" w:w="80"/>
              <w:right w:type="dxa" w:w="130"/>
            </w:tcMar>
            <w:vAlign w:val="center"/>
          </w:tcPr>
          <w:p>
            <w:pPr>
              <w:spacing w:after="40" w:line="264"/>
            </w:pPr>
            <w:r>
              <w:rPr>
                <w:sz w:val="18"/>
                <w:szCs w:val="18"/>
              </w:rPr>
              <w:t xml:space="preserve">Risk</w:t>
            </w:r>
          </w:p>
        </w:tc>
        <w:tc>
          <w:tcPr>
            <w:tcW w:type="dxa" w:w="4060"/>
            <w:shd w:fill="FFFFFF" w:val="clear"/>
            <w:tcMar>
              <w:top w:type="dxa" w:w="80"/>
              <w:left w:type="dxa" w:w="130"/>
              <w:bottom w:type="dxa" w:w="80"/>
              <w:right w:type="dxa" w:w="130"/>
            </w:tcMar>
            <w:vAlign w:val="center"/>
          </w:tcPr>
          <w:p>
            <w:pPr>
              <w:spacing w:after="40" w:line="264"/>
            </w:pPr>
            <w:r>
              <w:rPr>
                <w:sz w:val="18"/>
                <w:szCs w:val="18"/>
              </w:rPr>
              <w:t xml:space="preserve">Beta, volatility, drawdown vs the client's tolerance</w:t>
            </w:r>
          </w:p>
        </w:tc>
        <w:tc>
          <w:tcPr>
            <w:tcW w:type="dxa" w:w="3400"/>
            <w:shd w:fill="FFFFFF" w:val="clear"/>
            <w:tcMar>
              <w:top w:type="dxa" w:w="80"/>
              <w:left w:type="dxa" w:w="130"/>
              <w:bottom w:type="dxa" w:w="80"/>
              <w:right w:type="dxa" w:w="130"/>
            </w:tcMar>
            <w:vAlign w:val="center"/>
          </w:tcPr>
          <w:p>
            <w:pPr>
              <w:spacing w:after="40" w:line="264"/>
            </w:pPr>
            <w:r>
              <w:rPr>
                <w:sz w:val="18"/>
                <w:szCs w:val="18"/>
              </w:rPr>
              <w:t xml:space="preserve">Beta reduction</w:t>
            </w:r>
          </w:p>
        </w:tc>
      </w:tr>
      <w:tr>
        <w:tc>
          <w:tcPr>
            <w:tcW w:type="dxa" w:w="1900"/>
            <w:shd w:fill="F4F1EA" w:val="clear"/>
            <w:tcMar>
              <w:top w:type="dxa" w:w="80"/>
              <w:left w:type="dxa" w:w="130"/>
              <w:bottom w:type="dxa" w:w="80"/>
              <w:right w:type="dxa" w:w="130"/>
            </w:tcMar>
            <w:vAlign w:val="center"/>
          </w:tcPr>
          <w:p>
            <w:pPr>
              <w:spacing w:after="40" w:line="264"/>
            </w:pPr>
            <w:r>
              <w:rPr>
                <w:sz w:val="18"/>
                <w:szCs w:val="18"/>
              </w:rPr>
              <w:t xml:space="preserve">Tax</w:t>
            </w:r>
          </w:p>
        </w:tc>
        <w:tc>
          <w:tcPr>
            <w:tcW w:type="dxa" w:w="4060"/>
            <w:shd w:fill="F4F1EA" w:val="clear"/>
            <w:tcMar>
              <w:top w:type="dxa" w:w="80"/>
              <w:left w:type="dxa" w:w="130"/>
              <w:bottom w:type="dxa" w:w="80"/>
              <w:right w:type="dxa" w:w="130"/>
            </w:tcMar>
            <w:vAlign w:val="center"/>
          </w:tcPr>
          <w:p>
            <w:pPr>
              <w:spacing w:after="40" w:line="264"/>
            </w:pPr>
            <w:r>
              <w:rPr>
                <w:sz w:val="18"/>
                <w:szCs w:val="18"/>
              </w:rPr>
              <w:t xml:space="preserve">Harvesting opportunities and tax structuring</w:t>
            </w:r>
          </w:p>
        </w:tc>
        <w:tc>
          <w:tcPr>
            <w:tcW w:type="dxa" w:w="3400"/>
            <w:shd w:fill="F4F1EA" w:val="clear"/>
            <w:tcMar>
              <w:top w:type="dxa" w:w="80"/>
              <w:left w:type="dxa" w:w="130"/>
              <w:bottom w:type="dxa" w:w="80"/>
              <w:right w:type="dxa" w:w="130"/>
            </w:tcMar>
            <w:vAlign w:val="center"/>
          </w:tcPr>
          <w:p>
            <w:pPr>
              <w:spacing w:after="40" w:line="264"/>
            </w:pPr>
            <w:r>
              <w:rPr>
                <w:sz w:val="18"/>
                <w:szCs w:val="18"/>
              </w:rPr>
              <w:t xml:space="preserve">Rupees saved</w:t>
            </w:r>
          </w:p>
        </w:tc>
      </w:tr>
      <w:tr>
        <w:tc>
          <w:tcPr>
            <w:tcW w:type="dxa" w:w="1900"/>
            <w:shd w:fill="FFFFFF" w:val="clear"/>
            <w:tcMar>
              <w:top w:type="dxa" w:w="80"/>
              <w:left w:type="dxa" w:w="130"/>
              <w:bottom w:type="dxa" w:w="80"/>
              <w:right w:type="dxa" w:w="130"/>
            </w:tcMar>
            <w:vAlign w:val="center"/>
          </w:tcPr>
          <w:p>
            <w:pPr>
              <w:spacing w:after="40" w:line="264"/>
            </w:pPr>
            <w:r>
              <w:rPr>
                <w:sz w:val="18"/>
                <w:szCs w:val="18"/>
              </w:rPr>
              <w:t xml:space="preserve">Performance</w:t>
            </w:r>
          </w:p>
        </w:tc>
        <w:tc>
          <w:tcPr>
            <w:tcW w:type="dxa" w:w="4060"/>
            <w:shd w:fill="FFFFFF" w:val="clear"/>
            <w:tcMar>
              <w:top w:type="dxa" w:w="80"/>
              <w:left w:type="dxa" w:w="130"/>
              <w:bottom w:type="dxa" w:w="80"/>
              <w:right w:type="dxa" w:w="130"/>
            </w:tcMar>
            <w:vAlign w:val="center"/>
          </w:tcPr>
          <w:p>
            <w:pPr>
              <w:spacing w:after="40" w:line="264"/>
            </w:pPr>
            <w:r>
              <w:rPr>
                <w:sz w:val="18"/>
                <w:szCs w:val="18"/>
              </w:rPr>
              <w:t xml:space="preserve">XIRR vs benchmark; which funds drag returns</w:t>
            </w:r>
          </w:p>
        </w:tc>
        <w:tc>
          <w:tcPr>
            <w:tcW w:type="dxa" w:w="3400"/>
            <w:shd w:fill="FFFFFF" w:val="clear"/>
            <w:tcMar>
              <w:top w:type="dxa" w:w="80"/>
              <w:left w:type="dxa" w:w="130"/>
              <w:bottom w:type="dxa" w:w="80"/>
              <w:right w:type="dxa" w:w="130"/>
            </w:tcMar>
            <w:vAlign w:val="center"/>
          </w:tcPr>
          <w:p>
            <w:pPr>
              <w:spacing w:after="40" w:line="264"/>
            </w:pPr>
            <w:r>
              <w:rPr>
                <w:sz w:val="18"/>
                <w:szCs w:val="18"/>
              </w:rPr>
              <w:t xml:space="preserve">XIRR lift</w:t>
            </w:r>
          </w:p>
        </w:tc>
      </w:tr>
      <w:tr>
        <w:tc>
          <w:tcPr>
            <w:tcW w:type="dxa" w:w="1900"/>
            <w:shd w:fill="F4F1EA" w:val="clear"/>
            <w:tcMar>
              <w:top w:type="dxa" w:w="80"/>
              <w:left w:type="dxa" w:w="130"/>
              <w:bottom w:type="dxa" w:w="80"/>
              <w:right w:type="dxa" w:w="130"/>
            </w:tcMar>
            <w:vAlign w:val="center"/>
          </w:tcPr>
          <w:p>
            <w:pPr>
              <w:spacing w:after="40" w:line="264"/>
            </w:pPr>
            <w:r>
              <w:rPr>
                <w:sz w:val="18"/>
                <w:szCs w:val="18"/>
              </w:rPr>
              <w:t xml:space="preserve">Goals</w:t>
            </w:r>
          </w:p>
        </w:tc>
        <w:tc>
          <w:tcPr>
            <w:tcW w:type="dxa" w:w="4060"/>
            <w:shd w:fill="F4F1EA" w:val="clear"/>
            <w:tcMar>
              <w:top w:type="dxa" w:w="80"/>
              <w:left w:type="dxa" w:w="130"/>
              <w:bottom w:type="dxa" w:w="80"/>
              <w:right w:type="dxa" w:w="130"/>
            </w:tcMar>
            <w:vAlign w:val="center"/>
          </w:tcPr>
          <w:p>
            <w:pPr>
              <w:spacing w:after="40" w:line="264"/>
            </w:pPr>
            <w:r>
              <w:rPr>
                <w:sz w:val="18"/>
                <w:szCs w:val="18"/>
              </w:rPr>
              <w:t xml:space="preserve">Funding gaps against each defined goal</w:t>
            </w:r>
          </w:p>
        </w:tc>
        <w:tc>
          <w:tcPr>
            <w:tcW w:type="dxa" w:w="3400"/>
            <w:shd w:fill="F4F1EA" w:val="clear"/>
            <w:tcMar>
              <w:top w:type="dxa" w:w="80"/>
              <w:left w:type="dxa" w:w="130"/>
              <w:bottom w:type="dxa" w:w="80"/>
              <w:right w:type="dxa" w:w="130"/>
            </w:tcMar>
            <w:vAlign w:val="center"/>
          </w:tcPr>
          <w:p>
            <w:pPr>
              <w:spacing w:after="40" w:line="264"/>
            </w:pPr>
            <w:r>
              <w:rPr>
                <w:sz w:val="18"/>
                <w:szCs w:val="18"/>
              </w:rPr>
              <w:t xml:space="preserve">Funding percentage</w:t>
            </w:r>
          </w:p>
        </w:tc>
      </w:tr>
    </w:tbl>
    <w:p>
      <w:pPr>
        <w:spacing w:after="80"/>
      </w:pPr>
      <w:r>
        <w:t xml:space="preserve"/>
      </w:r>
    </w:p>
    <w:p>
      <w:pPr>
        <w:pStyle w:val="Heading2"/>
      </w:pPr>
      <w:r>
        <w:t xml:space="preserve">7.3 The multi-lens switcher</w:t>
      </w:r>
    </w:p>
    <w:p>
      <w:pPr>
        <w:spacing w:after="120" w:line="288"/>
      </w:pPr>
      <w:r>
        <w:t xml:space="preserve">Two dashboards — Concentration and Diversification — carry a </w:t>
      </w:r>
      <w:r>
        <w:rPr>
          <w:b/>
          <w:bCs/>
        </w:rPr>
        <w:t xml:space="preserve">lens switcher</w:t>
      </w:r>
      <w:r>
        <w:t xml:space="preserve">. Concentration can be viewed by stock, sector, AMC, company, or promoter group; Diversification by fund overlap, repeated stocks, category, or asset mix. Each lens reads off one shared look-through computation and carries its own caution line, so the same underlying data answers several different questions.</w:t>
      </w:r>
    </w:p>
    <w:p>
      <w:pPr>
        <w:pStyle w:val="Heading2"/>
      </w:pPr>
      <w:r>
        <w:t xml:space="preserve">7.4 The action matrix</w:t>
      </w:r>
    </w:p>
    <w:p>
      <w:pPr>
        <w:spacing w:after="120" w:line="288"/>
      </w:pPr>
      <w:r>
        <w:t xml:space="preserve">The recommendation matrix is the heart of every dashboard. Each row is one ranked action:</w:t>
      </w:r>
    </w:p>
    <w:p>
      <w:pPr>
        <w:pStyle w:val="ListParagraph"/>
        <w:numPr>
          <w:ilvl w:val="0"/>
          <w:numId w:val="2"/>
        </w:numPr>
        <w:spacing w:after="80" w:line="288"/>
      </w:pPr>
      <w:r>
        <w:rPr>
          <w:b/>
          <w:bCs/>
        </w:rPr>
        <w:t xml:space="preserve">A priority badge — </w:t>
      </w:r>
      <w:r>
        <w:t xml:space="preserve">the rank and a domain-honest label (Critical / Optimise / Enhance for most dashboards; Closes-the-gap / Closes-most / Partial for Goals).</w:t>
      </w:r>
    </w:p>
    <w:p>
      <w:pPr>
        <w:pStyle w:val="ListParagraph"/>
        <w:numPr>
          <w:ilvl w:val="0"/>
          <w:numId w:val="2"/>
        </w:numPr>
        <w:spacing w:after="80" w:line="288"/>
      </w:pPr>
      <w:r>
        <w:rPr>
          <w:b/>
          <w:bCs/>
        </w:rPr>
        <w:t xml:space="preserve">An impact / effort / trade-off triplet — </w:t>
      </w:r>
      <w:r>
        <w:t xml:space="preserve">the gain, the work required, and what the client gives up. The trade-off field is mandatory; an honest recommendation states its cost.</w:t>
      </w:r>
    </w:p>
    <w:p>
      <w:pPr>
        <w:pStyle w:val="ListParagraph"/>
        <w:numPr>
          <w:ilvl w:val="0"/>
          <w:numId w:val="2"/>
        </w:numPr>
        <w:spacing w:after="80" w:line="288"/>
      </w:pPr>
      <w:r>
        <w:rPr>
          <w:b/>
          <w:bCs/>
        </w:rPr>
        <w:t xml:space="preserve">Accept / Why? / Skip controls — </w:t>
      </w:r>
      <w:r>
        <w:t xml:space="preserve">the client commits, interrogates, or dismisses.</w:t>
      </w:r>
    </w:p>
    <w:p>
      <w:pPr>
        <w:spacing w:after="80"/>
      </w:pPr>
      <w:r>
        <w:t xml:space="preserve"/>
      </w:r>
    </w:p>
    <w:p>
      <w:pPr>
        <w:pStyle w:val="Heading3"/>
      </w:pPr>
      <w:r>
        <w:t xml:space="preserve">Two-layer instrument moves</w:t>
      </w:r>
    </w:p>
    <w:p>
      <w:pPr>
        <w:spacing w:after="120" w:line="288"/>
      </w:pPr>
      <w:r>
        <w:t xml:space="preserve">Where an action involves a specific instrument, the row expands into a </w:t>
      </w:r>
      <w:r>
        <w:rPr>
          <w:b/>
          <w:bCs/>
        </w:rPr>
        <w:t xml:space="preserve">two-layer</w:t>
      </w:r>
      <w:r>
        <w:t xml:space="preserve"> view. Layer one is the category recommendation — for example, “swap a banking fund for a flexi-cap.” Layer two names the exact exit and the exact entry, gives the reasons, and offers two alternatives. Stock verbs are Add / Exit / Trim / Hold; fund verbs are Switch / Exit / Add / Merge / Hold.</w:t>
      </w:r>
    </w:p>
    <w:p>
      <w:pPr>
        <w:pStyle w:val="Heading3"/>
      </w:pPr>
      <w:r>
        <w:t xml:space="preserve">Additive vs exclusive actions</w:t>
      </w:r>
    </w:p>
    <w:p>
      <w:pPr>
        <w:spacing w:after="120" w:line="288"/>
      </w:pPr>
      <w:r>
        <w:t xml:space="preserve">In most dashboards, accepted actions are </w:t>
      </w:r>
      <w:r>
        <w:rPr>
          <w:b/>
          <w:bCs/>
        </w:rPr>
        <w:t xml:space="preserve">additive</w:t>
      </w:r>
      <w:r>
        <w:t xml:space="preserve"> — accept three concentration trims and all three apply, their impacts summing. The Goals dashboard is the deliberate exception: its actions are </w:t>
      </w:r>
      <w:r>
        <w:rPr>
          <w:b/>
          <w:bCs/>
        </w:rPr>
        <w:t xml:space="preserve">mutually exclusive paths</w:t>
      </w:r>
      <w:r>
        <w:t xml:space="preserve">. Raising the SIP and extending the timeline each independently re-solve the same funding equation, so accepting one clears the others. The matrix component carries an </w:t>
      </w:r>
      <w:r>
        <w:rPr>
          <w:b/>
          <w:bCs/>
        </w:rPr>
        <w:t xml:space="preserve">exclusive</w:t>
      </w:r>
      <w:r>
        <w:t xml:space="preserve"> flag per row to encode this.</w:t>
      </w:r>
    </w:p>
    <w:p>
      <w:r>
        <w:br w:type="page"/>
      </w:r>
    </w:p>
    <w:p>
      <w:pPr>
        <w:pStyle w:val="Heading1"/>
      </w:pPr>
      <w:r>
        <w:t xml:space="preserve">8. The Plan Board</w:t>
      </w:r>
    </w:p>
    <w:p>
      <w:pPr>
        <w:spacing w:after="120" w:line="288"/>
      </w:pPr>
      <w:r>
        <w:t xml:space="preserve">The Plan Board is the one screen that belongs to no single dashboard. It is the </w:t>
      </w:r>
      <w:r>
        <w:rPr>
          <w:b/>
          <w:bCs/>
        </w:rPr>
        <w:t xml:space="preserve">cross-cutting tracker</w:t>
      </w:r>
      <w:r>
        <w:t xml:space="preserve"> where every action accepted across all six dashboards collects, gets worked, and gets marked done. Where dashboards diagnose, the Plan Board is the doing layer.</w:t>
      </w:r>
    </w:p>
    <w:p>
      <w:pPr>
        <w:spacing w:after="80"/>
      </w:pPr>
      <w:r>
        <w:t xml:space="preserve"/>
      </w:r>
    </w:p>
    <w:p>
      <w:pPr>
        <w:pStyle w:val="Heading2"/>
      </w:pPr>
      <w:r>
        <w:t xml:space="preserve">8.1 Structure</w:t>
      </w:r>
    </w:p>
    <w:p>
      <w:pPr>
        <w:pStyle w:val="ListParagraph"/>
        <w:numPr>
          <w:ilvl w:val="0"/>
          <w:numId w:val="2"/>
        </w:numPr>
        <w:spacing w:after="80" w:line="288"/>
      </w:pPr>
      <w:r>
        <w:rPr>
          <w:b/>
          <w:bCs/>
        </w:rPr>
        <w:t xml:space="preserve">Status spine — </w:t>
      </w:r>
      <w:r>
        <w:t xml:space="preserve">actions move through To-do, Done, and Skipped. Done actions show the health they delivered; skipped actions stay struck-through but recoverable, never silently deleted.</w:t>
      </w:r>
    </w:p>
    <w:p>
      <w:pPr>
        <w:pStyle w:val="ListParagraph"/>
        <w:numPr>
          <w:ilvl w:val="0"/>
          <w:numId w:val="2"/>
        </w:numPr>
        <w:spacing w:after="80" w:line="288"/>
      </w:pPr>
      <w:r>
        <w:rPr>
          <w:b/>
          <w:bCs/>
        </w:rPr>
        <w:t xml:space="preserve">Two scores — </w:t>
      </w:r>
      <w:r>
        <w:t xml:space="preserve">a current projected health (base plus points already earned) and a target (base plus all accepted actions). The gap between them is the visible motivator.</w:t>
      </w:r>
    </w:p>
    <w:p>
      <w:pPr>
        <w:pStyle w:val="ListParagraph"/>
        <w:numPr>
          <w:ilvl w:val="0"/>
          <w:numId w:val="2"/>
        </w:numPr>
        <w:spacing w:after="80" w:line="288"/>
      </w:pPr>
      <w:r>
        <w:rPr>
          <w:b/>
          <w:bCs/>
        </w:rPr>
        <w:t xml:space="preserve">Source memory — </w:t>
      </w:r>
      <w:r>
        <w:t xml:space="preserve">every action remembers its origin dashboard, shown on a coloured rail; a tap returns the client to where the action came from.</w:t>
      </w:r>
    </w:p>
    <w:p>
      <w:pPr>
        <w:spacing w:after="80"/>
      </w:pPr>
      <w:r>
        <w:t xml:space="preserve"/>
      </w:r>
    </w:p>
    <w:p>
      <w:pPr>
        <w:pStyle w:val="Heading2"/>
      </w:pPr>
      <w:r>
        <w:t xml:space="preserve">8.2 Score reconciliation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single" w:color="C25E1E" w:sz="18"/>
              <w:bottom w:val="none"/>
              <w:right w:val="none"/>
            </w:tcBorders>
            <w:shd w:fill="FBEEE2" w:val="clear"/>
            <w:tcMar>
              <w:top w:type="dxa" w:w="140"/>
              <w:left w:type="dxa" w:w="200"/>
              <w:bottom w:type="dxa" w:w="140"/>
              <w:right w:type="dxa" w:w="200"/>
            </w:tcMar>
          </w:tcPr>
          <w:p>
            <w:pPr>
              <w:spacing w:after="60"/>
            </w:pPr>
            <w:r>
              <w:rPr>
                <w:b/>
                <w:bCs/>
                <w:color w:val="C25E1E"/>
                <w:sz w:val="20"/>
                <w:szCs w:val="20"/>
              </w:rPr>
              <w:t xml:space="preserve">Why the numbers reconcile</w:t>
            </w:r>
          </w:p>
          <w:p>
            <w:pPr>
              <w:spacing w:after="120" w:line="288"/>
            </w:pPr>
            <w:r>
              <w:t xml:space="preserve">Each action carries the identical impact value it had in its source dashboard's matrix. When every action is marked done, the Plan Board's projected score equals the sum of every dashboard's projection. The numbers reconcile because there is one health-score engine, called per action — not several independent calculators that would drift apart.</w:t>
            </w:r>
          </w:p>
        </w:tc>
      </w:tr>
    </w:tbl>
    <w:p>
      <w:r>
        <w:br w:type="page"/>
      </w:r>
    </w:p>
    <w:p>
      <w:pPr>
        <w:pStyle w:val="Heading1"/>
      </w:pPr>
      <w:r>
        <w:t xml:space="preserve">9. The Portfolio Builder</w:t>
      </w:r>
    </w:p>
    <w:p>
      <w:pPr>
        <w:spacing w:after="120" w:line="288"/>
      </w:pPr>
      <w:r>
        <w:t xml:space="preserve">The dashboards diagnose an existing portfolio. The builder is the forward-looking counterpart — it constructs a new, goal-aligned portfolio from a client's profile. It is a flow, not a dashboard.</w:t>
      </w:r>
    </w:p>
    <w:p>
      <w:pPr>
        <w:spacing w:after="80"/>
      </w:pPr>
      <w:r>
        <w:t xml:space="preserve"/>
      </w:r>
    </w:p>
    <w:p>
      <w:pPr>
        <w:pStyle w:val="Heading2"/>
      </w:pPr>
      <w:r>
        <w:t xml:space="preserve">9.1 The builder flow</w:t>
      </w:r>
    </w:p>
    <w:tbl>
      <w:tblPr>
        <w:tblW w:type="dxa" w:w="9360"/>
        <w:tblBorders>
          <w:top w:val="single" w:color="CCC6BA" w:sz="1"/>
          <w:left w:val="single" w:color="CCC6BA" w:sz="1"/>
          <w:bottom w:val="single" w:color="CCC6BA" w:sz="1"/>
          <w:right w:val="single" w:color="CCC6BA" w:sz="1"/>
          <w:insideH w:val="single" w:color="CCC6BA" w:sz="1"/>
          <w:insideV w:val="single" w:color="CCC6BA" w:sz="1"/>
        </w:tblBorders>
      </w:tblPr>
      <w:tblGrid>
        <w:gridCol w:w="700"/>
        <w:gridCol w:w="2400"/>
        <w:gridCol w:w="6260"/>
      </w:tblGrid>
      <w:tr>
        <w:trPr>
          <w:tblHeader/>
        </w:trPr>
        <w:tc>
          <w:tcPr>
            <w:tcW w:type="dxa" w:w="700"/>
            <w:shd w:fill="2A2620" w:val="clear"/>
            <w:tcMar>
              <w:top w:type="dxa" w:w="90"/>
              <w:left w:type="dxa" w:w="130"/>
              <w:bottom w:type="dxa" w:w="90"/>
              <w:right w:type="dxa" w:w="130"/>
            </w:tcMar>
            <w:vAlign w:val="center"/>
          </w:tcPr>
          <w:p>
            <w:r>
              <w:rPr>
                <w:b/>
                <w:bCs/>
                <w:color w:val="FFFFFF"/>
                <w:sz w:val="19"/>
                <w:szCs w:val="19"/>
              </w:rPr>
              <w:t xml:space="preserve">Step</w:t>
            </w:r>
          </w:p>
        </w:tc>
        <w:tc>
          <w:tcPr>
            <w:tcW w:type="dxa" w:w="2400"/>
            <w:shd w:fill="2A2620" w:val="clear"/>
            <w:tcMar>
              <w:top w:type="dxa" w:w="90"/>
              <w:left w:type="dxa" w:w="130"/>
              <w:bottom w:type="dxa" w:w="90"/>
              <w:right w:type="dxa" w:w="130"/>
            </w:tcMar>
            <w:vAlign w:val="center"/>
          </w:tcPr>
          <w:p>
            <w:r>
              <w:rPr>
                <w:b/>
                <w:bCs/>
                <w:color w:val="FFFFFF"/>
                <w:sz w:val="19"/>
                <w:szCs w:val="19"/>
              </w:rPr>
              <w:t xml:space="preserve">Screen</w:t>
            </w:r>
          </w:p>
        </w:tc>
        <w:tc>
          <w:tcPr>
            <w:tcW w:type="dxa" w:w="6260"/>
            <w:shd w:fill="2A2620" w:val="clear"/>
            <w:tcMar>
              <w:top w:type="dxa" w:w="90"/>
              <w:left w:type="dxa" w:w="130"/>
              <w:bottom w:type="dxa" w:w="90"/>
              <w:right w:type="dxa" w:w="130"/>
            </w:tcMar>
            <w:vAlign w:val="center"/>
          </w:tcPr>
          <w:p>
            <w:r>
              <w:rPr>
                <w:b/>
                <w:bCs/>
                <w:color w:val="FFFFFF"/>
                <w:sz w:val="19"/>
                <w:szCs w:val="19"/>
              </w:rPr>
              <w:t xml:space="preserve">What happens</w:t>
            </w:r>
          </w:p>
        </w:tc>
      </w:tr>
      <w:tr>
        <w:tc>
          <w:tcPr>
            <w:tcW w:type="dxa" w:w="700"/>
            <w:shd w:fill="FFFFFF" w:val="clear"/>
            <w:tcMar>
              <w:top w:type="dxa" w:w="80"/>
              <w:left w:type="dxa" w:w="130"/>
              <w:bottom w:type="dxa" w:w="80"/>
              <w:right w:type="dxa" w:w="130"/>
            </w:tcMar>
            <w:vAlign w:val="center"/>
          </w:tcPr>
          <w:p>
            <w:pPr>
              <w:spacing w:after="40" w:line="264"/>
            </w:pPr>
            <w:r>
              <w:rPr>
                <w:sz w:val="18"/>
                <w:szCs w:val="18"/>
              </w:rPr>
              <w:t xml:space="preserve">1</w:t>
            </w:r>
          </w:p>
        </w:tc>
        <w:tc>
          <w:tcPr>
            <w:tcW w:type="dxa" w:w="2400"/>
            <w:shd w:fill="FFFFFF" w:val="clear"/>
            <w:tcMar>
              <w:top w:type="dxa" w:w="80"/>
              <w:left w:type="dxa" w:w="130"/>
              <w:bottom w:type="dxa" w:w="80"/>
              <w:right w:type="dxa" w:w="130"/>
            </w:tcMar>
            <w:vAlign w:val="center"/>
          </w:tcPr>
          <w:p>
            <w:pPr>
              <w:spacing w:after="40" w:line="264"/>
            </w:pPr>
            <w:r>
              <w:rPr>
                <w:sz w:val="18"/>
                <w:szCs w:val="18"/>
              </w:rPr>
              <w:t xml:space="preserve">Risk profile</w:t>
            </w:r>
          </w:p>
        </w:tc>
        <w:tc>
          <w:tcPr>
            <w:tcW w:type="dxa" w:w="6260"/>
            <w:shd w:fill="FFFFFF" w:val="clear"/>
            <w:tcMar>
              <w:top w:type="dxa" w:w="80"/>
              <w:left w:type="dxa" w:w="130"/>
              <w:bottom w:type="dxa" w:w="80"/>
              <w:right w:type="dxa" w:w="130"/>
            </w:tcMar>
            <w:vAlign w:val="center"/>
          </w:tcPr>
          <w:p>
            <w:pPr>
              <w:spacing w:after="40" w:line="264"/>
            </w:pPr>
            <w:r>
              <w:rPr>
                <w:sz w:val="18"/>
                <w:szCs w:val="18"/>
              </w:rPr>
              <w:t xml:space="preserve">A questionnaire places the client in a risk band.</w:t>
            </w:r>
          </w:p>
        </w:tc>
      </w:tr>
      <w:tr>
        <w:tc>
          <w:tcPr>
            <w:tcW w:type="dxa" w:w="700"/>
            <w:shd w:fill="F4F1EA" w:val="clear"/>
            <w:tcMar>
              <w:top w:type="dxa" w:w="80"/>
              <w:left w:type="dxa" w:w="130"/>
              <w:bottom w:type="dxa" w:w="80"/>
              <w:right w:type="dxa" w:w="130"/>
            </w:tcMar>
            <w:vAlign w:val="center"/>
          </w:tcPr>
          <w:p>
            <w:pPr>
              <w:spacing w:after="40" w:line="264"/>
            </w:pPr>
            <w:r>
              <w:rPr>
                <w:sz w:val="18"/>
                <w:szCs w:val="18"/>
              </w:rPr>
              <w:t xml:space="preserve">2</w:t>
            </w:r>
          </w:p>
        </w:tc>
        <w:tc>
          <w:tcPr>
            <w:tcW w:type="dxa" w:w="2400"/>
            <w:shd w:fill="F4F1EA" w:val="clear"/>
            <w:tcMar>
              <w:top w:type="dxa" w:w="80"/>
              <w:left w:type="dxa" w:w="130"/>
              <w:bottom w:type="dxa" w:w="80"/>
              <w:right w:type="dxa" w:w="130"/>
            </w:tcMar>
            <w:vAlign w:val="center"/>
          </w:tcPr>
          <w:p>
            <w:pPr>
              <w:spacing w:after="40" w:line="264"/>
            </w:pPr>
            <w:r>
              <w:rPr>
                <w:sz w:val="18"/>
                <w:szCs w:val="18"/>
              </w:rPr>
              <w:t xml:space="preserve">Editable allocation</w:t>
            </w:r>
          </w:p>
        </w:tc>
        <w:tc>
          <w:tcPr>
            <w:tcW w:type="dxa" w:w="6260"/>
            <w:shd w:fill="F4F1EA" w:val="clear"/>
            <w:tcMar>
              <w:top w:type="dxa" w:w="80"/>
              <w:left w:type="dxa" w:w="130"/>
              <w:bottom w:type="dxa" w:w="80"/>
              <w:right w:type="dxa" w:w="130"/>
            </w:tcMar>
            <w:vAlign w:val="center"/>
          </w:tcPr>
          <w:p>
            <w:pPr>
              <w:spacing w:after="40" w:line="264"/>
            </w:pPr>
            <w:r>
              <w:rPr>
                <w:sz w:val="18"/>
                <w:szCs w:val="18"/>
              </w:rPr>
              <w:t xml:space="preserve">A suggested equity / debt / gold / cash mix the client can override, with a drift guardrail.</w:t>
            </w:r>
          </w:p>
        </w:tc>
      </w:tr>
      <w:tr>
        <w:tc>
          <w:tcPr>
            <w:tcW w:type="dxa" w:w="700"/>
            <w:shd w:fill="FFFFFF" w:val="clear"/>
            <w:tcMar>
              <w:top w:type="dxa" w:w="80"/>
              <w:left w:type="dxa" w:w="130"/>
              <w:bottom w:type="dxa" w:w="80"/>
              <w:right w:type="dxa" w:w="130"/>
            </w:tcMar>
            <w:vAlign w:val="center"/>
          </w:tcPr>
          <w:p>
            <w:pPr>
              <w:spacing w:after="40" w:line="264"/>
            </w:pPr>
            <w:r>
              <w:rPr>
                <w:sz w:val="18"/>
                <w:szCs w:val="18"/>
              </w:rPr>
              <w:t xml:space="preserve">3</w:t>
            </w:r>
          </w:p>
        </w:tc>
        <w:tc>
          <w:tcPr>
            <w:tcW w:type="dxa" w:w="2400"/>
            <w:shd w:fill="FFFFFF" w:val="clear"/>
            <w:tcMar>
              <w:top w:type="dxa" w:w="80"/>
              <w:left w:type="dxa" w:w="130"/>
              <w:bottom w:type="dxa" w:w="80"/>
              <w:right w:type="dxa" w:w="130"/>
            </w:tcMar>
            <w:vAlign w:val="center"/>
          </w:tcPr>
          <w:p>
            <w:pPr>
              <w:spacing w:after="40" w:line="264"/>
            </w:pPr>
            <w:r>
              <w:rPr>
                <w:sz w:val="18"/>
                <w:szCs w:val="18"/>
              </w:rPr>
              <w:t xml:space="preserve">Recommendations</w:t>
            </w:r>
          </w:p>
        </w:tc>
        <w:tc>
          <w:tcPr>
            <w:tcW w:type="dxa" w:w="6260"/>
            <w:shd w:fill="FFFFFF" w:val="clear"/>
            <w:tcMar>
              <w:top w:type="dxa" w:w="80"/>
              <w:left w:type="dxa" w:w="130"/>
              <w:bottom w:type="dxa" w:w="80"/>
              <w:right w:type="dxa" w:w="130"/>
            </w:tcMar>
            <w:vAlign w:val="center"/>
          </w:tcPr>
          <w:p>
            <w:pPr>
              <w:spacing w:after="40" w:line="264"/>
            </w:pPr>
            <w:r>
              <w:rPr>
                <w:sz w:val="18"/>
                <w:szCs w:val="18"/>
              </w:rPr>
              <w:t xml:space="preserve">Top stocks and funds, scored on fundamentals and technicals.</w:t>
            </w:r>
          </w:p>
        </w:tc>
      </w:tr>
      <w:tr>
        <w:tc>
          <w:tcPr>
            <w:tcW w:type="dxa" w:w="700"/>
            <w:shd w:fill="F4F1EA" w:val="clear"/>
            <w:tcMar>
              <w:top w:type="dxa" w:w="80"/>
              <w:left w:type="dxa" w:w="130"/>
              <w:bottom w:type="dxa" w:w="80"/>
              <w:right w:type="dxa" w:w="130"/>
            </w:tcMar>
            <w:vAlign w:val="center"/>
          </w:tcPr>
          <w:p>
            <w:pPr>
              <w:spacing w:after="40" w:line="264"/>
            </w:pPr>
            <w:r>
              <w:rPr>
                <w:sz w:val="18"/>
                <w:szCs w:val="18"/>
              </w:rPr>
              <w:t xml:space="preserve">4</w:t>
            </w:r>
          </w:p>
        </w:tc>
        <w:tc>
          <w:tcPr>
            <w:tcW w:type="dxa" w:w="2400"/>
            <w:shd w:fill="F4F1EA" w:val="clear"/>
            <w:tcMar>
              <w:top w:type="dxa" w:w="80"/>
              <w:left w:type="dxa" w:w="130"/>
              <w:bottom w:type="dxa" w:w="80"/>
              <w:right w:type="dxa" w:w="130"/>
            </w:tcMar>
            <w:vAlign w:val="center"/>
          </w:tcPr>
          <w:p>
            <w:pPr>
              <w:spacing w:after="40" w:line="264"/>
            </w:pPr>
            <w:r>
              <w:rPr>
                <w:sz w:val="18"/>
                <w:szCs w:val="18"/>
              </w:rPr>
              <w:t xml:space="preserve">Instrument sizing</w:t>
            </w:r>
          </w:p>
        </w:tc>
        <w:tc>
          <w:tcPr>
            <w:tcW w:type="dxa" w:w="6260"/>
            <w:shd w:fill="F4F1EA" w:val="clear"/>
            <w:tcMar>
              <w:top w:type="dxa" w:w="80"/>
              <w:left w:type="dxa" w:w="130"/>
              <w:bottom w:type="dxa" w:w="80"/>
              <w:right w:type="dxa" w:w="130"/>
            </w:tcMar>
            <w:vAlign w:val="center"/>
          </w:tcPr>
          <w:p>
            <w:pPr>
              <w:spacing w:after="40" w:line="264"/>
            </w:pPr>
            <w:r>
              <w:rPr>
                <w:sz w:val="18"/>
                <w:szCs w:val="18"/>
              </w:rPr>
              <w:t xml:space="preserve">The sleeve amount is split into specific per-instrument rupee amounts.</w:t>
            </w:r>
          </w:p>
        </w:tc>
      </w:tr>
      <w:tr>
        <w:tc>
          <w:tcPr>
            <w:tcW w:type="dxa" w:w="700"/>
            <w:shd w:fill="FFFFFF" w:val="clear"/>
            <w:tcMar>
              <w:top w:type="dxa" w:w="80"/>
              <w:left w:type="dxa" w:w="130"/>
              <w:bottom w:type="dxa" w:w="80"/>
              <w:right w:type="dxa" w:w="130"/>
            </w:tcMar>
            <w:vAlign w:val="center"/>
          </w:tcPr>
          <w:p>
            <w:pPr>
              <w:spacing w:after="40" w:line="264"/>
            </w:pPr>
            <w:r>
              <w:rPr>
                <w:sz w:val="18"/>
                <w:szCs w:val="18"/>
              </w:rPr>
              <w:t xml:space="preserve">5</w:t>
            </w:r>
          </w:p>
        </w:tc>
        <w:tc>
          <w:tcPr>
            <w:tcW w:type="dxa" w:w="2400"/>
            <w:shd w:fill="FFFFFF" w:val="clear"/>
            <w:tcMar>
              <w:top w:type="dxa" w:w="80"/>
              <w:left w:type="dxa" w:w="130"/>
              <w:bottom w:type="dxa" w:w="80"/>
              <w:right w:type="dxa" w:w="130"/>
            </w:tcMar>
            <w:vAlign w:val="center"/>
          </w:tcPr>
          <w:p>
            <w:pPr>
              <w:spacing w:after="40" w:line="264"/>
            </w:pPr>
            <w:r>
              <w:rPr>
                <w:sz w:val="18"/>
                <w:szCs w:val="18"/>
              </w:rPr>
              <w:t xml:space="preserve">SIP planner</w:t>
            </w:r>
          </w:p>
        </w:tc>
        <w:tc>
          <w:tcPr>
            <w:tcW w:type="dxa" w:w="6260"/>
            <w:shd w:fill="FFFFFF" w:val="clear"/>
            <w:tcMar>
              <w:top w:type="dxa" w:w="80"/>
              <w:left w:type="dxa" w:w="130"/>
              <w:bottom w:type="dxa" w:w="80"/>
              <w:right w:type="dxa" w:w="130"/>
            </w:tcMar>
            <w:vAlign w:val="center"/>
          </w:tcPr>
          <w:p>
            <w:pPr>
              <w:spacing w:after="40" w:line="264"/>
            </w:pPr>
            <w:r>
              <w:rPr>
                <w:sz w:val="18"/>
                <w:szCs w:val="18"/>
              </w:rPr>
              <w:t xml:space="preserve">The monthly amount is split across goals, with a future-value funding check.</w:t>
            </w:r>
          </w:p>
        </w:tc>
      </w:tr>
      <w:tr>
        <w:tc>
          <w:tcPr>
            <w:tcW w:type="dxa" w:w="700"/>
            <w:shd w:fill="F4F1EA" w:val="clear"/>
            <w:tcMar>
              <w:top w:type="dxa" w:w="80"/>
              <w:left w:type="dxa" w:w="130"/>
              <w:bottom w:type="dxa" w:w="80"/>
              <w:right w:type="dxa" w:w="130"/>
            </w:tcMar>
            <w:vAlign w:val="center"/>
          </w:tcPr>
          <w:p>
            <w:pPr>
              <w:spacing w:after="40" w:line="264"/>
            </w:pPr>
            <w:r>
              <w:rPr>
                <w:sz w:val="18"/>
                <w:szCs w:val="18"/>
              </w:rPr>
              <w:t xml:space="preserve">6</w:t>
            </w:r>
          </w:p>
        </w:tc>
        <w:tc>
          <w:tcPr>
            <w:tcW w:type="dxa" w:w="2400"/>
            <w:shd w:fill="F4F1EA" w:val="clear"/>
            <w:tcMar>
              <w:top w:type="dxa" w:w="80"/>
              <w:left w:type="dxa" w:w="130"/>
              <w:bottom w:type="dxa" w:w="80"/>
              <w:right w:type="dxa" w:w="130"/>
            </w:tcMar>
            <w:vAlign w:val="center"/>
          </w:tcPr>
          <w:p>
            <w:pPr>
              <w:spacing w:after="40" w:line="264"/>
            </w:pPr>
            <w:r>
              <w:rPr>
                <w:sz w:val="18"/>
                <w:szCs w:val="18"/>
              </w:rPr>
              <w:t xml:space="preserve">Review &amp; register</w:t>
            </w:r>
          </w:p>
        </w:tc>
        <w:tc>
          <w:tcPr>
            <w:tcW w:type="dxa" w:w="6260"/>
            <w:shd w:fill="F4F1EA" w:val="clear"/>
            <w:tcMar>
              <w:top w:type="dxa" w:w="80"/>
              <w:left w:type="dxa" w:w="130"/>
              <w:bottom w:type="dxa" w:w="80"/>
              <w:right w:type="dxa" w:w="130"/>
            </w:tcMar>
            <w:vAlign w:val="center"/>
          </w:tcPr>
          <w:p>
            <w:pPr>
              <w:spacing w:after="40" w:line="264"/>
            </w:pPr>
            <w:r>
              <w:rPr>
                <w:sz w:val="18"/>
                <w:szCs w:val="18"/>
              </w:rPr>
              <w:t xml:space="preserve">The full plan is confirmed and the SIPs are registered.</w:t>
            </w:r>
          </w:p>
        </w:tc>
      </w:tr>
    </w:tbl>
    <w:p>
      <w:pPr>
        <w:spacing w:after="80"/>
      </w:pPr>
      <w:r>
        <w:t xml:space="preserve"/>
      </w:r>
    </w:p>
    <w:p>
      <w:pPr>
        <w:pStyle w:val="Heading2"/>
      </w:pPr>
      <w:r>
        <w:t xml:space="preserve">9.2 The editable allocation</w:t>
      </w:r>
    </w:p>
    <w:p>
      <w:pPr>
        <w:spacing w:after="120" w:line="288"/>
      </w:pPr>
      <w:r>
        <w:t xml:space="preserve">The risk band yields a </w:t>
      </w:r>
      <w:r>
        <w:rPr>
          <w:b/>
          <w:bCs/>
        </w:rPr>
        <w:t xml:space="preserve">suggested</w:t>
      </w:r>
      <w:r>
        <w:t xml:space="preserve"> mix; the client or advisor may drag it anywhere. A </w:t>
      </w:r>
      <w:r>
        <w:rPr>
          <w:b/>
          <w:bCs/>
        </w:rPr>
        <w:t xml:space="preserve">drift guardrail</w:t>
      </w:r>
      <w:r>
        <w:t xml:space="preserve"> computes the deviation from the assessed profile and labels it green, amber, or red. The guardrail never blocks an override — it makes the deviation visible. A builder that forces the preset is paternalistic; one with no guardrail is reckless.</w:t>
      </w:r>
    </w:p>
    <w:p>
      <w:pPr>
        <w:pStyle w:val="Heading2"/>
      </w:pPr>
      <w:r>
        <w:t xml:space="preserve">9.3 Instrument-level sizing — the hard part</w:t>
      </w:r>
    </w:p>
    <w:p>
      <w:pPr>
        <w:spacing w:after="120" w:line="288"/>
      </w:pPr>
      <w:r>
        <w:t xml:space="preserve">Turning “60% equity” into specific rupee amounts per instrument is the most difficult problem in the builder. Nivesh solves it in three visible steps:</w:t>
      </w:r>
    </w:p>
    <w:p>
      <w:pPr>
        <w:pStyle w:val="ListParagraph"/>
        <w:numPr>
          <w:ilvl w:val="0"/>
          <w:numId w:val="3"/>
        </w:numPr>
        <w:spacing w:after="80" w:line="288"/>
      </w:pPr>
      <w:r>
        <w:rPr>
          <w:b/>
          <w:bCs/>
        </w:rPr>
        <w:t xml:space="preserve">Score-weight. </w:t>
      </w:r>
      <w:r>
        <w:t xml:space="preserve">The sleeve is split in proportion to each instrument's blended score from the screening engine — a higher-quality instrument earns a larger share.</w:t>
      </w:r>
    </w:p>
    <w:p>
      <w:pPr>
        <w:pStyle w:val="ListParagraph"/>
        <w:numPr>
          <w:ilvl w:val="0"/>
          <w:numId w:val="3"/>
        </w:numPr>
        <w:spacing w:after="80" w:line="288"/>
      </w:pPr>
      <w:r>
        <w:rPr>
          <w:b/>
          <w:bCs/>
        </w:rPr>
        <w:t xml:space="preserve">Apply caps. </w:t>
      </w:r>
      <w:r>
        <w:t xml:space="preserve">Per-instrument caps prevent over-concentration. Single stocks are capped tighter (~10–12%) than funds (~25–35%), because a fund is already internally diversified. Excess above a cap is redistributed.</w:t>
      </w:r>
    </w:p>
    <w:p>
      <w:pPr>
        <w:pStyle w:val="ListParagraph"/>
        <w:numPr>
          <w:ilvl w:val="0"/>
          <w:numId w:val="3"/>
        </w:numPr>
        <w:spacing w:after="80" w:line="288"/>
      </w:pPr>
      <w:r>
        <w:rPr>
          <w:b/>
          <w:bCs/>
        </w:rPr>
        <w:t xml:space="preserve">Snap to clean tickets. </w:t>
      </w:r>
      <w:r>
        <w:t xml:space="preserve">Raw amounts round to ₹500 multiples; the rounding residue is absorbed so the sleeve total is conserved exactly.</w:t>
      </w:r>
    </w:p>
    <w:p>
      <w:pPr>
        <w:spacing w:after="120" w:line="288"/>
      </w:pPr>
      <w:r>
        <w:t xml:space="preserve">The result is a defensible </w:t>
      </w:r>
      <w:r>
        <w:rPr>
          <w:b/>
          <w:bCs/>
        </w:rPr>
        <w:t xml:space="preserve">starting point</w:t>
      </w:r>
      <w:r>
        <w:t xml:space="preserve">, never a lock. The client can override any row; the sleeve total stays conserved, and any cap breach flags visibly. Caps themselves derive from the risk band, so the whole builder is internally consistent.</w:t>
      </w:r>
    </w:p>
    <w:p>
      <w:pPr>
        <w:pStyle w:val="Heading2"/>
      </w:pPr>
      <w:r>
        <w:t xml:space="preserve">9.4 The funding check</w:t>
      </w:r>
    </w:p>
    <w:p>
      <w:pPr>
        <w:spacing w:after="120" w:line="288"/>
      </w:pPr>
      <w:r>
        <w:t xml:space="preserve">The SIP planner runs a standard future-value projection for each goal and reports, honestly, whether the plan reaches the target. It will show </w:t>
      </w:r>
      <w:r>
        <w:rPr>
          <w:b/>
          <w:bCs/>
        </w:rPr>
        <w:t xml:space="preserve">red</w:t>
      </w:r>
      <w:r>
        <w:t xml:space="preserve"> when the math does not work. A builder that always shows green is useless; the value is the moment it shows red and the client sees the trade-off.</w:t>
      </w:r>
    </w:p>
    <w:p>
      <w:r>
        <w:br w:type="page"/>
      </w:r>
    </w:p>
    <w:p>
      <w:pPr>
        <w:pStyle w:val="Heading1"/>
      </w:pPr>
      <w:r>
        <w:t xml:space="preserve">10. The Advisor Experience</w:t>
      </w:r>
    </w:p>
    <w:p>
      <w:pPr>
        <w:spacing w:after="120" w:line="288"/>
      </w:pPr>
      <w:r>
        <w:t xml:space="preserve">The advisor product is the client product inverted — the same engine, re-aggregated for someone managing many portfolios. It has three screens.</w:t>
      </w:r>
    </w:p>
    <w:p>
      <w:pPr>
        <w:spacing w:after="80"/>
      </w:pPr>
      <w:r>
        <w:t xml:space="preserve"/>
      </w:r>
    </w:p>
    <w:p>
      <w:pPr>
        <w:pStyle w:val="Heading2"/>
      </w:pPr>
      <w:r>
        <w:t xml:space="preserve">10.1 Advisor Book</w:t>
      </w:r>
    </w:p>
    <w:p>
      <w:pPr>
        <w:spacing w:after="120" w:line="288"/>
      </w:pPr>
      <w:r>
        <w:t xml:space="preserve">The book exists to </w:t>
      </w:r>
      <w:r>
        <w:rPr>
          <w:b/>
          <w:bCs/>
        </w:rPr>
        <w:t xml:space="preserve">triage, not browse</w:t>
      </w:r>
      <w:r>
        <w:t xml:space="preserve">. It defaults to a “Needs attention” filter, not “All,” because an advisor wants today's call list, not a directory. Clients are computed into three bands — needs attention, review soon, healthy — and the list carries two columns the client screen never had: </w:t>
      </w:r>
      <w:r>
        <w:rPr>
          <w:b/>
          <w:bCs/>
        </w:rPr>
        <w:t xml:space="preserve">last seen</w:t>
      </w:r>
      <w:r>
        <w:t xml:space="preserve"> and a </w:t>
      </w:r>
      <w:r>
        <w:rPr>
          <w:b/>
          <w:bCs/>
        </w:rPr>
        <w:t xml:space="preserve">priority sort</w:t>
      </w:r>
      <w:r>
        <w:t xml:space="preserve"> that blends health, time-sensitivity, and contact gap. A healthy portfolio gone 60 days without contact still surfaces, because silence is its own risk.</w:t>
      </w:r>
    </w:p>
    <w:p>
      <w:pPr>
        <w:pStyle w:val="Heading2"/>
      </w:pPr>
      <w:r>
        <w:t xml:space="preserve">10.2 Client 360</w:t>
      </w:r>
    </w:p>
    <w:p>
      <w:pPr>
        <w:spacing w:after="120" w:line="288"/>
      </w:pPr>
      <w:r>
        <w:t xml:space="preserve">Opening a client gives the advisor the </w:t>
      </w:r>
      <w:r>
        <w:rPr>
          <w:b/>
          <w:bCs/>
        </w:rPr>
        <w:t xml:space="preserve">same six dashboards the client sees</w:t>
      </w:r>
      <w:r>
        <w:t xml:space="preserve">, as a grid of domain tiles, plus a “What needs you” list that assembles the open, advisor-relevant items into a call agenda. Every action here reads </w:t>
      </w:r>
      <w:r>
        <w:rPr>
          <w:b/>
          <w:bCs/>
        </w:rPr>
        <w:t xml:space="preserve">Discuss</w:t>
      </w:r>
      <w:r>
        <w:t xml:space="preserve">, not Accept — the advisor proposes, the client decides.</w:t>
      </w:r>
    </w:p>
    <w:p>
      <w:pPr>
        <w:pStyle w:val="Heading2"/>
      </w:pPr>
      <w:r>
        <w:t xml:space="preserve">10.3 SIP Board</w:t>
      </w:r>
    </w:p>
    <w:p>
      <w:pPr>
        <w:spacing w:after="120" w:line="288"/>
      </w:pPr>
      <w:r>
        <w:t xml:space="preserve">The SIP Board is </w:t>
      </w:r>
      <w:r>
        <w:rPr>
          <w:b/>
          <w:bCs/>
        </w:rPr>
        <w:t xml:space="preserve">operations, not advice</w:t>
      </w:r>
      <w:r>
        <w:t xml:space="preserve">. Where the book asks “whose portfolio needs advice?” the SIP Board asks “whose money did not move this cycle?” It triages every SIP into four queues — Failed, Expiring, Step-up due, Healthy — and the action is queue-specific: a failed debit names its actual reason (insufficient balance, mandate limit, closed account) so the fix is obvious. The Step-up queue is fed by the Goals dashboard: a “raise SIP” recommendation becomes a step-up item here, the one place advice and operations touch.</w:t>
      </w:r>
    </w:p>
    <w:p>
      <w:r>
        <w:br w:type="page"/>
      </w:r>
    </w:p>
    <w:p>
      <w:pPr>
        <w:pStyle w:val="Heading1"/>
      </w:pPr>
      <w:r>
        <w:t xml:space="preserve">11. Design System</w:t>
      </w:r>
    </w:p>
    <w:p>
      <w:pPr>
        <w:spacing w:after="120" w:line="288"/>
      </w:pPr>
      <w:r>
        <w:t xml:space="preserve">Nivesh uses a single warm-dark visual system across every screen. Consistency here is what makes twenty screens feel like one product.</w:t>
      </w:r>
    </w:p>
    <w:p>
      <w:pPr>
        <w:spacing w:after="80"/>
      </w:pPr>
      <w:r>
        <w:t xml:space="preserve"/>
      </w:r>
    </w:p>
    <w:p>
      <w:pPr>
        <w:pStyle w:val="Heading2"/>
      </w:pPr>
      <w:r>
        <w:t xml:space="preserve">11.1 Colour</w:t>
      </w:r>
    </w:p>
    <w:tbl>
      <w:tblPr>
        <w:tblW w:type="dxa" w:w="9360"/>
        <w:tblBorders>
          <w:top w:val="single" w:color="CCC6BA" w:sz="1"/>
          <w:left w:val="single" w:color="CCC6BA" w:sz="1"/>
          <w:bottom w:val="single" w:color="CCC6BA" w:sz="1"/>
          <w:right w:val="single" w:color="CCC6BA" w:sz="1"/>
          <w:insideH w:val="single" w:color="CCC6BA" w:sz="1"/>
          <w:insideV w:val="single" w:color="CCC6BA" w:sz="1"/>
        </w:tblBorders>
      </w:tblPr>
      <w:tblGrid>
        <w:gridCol w:w="1900"/>
        <w:gridCol w:w="2400"/>
        <w:gridCol w:w="5060"/>
      </w:tblGrid>
      <w:tr>
        <w:trPr>
          <w:tblHeader/>
        </w:trPr>
        <w:tc>
          <w:tcPr>
            <w:tcW w:type="dxa" w:w="1900"/>
            <w:shd w:fill="2A2620" w:val="clear"/>
            <w:tcMar>
              <w:top w:type="dxa" w:w="90"/>
              <w:left w:type="dxa" w:w="130"/>
              <w:bottom w:type="dxa" w:w="90"/>
              <w:right w:type="dxa" w:w="130"/>
            </w:tcMar>
            <w:vAlign w:val="center"/>
          </w:tcPr>
          <w:p>
            <w:r>
              <w:rPr>
                <w:b/>
                <w:bCs/>
                <w:color w:val="FFFFFF"/>
                <w:sz w:val="19"/>
                <w:szCs w:val="19"/>
              </w:rPr>
              <w:t xml:space="preserve">Role</w:t>
            </w:r>
          </w:p>
        </w:tc>
        <w:tc>
          <w:tcPr>
            <w:tcW w:type="dxa" w:w="2400"/>
            <w:shd w:fill="2A2620" w:val="clear"/>
            <w:tcMar>
              <w:top w:type="dxa" w:w="90"/>
              <w:left w:type="dxa" w:w="130"/>
              <w:bottom w:type="dxa" w:w="90"/>
              <w:right w:type="dxa" w:w="130"/>
            </w:tcMar>
            <w:vAlign w:val="center"/>
          </w:tcPr>
          <w:p>
            <w:r>
              <w:rPr>
                <w:b/>
                <w:bCs/>
                <w:color w:val="FFFFFF"/>
                <w:sz w:val="19"/>
                <w:szCs w:val="19"/>
              </w:rPr>
              <w:t xml:space="preserve">Token</w:t>
            </w:r>
          </w:p>
        </w:tc>
        <w:tc>
          <w:tcPr>
            <w:tcW w:type="dxa" w:w="5060"/>
            <w:shd w:fill="2A2620" w:val="clear"/>
            <w:tcMar>
              <w:top w:type="dxa" w:w="90"/>
              <w:left w:type="dxa" w:w="130"/>
              <w:bottom w:type="dxa" w:w="90"/>
              <w:right w:type="dxa" w:w="130"/>
            </w:tcMar>
            <w:vAlign w:val="center"/>
          </w:tcPr>
          <w:p>
            <w:r>
              <w:rPr>
                <w:b/>
                <w:bCs/>
                <w:color w:val="FFFFFF"/>
                <w:sz w:val="19"/>
                <w:szCs w:val="19"/>
              </w:rPr>
              <w:t xml:space="preserve">Use</w:t>
            </w:r>
          </w:p>
        </w:tc>
      </w:tr>
      <w:tr>
        <w:tc>
          <w:tcPr>
            <w:tcW w:type="dxa" w:w="1900"/>
            <w:shd w:fill="FFFFFF" w:val="clear"/>
            <w:tcMar>
              <w:top w:type="dxa" w:w="80"/>
              <w:left w:type="dxa" w:w="130"/>
              <w:bottom w:type="dxa" w:w="80"/>
              <w:right w:type="dxa" w:w="130"/>
            </w:tcMar>
            <w:vAlign w:val="center"/>
          </w:tcPr>
          <w:p>
            <w:pPr>
              <w:spacing w:after="40" w:line="264"/>
            </w:pPr>
            <w:r>
              <w:rPr>
                <w:sz w:val="18"/>
                <w:szCs w:val="18"/>
              </w:rPr>
              <w:t xml:space="preserve">Background</w:t>
            </w:r>
          </w:p>
        </w:tc>
        <w:tc>
          <w:tcPr>
            <w:tcW w:type="dxa" w:w="2400"/>
            <w:shd w:fill="FFFFFF" w:val="clear"/>
            <w:tcMar>
              <w:top w:type="dxa" w:w="80"/>
              <w:left w:type="dxa" w:w="130"/>
              <w:bottom w:type="dxa" w:w="80"/>
              <w:right w:type="dxa" w:w="130"/>
            </w:tcMar>
            <w:vAlign w:val="center"/>
          </w:tcPr>
          <w:p>
            <w:pPr>
              <w:spacing w:after="40" w:line="264"/>
            </w:pPr>
            <w:r>
              <w:rPr>
                <w:sz w:val="18"/>
                <w:szCs w:val="18"/>
              </w:rPr>
              <w:t xml:space="preserve">#0b0a08</w:t>
            </w:r>
          </w:p>
        </w:tc>
        <w:tc>
          <w:tcPr>
            <w:tcW w:type="dxa" w:w="5060"/>
            <w:shd w:fill="FFFFFF" w:val="clear"/>
            <w:tcMar>
              <w:top w:type="dxa" w:w="80"/>
              <w:left w:type="dxa" w:w="130"/>
              <w:bottom w:type="dxa" w:w="80"/>
              <w:right w:type="dxa" w:w="130"/>
            </w:tcMar>
            <w:vAlign w:val="center"/>
          </w:tcPr>
          <w:p>
            <w:pPr>
              <w:spacing w:after="40" w:line="264"/>
            </w:pPr>
            <w:r>
              <w:rPr>
                <w:sz w:val="18"/>
                <w:szCs w:val="18"/>
              </w:rPr>
              <w:t xml:space="preserve">The near-black canvas behind every screen.</w:t>
            </w:r>
          </w:p>
        </w:tc>
      </w:tr>
      <w:tr>
        <w:tc>
          <w:tcPr>
            <w:tcW w:type="dxa" w:w="1900"/>
            <w:shd w:fill="F4F1EA" w:val="clear"/>
            <w:tcMar>
              <w:top w:type="dxa" w:w="80"/>
              <w:left w:type="dxa" w:w="130"/>
              <w:bottom w:type="dxa" w:w="80"/>
              <w:right w:type="dxa" w:w="130"/>
            </w:tcMar>
            <w:vAlign w:val="center"/>
          </w:tcPr>
          <w:p>
            <w:pPr>
              <w:spacing w:after="40" w:line="264"/>
            </w:pPr>
            <w:r>
              <w:rPr>
                <w:sz w:val="18"/>
                <w:szCs w:val="18"/>
              </w:rPr>
              <w:t xml:space="preserve">Surfaces</w:t>
            </w:r>
          </w:p>
        </w:tc>
        <w:tc>
          <w:tcPr>
            <w:tcW w:type="dxa" w:w="2400"/>
            <w:shd w:fill="F4F1EA" w:val="clear"/>
            <w:tcMar>
              <w:top w:type="dxa" w:w="80"/>
              <w:left w:type="dxa" w:w="130"/>
              <w:bottom w:type="dxa" w:w="80"/>
              <w:right w:type="dxa" w:w="130"/>
            </w:tcMar>
            <w:vAlign w:val="center"/>
          </w:tcPr>
          <w:p>
            <w:pPr>
              <w:spacing w:after="40" w:line="264"/>
            </w:pPr>
            <w:r>
              <w:rPr>
                <w:sz w:val="18"/>
                <w:szCs w:val="18"/>
              </w:rPr>
              <w:t xml:space="preserve">#161310 – #252119</w:t>
            </w:r>
          </w:p>
        </w:tc>
        <w:tc>
          <w:tcPr>
            <w:tcW w:type="dxa" w:w="5060"/>
            <w:shd w:fill="F4F1EA" w:val="clear"/>
            <w:tcMar>
              <w:top w:type="dxa" w:w="80"/>
              <w:left w:type="dxa" w:w="130"/>
              <w:bottom w:type="dxa" w:w="80"/>
              <w:right w:type="dxa" w:w="130"/>
            </w:tcMar>
            <w:vAlign w:val="center"/>
          </w:tcPr>
          <w:p>
            <w:pPr>
              <w:spacing w:after="40" w:line="264"/>
            </w:pPr>
            <w:r>
              <w:rPr>
                <w:sz w:val="18"/>
                <w:szCs w:val="18"/>
              </w:rPr>
              <w:t xml:space="preserve">Cards, tiles, and raised elements.</w:t>
            </w:r>
          </w:p>
        </w:tc>
      </w:tr>
      <w:tr>
        <w:tc>
          <w:tcPr>
            <w:tcW w:type="dxa" w:w="1900"/>
            <w:shd w:fill="FFFFFF" w:val="clear"/>
            <w:tcMar>
              <w:top w:type="dxa" w:w="80"/>
              <w:left w:type="dxa" w:w="130"/>
              <w:bottom w:type="dxa" w:w="80"/>
              <w:right w:type="dxa" w:w="130"/>
            </w:tcMar>
            <w:vAlign w:val="center"/>
          </w:tcPr>
          <w:p>
            <w:pPr>
              <w:spacing w:after="40" w:line="264"/>
            </w:pPr>
            <w:r>
              <w:rPr>
                <w:sz w:val="18"/>
                <w:szCs w:val="18"/>
              </w:rPr>
              <w:t xml:space="preserve">Saffron accent</w:t>
            </w:r>
          </w:p>
        </w:tc>
        <w:tc>
          <w:tcPr>
            <w:tcW w:type="dxa" w:w="2400"/>
            <w:shd w:fill="FFFFFF" w:val="clear"/>
            <w:tcMar>
              <w:top w:type="dxa" w:w="80"/>
              <w:left w:type="dxa" w:w="130"/>
              <w:bottom w:type="dxa" w:w="80"/>
              <w:right w:type="dxa" w:w="130"/>
            </w:tcMar>
            <w:vAlign w:val="center"/>
          </w:tcPr>
          <w:p>
            <w:pPr>
              <w:spacing w:after="40" w:line="264"/>
            </w:pPr>
            <w:r>
              <w:rPr>
                <w:sz w:val="18"/>
                <w:szCs w:val="18"/>
              </w:rPr>
              <w:t xml:space="preserve">#ff9248</w:t>
            </w:r>
          </w:p>
        </w:tc>
        <w:tc>
          <w:tcPr>
            <w:tcW w:type="dxa" w:w="5060"/>
            <w:shd w:fill="FFFFFF" w:val="clear"/>
            <w:tcMar>
              <w:top w:type="dxa" w:w="80"/>
              <w:left w:type="dxa" w:w="130"/>
              <w:bottom w:type="dxa" w:w="80"/>
              <w:right w:type="dxa" w:w="130"/>
            </w:tcMar>
            <w:vAlign w:val="center"/>
          </w:tcPr>
          <w:p>
            <w:pPr>
              <w:spacing w:after="40" w:line="264"/>
            </w:pPr>
            <w:r>
              <w:rPr>
                <w:sz w:val="18"/>
                <w:szCs w:val="18"/>
              </w:rPr>
              <w:t xml:space="preserve">The primary brand accent and call-to-action colour.</w:t>
            </w:r>
          </w:p>
        </w:tc>
      </w:tr>
      <w:tr>
        <w:tc>
          <w:tcPr>
            <w:tcW w:type="dxa" w:w="1900"/>
            <w:shd w:fill="F4F1EA" w:val="clear"/>
            <w:tcMar>
              <w:top w:type="dxa" w:w="80"/>
              <w:left w:type="dxa" w:w="130"/>
              <w:bottom w:type="dxa" w:w="80"/>
              <w:right w:type="dxa" w:w="130"/>
            </w:tcMar>
            <w:vAlign w:val="center"/>
          </w:tcPr>
          <w:p>
            <w:pPr>
              <w:spacing w:after="40" w:line="264"/>
            </w:pPr>
            <w:r>
              <w:rPr>
                <w:sz w:val="18"/>
                <w:szCs w:val="18"/>
              </w:rPr>
              <w:t xml:space="preserve">Moss</w:t>
            </w:r>
          </w:p>
        </w:tc>
        <w:tc>
          <w:tcPr>
            <w:tcW w:type="dxa" w:w="2400"/>
            <w:shd w:fill="F4F1EA" w:val="clear"/>
            <w:tcMar>
              <w:top w:type="dxa" w:w="80"/>
              <w:left w:type="dxa" w:w="130"/>
              <w:bottom w:type="dxa" w:w="80"/>
              <w:right w:type="dxa" w:w="130"/>
            </w:tcMar>
            <w:vAlign w:val="center"/>
          </w:tcPr>
          <w:p>
            <w:pPr>
              <w:spacing w:after="40" w:line="264"/>
            </w:pPr>
            <w:r>
              <w:rPr>
                <w:sz w:val="18"/>
                <w:szCs w:val="18"/>
              </w:rPr>
              <w:t xml:space="preserve">#88ab66</w:t>
            </w:r>
          </w:p>
        </w:tc>
        <w:tc>
          <w:tcPr>
            <w:tcW w:type="dxa" w:w="5060"/>
            <w:shd w:fill="F4F1EA" w:val="clear"/>
            <w:tcMar>
              <w:top w:type="dxa" w:w="80"/>
              <w:left w:type="dxa" w:w="130"/>
              <w:bottom w:type="dxa" w:w="80"/>
              <w:right w:type="dxa" w:w="130"/>
            </w:tcMar>
            <w:vAlign w:val="center"/>
          </w:tcPr>
          <w:p>
            <w:pPr>
              <w:spacing w:after="40" w:line="264"/>
            </w:pPr>
            <w:r>
              <w:rPr>
                <w:sz w:val="18"/>
                <w:szCs w:val="18"/>
              </w:rPr>
              <w:t xml:space="preserve">Healthy / positive states.</w:t>
            </w:r>
          </w:p>
        </w:tc>
      </w:tr>
      <w:tr>
        <w:tc>
          <w:tcPr>
            <w:tcW w:type="dxa" w:w="1900"/>
            <w:shd w:fill="FFFFFF" w:val="clear"/>
            <w:tcMar>
              <w:top w:type="dxa" w:w="80"/>
              <w:left w:type="dxa" w:w="130"/>
              <w:bottom w:type="dxa" w:w="80"/>
              <w:right w:type="dxa" w:w="130"/>
            </w:tcMar>
            <w:vAlign w:val="center"/>
          </w:tcPr>
          <w:p>
            <w:pPr>
              <w:spacing w:after="40" w:line="264"/>
            </w:pPr>
            <w:r>
              <w:rPr>
                <w:sz w:val="18"/>
                <w:szCs w:val="18"/>
              </w:rPr>
              <w:t xml:space="preserve">Gold</w:t>
            </w:r>
          </w:p>
        </w:tc>
        <w:tc>
          <w:tcPr>
            <w:tcW w:type="dxa" w:w="2400"/>
            <w:shd w:fill="FFFFFF" w:val="clear"/>
            <w:tcMar>
              <w:top w:type="dxa" w:w="80"/>
              <w:left w:type="dxa" w:w="130"/>
              <w:bottom w:type="dxa" w:w="80"/>
              <w:right w:type="dxa" w:w="130"/>
            </w:tcMar>
            <w:vAlign w:val="center"/>
          </w:tcPr>
          <w:p>
            <w:pPr>
              <w:spacing w:after="40" w:line="264"/>
            </w:pPr>
            <w:r>
              <w:rPr>
                <w:sz w:val="18"/>
                <w:szCs w:val="18"/>
              </w:rPr>
              <w:t xml:space="preserve">#d9b64a</w:t>
            </w:r>
          </w:p>
        </w:tc>
        <w:tc>
          <w:tcPr>
            <w:tcW w:type="dxa" w:w="5060"/>
            <w:shd w:fill="FFFFFF" w:val="clear"/>
            <w:tcMar>
              <w:top w:type="dxa" w:w="80"/>
              <w:left w:type="dxa" w:w="130"/>
              <w:bottom w:type="dxa" w:w="80"/>
              <w:right w:type="dxa" w:w="130"/>
            </w:tcMar>
            <w:vAlign w:val="center"/>
          </w:tcPr>
          <w:p>
            <w:pPr>
              <w:spacing w:after="40" w:line="264"/>
            </w:pPr>
            <w:r>
              <w:rPr>
                <w:sz w:val="18"/>
                <w:szCs w:val="18"/>
              </w:rPr>
              <w:t xml:space="preserve">Caution / medium-severity states.</w:t>
            </w:r>
          </w:p>
        </w:tc>
      </w:tr>
      <w:tr>
        <w:tc>
          <w:tcPr>
            <w:tcW w:type="dxa" w:w="1900"/>
            <w:shd w:fill="F4F1EA" w:val="clear"/>
            <w:tcMar>
              <w:top w:type="dxa" w:w="80"/>
              <w:left w:type="dxa" w:w="130"/>
              <w:bottom w:type="dxa" w:w="80"/>
              <w:right w:type="dxa" w:w="130"/>
            </w:tcMar>
            <w:vAlign w:val="center"/>
          </w:tcPr>
          <w:p>
            <w:pPr>
              <w:spacing w:after="40" w:line="264"/>
            </w:pPr>
            <w:r>
              <w:rPr>
                <w:sz w:val="18"/>
                <w:szCs w:val="18"/>
              </w:rPr>
              <w:t xml:space="preserve">Rust</w:t>
            </w:r>
          </w:p>
        </w:tc>
        <w:tc>
          <w:tcPr>
            <w:tcW w:type="dxa" w:w="2400"/>
            <w:shd w:fill="F4F1EA" w:val="clear"/>
            <w:tcMar>
              <w:top w:type="dxa" w:w="80"/>
              <w:left w:type="dxa" w:w="130"/>
              <w:bottom w:type="dxa" w:w="80"/>
              <w:right w:type="dxa" w:w="130"/>
            </w:tcMar>
            <w:vAlign w:val="center"/>
          </w:tcPr>
          <w:p>
            <w:pPr>
              <w:spacing w:after="40" w:line="264"/>
            </w:pPr>
            <w:r>
              <w:rPr>
                <w:sz w:val="18"/>
                <w:szCs w:val="18"/>
              </w:rPr>
              <w:t xml:space="preserve">#df5d5d</w:t>
            </w:r>
          </w:p>
        </w:tc>
        <w:tc>
          <w:tcPr>
            <w:tcW w:type="dxa" w:w="5060"/>
            <w:shd w:fill="F4F1EA" w:val="clear"/>
            <w:tcMar>
              <w:top w:type="dxa" w:w="80"/>
              <w:left w:type="dxa" w:w="130"/>
              <w:bottom w:type="dxa" w:w="80"/>
              <w:right w:type="dxa" w:w="130"/>
            </w:tcMar>
            <w:vAlign w:val="center"/>
          </w:tcPr>
          <w:p>
            <w:pPr>
              <w:spacing w:after="40" w:line="264"/>
            </w:pPr>
            <w:r>
              <w:rPr>
                <w:sz w:val="18"/>
                <w:szCs w:val="18"/>
              </w:rPr>
              <w:t xml:space="preserve">High-severity / at-risk states.</w:t>
            </w:r>
          </w:p>
        </w:tc>
      </w:tr>
      <w:tr>
        <w:tc>
          <w:tcPr>
            <w:tcW w:type="dxa" w:w="1900"/>
            <w:shd w:fill="FFFFFF" w:val="clear"/>
            <w:tcMar>
              <w:top w:type="dxa" w:w="80"/>
              <w:left w:type="dxa" w:w="130"/>
              <w:bottom w:type="dxa" w:w="80"/>
              <w:right w:type="dxa" w:w="130"/>
            </w:tcMar>
            <w:vAlign w:val="center"/>
          </w:tcPr>
          <w:p>
            <w:pPr>
              <w:spacing w:after="40" w:line="264"/>
            </w:pPr>
            <w:r>
              <w:rPr>
                <w:sz w:val="18"/>
                <w:szCs w:val="18"/>
              </w:rPr>
              <w:t xml:space="preserve">Indigo</w:t>
            </w:r>
          </w:p>
        </w:tc>
        <w:tc>
          <w:tcPr>
            <w:tcW w:type="dxa" w:w="2400"/>
            <w:shd w:fill="FFFFFF" w:val="clear"/>
            <w:tcMar>
              <w:top w:type="dxa" w:w="80"/>
              <w:left w:type="dxa" w:w="130"/>
              <w:bottom w:type="dxa" w:w="80"/>
              <w:right w:type="dxa" w:w="130"/>
            </w:tcMar>
            <w:vAlign w:val="center"/>
          </w:tcPr>
          <w:p>
            <w:pPr>
              <w:spacing w:after="40" w:line="264"/>
            </w:pPr>
            <w:r>
              <w:rPr>
                <w:sz w:val="18"/>
                <w:szCs w:val="18"/>
              </w:rPr>
              <w:t xml:space="preserve">#7d7eff</w:t>
            </w:r>
          </w:p>
        </w:tc>
        <w:tc>
          <w:tcPr>
            <w:tcW w:type="dxa" w:w="5060"/>
            <w:shd w:fill="FFFFFF" w:val="clear"/>
            <w:tcMar>
              <w:top w:type="dxa" w:w="80"/>
              <w:left w:type="dxa" w:w="130"/>
              <w:bottom w:type="dxa" w:w="80"/>
              <w:right w:type="dxa" w:w="130"/>
            </w:tcMar>
            <w:vAlign w:val="center"/>
          </w:tcPr>
          <w:p>
            <w:pPr>
              <w:spacing w:after="40" w:line="264"/>
            </w:pPr>
            <w:r>
              <w:rPr>
                <w:sz w:val="18"/>
                <w:szCs w:val="18"/>
              </w:rPr>
              <w:t xml:space="preserve">Informational and neutral highlights.</w:t>
            </w:r>
          </w:p>
        </w:tc>
      </w:tr>
    </w:tbl>
    <w:p>
      <w:pPr>
        <w:spacing w:after="80"/>
      </w:pPr>
      <w:r>
        <w:t xml:space="preserve"/>
      </w:r>
    </w:p>
    <w:p>
      <w:pPr>
        <w:pStyle w:val="Heading2"/>
      </w:pPr>
      <w:r>
        <w:t xml:space="preserve">11.2 Typography</w:t>
      </w:r>
    </w:p>
    <w:p>
      <w:pPr>
        <w:pStyle w:val="ListParagraph"/>
        <w:numPr>
          <w:ilvl w:val="0"/>
          <w:numId w:val="2"/>
        </w:numPr>
        <w:spacing w:after="80" w:line="288"/>
      </w:pPr>
      <w:r>
        <w:rPr>
          <w:b/>
          <w:bCs/>
        </w:rPr>
        <w:t xml:space="preserve">Fraunces </w:t>
      </w:r>
      <w:r>
        <w:t xml:space="preserve">— a serif display face for headline moments and the health score.</w:t>
      </w:r>
    </w:p>
    <w:p>
      <w:pPr>
        <w:pStyle w:val="ListParagraph"/>
        <w:numPr>
          <w:ilvl w:val="0"/>
          <w:numId w:val="2"/>
        </w:numPr>
        <w:spacing w:after="80" w:line="288"/>
      </w:pPr>
      <w:r>
        <w:rPr>
          <w:b/>
          <w:bCs/>
        </w:rPr>
        <w:t xml:space="preserve">Inter Tight </w:t>
      </w:r>
      <w:r>
        <w:t xml:space="preserve">— the body and interface typeface.</w:t>
      </w:r>
    </w:p>
    <w:p>
      <w:pPr>
        <w:pStyle w:val="ListParagraph"/>
        <w:numPr>
          <w:ilvl w:val="0"/>
          <w:numId w:val="2"/>
        </w:numPr>
        <w:spacing w:after="80" w:line="288"/>
      </w:pPr>
      <w:r>
        <w:rPr>
          <w:b/>
          <w:bCs/>
        </w:rPr>
        <w:t xml:space="preserve">IBM Plex Mono </w:t>
      </w:r>
      <w:r>
        <w:t xml:space="preserve">— meta labels, badges, and figures.</w:t>
      </w:r>
    </w:p>
    <w:p>
      <w:pPr>
        <w:pStyle w:val="Heading2"/>
      </w:pPr>
      <w:r>
        <w:t xml:space="preserve">11.3 Brand mark</w:t>
      </w:r>
    </w:p>
    <w:p>
      <w:pPr>
        <w:spacing w:after="120" w:line="288"/>
      </w:pPr>
      <w:r>
        <w:t xml:space="preserve">The Nivesh mark is a saffron rounded square carrying the Devanagari letter “न” — the first letter of Nivesh, the Hindi word for investment.</w:t>
      </w:r>
    </w:p>
    <w:p>
      <w:pPr>
        <w:pStyle w:val="Heading2"/>
      </w:pPr>
      <w:r>
        <w:t xml:space="preserve">11.4 Grounding discipline</w:t>
      </w:r>
    </w:p>
    <w:p>
      <w:pPr>
        <w:spacing w:after="120" w:line="288"/>
      </w:pPr>
      <w:r>
        <w:t xml:space="preserve">A design rule with product weight: every figure on every screen traces to NIDP data, and none is invented. Where a number cannot be computed, the screen says so plainly. The product's credibility rests on this discipline.</w:t>
      </w:r>
    </w:p>
    <w:p>
      <w:r>
        <w:br w:type="page"/>
      </w:r>
    </w:p>
    <w:p>
      <w:pPr>
        <w:pStyle w:val="Heading1"/>
      </w:pPr>
      <w:r>
        <w:t xml:space="preserve">12. Mockup Walkthrough — Prototype Map</w:t>
      </w:r>
    </w:p>
    <w:p>
      <w:pPr>
        <w:spacing w:after="120" w:line="288"/>
      </w:pPr>
      <w:r>
        <w:t xml:space="preserve">This PRD ships with </w:t>
      </w:r>
      <w:r>
        <w:rPr>
          <w:b/>
          <w:bCs/>
        </w:rPr>
        <w:t xml:space="preserve">nivesh_app.html</w:t>
      </w:r>
      <w:r>
        <w:t xml:space="preserve">, a self-contained, clickable prototype of twelve screens in the warm-dark design system. It is the walkthrough companion to this document: every screen specified above exists there as a working, navigable mockup with real interactivity — lens switchers, accept flows, sliders, and filters.</w:t>
      </w:r>
    </w:p>
    <w:p>
      <w:pPr>
        <w:spacing w:after="80"/>
      </w:pPr>
      <w:r>
        <w:t xml:space="preserve"/>
      </w:r>
    </w:p>
    <w:p>
      <w:pPr>
        <w:pStyle w:val="Heading2"/>
      </w:pPr>
      <w:r>
        <w:t xml:space="preserve">12.1 Screen-to-section map</w:t>
      </w:r>
    </w:p>
    <w:tbl>
      <w:tblPr>
        <w:tblW w:type="dxa" w:w="9360"/>
        <w:tblBorders>
          <w:top w:val="single" w:color="CCC6BA" w:sz="1"/>
          <w:left w:val="single" w:color="CCC6BA" w:sz="1"/>
          <w:bottom w:val="single" w:color="CCC6BA" w:sz="1"/>
          <w:right w:val="single" w:color="CCC6BA" w:sz="1"/>
          <w:insideH w:val="single" w:color="CCC6BA" w:sz="1"/>
          <w:insideV w:val="single" w:color="CCC6BA" w:sz="1"/>
        </w:tblBorders>
      </w:tblPr>
      <w:tblGrid>
        <w:gridCol w:w="2500"/>
        <w:gridCol w:w="1700"/>
        <w:gridCol w:w="5160"/>
      </w:tblGrid>
      <w:tr>
        <w:trPr>
          <w:tblHeader/>
        </w:trPr>
        <w:tc>
          <w:tcPr>
            <w:tcW w:type="dxa" w:w="2500"/>
            <w:shd w:fill="2A2620" w:val="clear"/>
            <w:tcMar>
              <w:top w:type="dxa" w:w="90"/>
              <w:left w:type="dxa" w:w="130"/>
              <w:bottom w:type="dxa" w:w="90"/>
              <w:right w:type="dxa" w:w="130"/>
            </w:tcMar>
            <w:vAlign w:val="center"/>
          </w:tcPr>
          <w:p>
            <w:r>
              <w:rPr>
                <w:b/>
                <w:bCs/>
                <w:color w:val="FFFFFF"/>
                <w:sz w:val="19"/>
                <w:szCs w:val="19"/>
              </w:rPr>
              <w:t xml:space="preserve">Prototype screen</w:t>
            </w:r>
          </w:p>
        </w:tc>
        <w:tc>
          <w:tcPr>
            <w:tcW w:type="dxa" w:w="1700"/>
            <w:shd w:fill="2A2620" w:val="clear"/>
            <w:tcMar>
              <w:top w:type="dxa" w:w="90"/>
              <w:left w:type="dxa" w:w="130"/>
              <w:bottom w:type="dxa" w:w="90"/>
              <w:right w:type="dxa" w:w="130"/>
            </w:tcMar>
            <w:vAlign w:val="center"/>
          </w:tcPr>
          <w:p>
            <w:r>
              <w:rPr>
                <w:b/>
                <w:bCs/>
                <w:color w:val="FFFFFF"/>
                <w:sz w:val="19"/>
                <w:szCs w:val="19"/>
              </w:rPr>
              <w:t xml:space="preserve">Specified in</w:t>
            </w:r>
          </w:p>
        </w:tc>
        <w:tc>
          <w:tcPr>
            <w:tcW w:type="dxa" w:w="5160"/>
            <w:shd w:fill="2A2620" w:val="clear"/>
            <w:tcMar>
              <w:top w:type="dxa" w:w="90"/>
              <w:left w:type="dxa" w:w="130"/>
              <w:bottom w:type="dxa" w:w="90"/>
              <w:right w:type="dxa" w:w="130"/>
            </w:tcMar>
            <w:vAlign w:val="center"/>
          </w:tcPr>
          <w:p>
            <w:r>
              <w:rPr>
                <w:b/>
                <w:bCs/>
                <w:color w:val="FFFFFF"/>
                <w:sz w:val="19"/>
                <w:szCs w:val="19"/>
              </w:rPr>
              <w:t xml:space="preserve">Interactive in the mockup</w:t>
            </w:r>
          </w:p>
        </w:tc>
      </w:tr>
      <w:tr>
        <w:tc>
          <w:tcPr>
            <w:tcW w:type="dxa" w:w="2500"/>
            <w:shd w:fill="FFFFFF" w:val="clear"/>
            <w:tcMar>
              <w:top w:type="dxa" w:w="80"/>
              <w:left w:type="dxa" w:w="130"/>
              <w:bottom w:type="dxa" w:w="80"/>
              <w:right w:type="dxa" w:w="130"/>
            </w:tcMar>
            <w:vAlign w:val="center"/>
          </w:tcPr>
          <w:p>
            <w:pPr>
              <w:spacing w:after="40" w:line="264"/>
            </w:pPr>
            <w:r>
              <w:rPr>
                <w:sz w:val="18"/>
                <w:szCs w:val="18"/>
              </w:rPr>
              <w:t xml:space="preserve">Homepage</w:t>
            </w:r>
          </w:p>
        </w:tc>
        <w:tc>
          <w:tcPr>
            <w:tcW w:type="dxa" w:w="1700"/>
            <w:shd w:fill="FFFFFF" w:val="clear"/>
            <w:tcMar>
              <w:top w:type="dxa" w:w="80"/>
              <w:left w:type="dxa" w:w="130"/>
              <w:bottom w:type="dxa" w:w="80"/>
              <w:right w:type="dxa" w:w="130"/>
            </w:tcMar>
            <w:vAlign w:val="center"/>
          </w:tcPr>
          <w:p>
            <w:pPr>
              <w:spacing w:after="40" w:line="264"/>
            </w:pPr>
            <w:r>
              <w:rPr>
                <w:sz w:val="18"/>
                <w:szCs w:val="18"/>
              </w:rPr>
              <w:t xml:space="preserve">§ 2</w:t>
            </w:r>
          </w:p>
        </w:tc>
        <w:tc>
          <w:tcPr>
            <w:tcW w:type="dxa" w:w="5160"/>
            <w:shd w:fill="FFFFFF" w:val="clear"/>
            <w:tcMar>
              <w:top w:type="dxa" w:w="80"/>
              <w:left w:type="dxa" w:w="130"/>
              <w:bottom w:type="dxa" w:w="80"/>
              <w:right w:type="dxa" w:w="130"/>
            </w:tcMar>
            <w:vAlign w:val="center"/>
          </w:tcPr>
          <w:p>
            <w:pPr>
              <w:spacing w:after="40" w:line="264"/>
            </w:pPr>
            <w:r>
              <w:rPr>
                <w:sz w:val="18"/>
                <w:szCs w:val="18"/>
              </w:rPr>
              <w:t xml:space="preserve">Marketing hero; routes into the product.</w:t>
            </w:r>
          </w:p>
        </w:tc>
      </w:tr>
      <w:tr>
        <w:tc>
          <w:tcPr>
            <w:tcW w:type="dxa" w:w="2500"/>
            <w:shd w:fill="F4F1EA" w:val="clear"/>
            <w:tcMar>
              <w:top w:type="dxa" w:w="80"/>
              <w:left w:type="dxa" w:w="130"/>
              <w:bottom w:type="dxa" w:w="80"/>
              <w:right w:type="dxa" w:w="130"/>
            </w:tcMar>
            <w:vAlign w:val="center"/>
          </w:tcPr>
          <w:p>
            <w:pPr>
              <w:spacing w:after="40" w:line="264"/>
            </w:pPr>
            <w:r>
              <w:rPr>
                <w:sz w:val="18"/>
                <w:szCs w:val="18"/>
              </w:rPr>
              <w:t xml:space="preserve">Login</w:t>
            </w:r>
          </w:p>
        </w:tc>
        <w:tc>
          <w:tcPr>
            <w:tcW w:type="dxa" w:w="1700"/>
            <w:shd w:fill="F4F1EA" w:val="clear"/>
            <w:tcMar>
              <w:top w:type="dxa" w:w="80"/>
              <w:left w:type="dxa" w:w="130"/>
              <w:bottom w:type="dxa" w:w="80"/>
              <w:right w:type="dxa" w:w="130"/>
            </w:tcMar>
            <w:vAlign w:val="center"/>
          </w:tcPr>
          <w:p>
            <w:pPr>
              <w:spacing w:after="40" w:line="264"/>
            </w:pPr>
            <w:r>
              <w:rPr>
                <w:sz w:val="18"/>
                <w:szCs w:val="18"/>
              </w:rPr>
              <w:t xml:space="preserve">§ 5</w:t>
            </w:r>
          </w:p>
        </w:tc>
        <w:tc>
          <w:tcPr>
            <w:tcW w:type="dxa" w:w="5160"/>
            <w:shd w:fill="F4F1EA" w:val="clear"/>
            <w:tcMar>
              <w:top w:type="dxa" w:w="80"/>
              <w:left w:type="dxa" w:w="130"/>
              <w:bottom w:type="dxa" w:w="80"/>
              <w:right w:type="dxa" w:w="130"/>
            </w:tcMar>
            <w:vAlign w:val="center"/>
          </w:tcPr>
          <w:p>
            <w:pPr>
              <w:spacing w:after="40" w:line="264"/>
            </w:pPr>
            <w:r>
              <w:rPr>
                <w:sz w:val="18"/>
                <w:szCs w:val="18"/>
              </w:rPr>
              <w:t xml:space="preserve">Client and advisor sign-in paths.</w:t>
            </w:r>
          </w:p>
        </w:tc>
      </w:tr>
      <w:tr>
        <w:tc>
          <w:tcPr>
            <w:tcW w:type="dxa" w:w="2500"/>
            <w:shd w:fill="FFFFFF" w:val="clear"/>
            <w:tcMar>
              <w:top w:type="dxa" w:w="80"/>
              <w:left w:type="dxa" w:w="130"/>
              <w:bottom w:type="dxa" w:w="80"/>
              <w:right w:type="dxa" w:w="130"/>
            </w:tcMar>
            <w:vAlign w:val="center"/>
          </w:tcPr>
          <w:p>
            <w:pPr>
              <w:spacing w:after="40" w:line="264"/>
            </w:pPr>
            <w:r>
              <w:rPr>
                <w:sz w:val="18"/>
                <w:szCs w:val="18"/>
              </w:rPr>
              <w:t xml:space="preserve">Onboarding</w:t>
            </w:r>
          </w:p>
        </w:tc>
        <w:tc>
          <w:tcPr>
            <w:tcW w:type="dxa" w:w="1700"/>
            <w:shd w:fill="FFFFFF" w:val="clear"/>
            <w:tcMar>
              <w:top w:type="dxa" w:w="80"/>
              <w:left w:type="dxa" w:w="130"/>
              <w:bottom w:type="dxa" w:w="80"/>
              <w:right w:type="dxa" w:w="130"/>
            </w:tcMar>
            <w:vAlign w:val="center"/>
          </w:tcPr>
          <w:p>
            <w:pPr>
              <w:spacing w:after="40" w:line="264"/>
            </w:pPr>
            <w:r>
              <w:rPr>
                <w:sz w:val="18"/>
                <w:szCs w:val="18"/>
              </w:rPr>
              <w:t xml:space="preserve">§ 5</w:t>
            </w:r>
          </w:p>
        </w:tc>
        <w:tc>
          <w:tcPr>
            <w:tcW w:type="dxa" w:w="5160"/>
            <w:shd w:fill="FFFFFF" w:val="clear"/>
            <w:tcMar>
              <w:top w:type="dxa" w:w="80"/>
              <w:left w:type="dxa" w:w="130"/>
              <w:bottom w:type="dxa" w:w="80"/>
              <w:right w:type="dxa" w:w="130"/>
            </w:tcMar>
            <w:vAlign w:val="center"/>
          </w:tcPr>
          <w:p>
            <w:pPr>
              <w:spacing w:after="40" w:line="264"/>
            </w:pPr>
            <w:r>
              <w:rPr>
                <w:sz w:val="18"/>
                <w:szCs w:val="18"/>
              </w:rPr>
              <w:t xml:space="preserve">The three import paths as a ranked choice.</w:t>
            </w:r>
          </w:p>
        </w:tc>
      </w:tr>
      <w:tr>
        <w:tc>
          <w:tcPr>
            <w:tcW w:type="dxa" w:w="2500"/>
            <w:shd w:fill="F4F1EA" w:val="clear"/>
            <w:tcMar>
              <w:top w:type="dxa" w:w="80"/>
              <w:left w:type="dxa" w:w="130"/>
              <w:bottom w:type="dxa" w:w="80"/>
              <w:right w:type="dxa" w:w="130"/>
            </w:tcMar>
            <w:vAlign w:val="center"/>
          </w:tcPr>
          <w:p>
            <w:pPr>
              <w:spacing w:after="40" w:line="264"/>
            </w:pPr>
            <w:r>
              <w:rPr>
                <w:sz w:val="18"/>
                <w:szCs w:val="18"/>
              </w:rPr>
              <w:t xml:space="preserve">Chat insight landing</w:t>
            </w:r>
          </w:p>
        </w:tc>
        <w:tc>
          <w:tcPr>
            <w:tcW w:type="dxa" w:w="1700"/>
            <w:shd w:fill="F4F1EA" w:val="clear"/>
            <w:tcMar>
              <w:top w:type="dxa" w:w="80"/>
              <w:left w:type="dxa" w:w="130"/>
              <w:bottom w:type="dxa" w:w="80"/>
              <w:right w:type="dxa" w:w="130"/>
            </w:tcMar>
            <w:vAlign w:val="center"/>
          </w:tcPr>
          <w:p>
            <w:pPr>
              <w:spacing w:after="40" w:line="264"/>
            </w:pPr>
            <w:r>
              <w:rPr>
                <w:sz w:val="18"/>
                <w:szCs w:val="18"/>
              </w:rPr>
              <w:t xml:space="preserve">§ 4, 6</w:t>
            </w:r>
          </w:p>
        </w:tc>
        <w:tc>
          <w:tcPr>
            <w:tcW w:type="dxa" w:w="5160"/>
            <w:shd w:fill="F4F1EA" w:val="clear"/>
            <w:tcMar>
              <w:top w:type="dxa" w:w="80"/>
              <w:left w:type="dxa" w:w="130"/>
              <w:bottom w:type="dxa" w:w="80"/>
              <w:right w:type="dxa" w:w="130"/>
            </w:tcMar>
            <w:vAlign w:val="center"/>
          </w:tcPr>
          <w:p>
            <w:pPr>
              <w:spacing w:after="40" w:line="264"/>
            </w:pPr>
            <w:r>
              <w:rPr>
                <w:sz w:val="18"/>
                <w:szCs w:val="18"/>
              </w:rPr>
              <w:t xml:space="preserve">Health score, top insight cards, top recommendation.</w:t>
            </w:r>
          </w:p>
        </w:tc>
      </w:tr>
      <w:tr>
        <w:tc>
          <w:tcPr>
            <w:tcW w:type="dxa" w:w="2500"/>
            <w:shd w:fill="FFFFFF" w:val="clear"/>
            <w:tcMar>
              <w:top w:type="dxa" w:w="80"/>
              <w:left w:type="dxa" w:w="130"/>
              <w:bottom w:type="dxa" w:w="80"/>
              <w:right w:type="dxa" w:w="130"/>
            </w:tcMar>
            <w:vAlign w:val="center"/>
          </w:tcPr>
          <w:p>
            <w:pPr>
              <w:spacing w:after="40" w:line="264"/>
            </w:pPr>
            <w:r>
              <w:rPr>
                <w:sz w:val="18"/>
                <w:szCs w:val="18"/>
              </w:rPr>
              <w:t xml:space="preserve">Concentration dashboard</w:t>
            </w:r>
          </w:p>
        </w:tc>
        <w:tc>
          <w:tcPr>
            <w:tcW w:type="dxa" w:w="1700"/>
            <w:shd w:fill="FFFFFF" w:val="clear"/>
            <w:tcMar>
              <w:top w:type="dxa" w:w="80"/>
              <w:left w:type="dxa" w:w="130"/>
              <w:bottom w:type="dxa" w:w="80"/>
              <w:right w:type="dxa" w:w="130"/>
            </w:tcMar>
            <w:vAlign w:val="center"/>
          </w:tcPr>
          <w:p>
            <w:pPr>
              <w:spacing w:after="40" w:line="264"/>
            </w:pPr>
            <w:r>
              <w:rPr>
                <w:sz w:val="18"/>
                <w:szCs w:val="18"/>
              </w:rPr>
              <w:t xml:space="preserve">§ 7</w:t>
            </w:r>
          </w:p>
        </w:tc>
        <w:tc>
          <w:tcPr>
            <w:tcW w:type="dxa" w:w="5160"/>
            <w:shd w:fill="FFFFFF" w:val="clear"/>
            <w:tcMar>
              <w:top w:type="dxa" w:w="80"/>
              <w:left w:type="dxa" w:w="130"/>
              <w:bottom w:type="dxa" w:w="80"/>
              <w:right w:type="dxa" w:w="130"/>
            </w:tcMar>
            <w:vAlign w:val="center"/>
          </w:tcPr>
          <w:p>
            <w:pPr>
              <w:spacing w:after="40" w:line="264"/>
            </w:pPr>
            <w:r>
              <w:rPr>
                <w:sz w:val="18"/>
                <w:szCs w:val="18"/>
              </w:rPr>
              <w:t xml:space="preserve">Five-lens switcher; live action matrix with Accept.</w:t>
            </w:r>
          </w:p>
        </w:tc>
      </w:tr>
      <w:tr>
        <w:tc>
          <w:tcPr>
            <w:tcW w:type="dxa" w:w="2500"/>
            <w:shd w:fill="F4F1EA" w:val="clear"/>
            <w:tcMar>
              <w:top w:type="dxa" w:w="80"/>
              <w:left w:type="dxa" w:w="130"/>
              <w:bottom w:type="dxa" w:w="80"/>
              <w:right w:type="dxa" w:w="130"/>
            </w:tcMar>
            <w:vAlign w:val="center"/>
          </w:tcPr>
          <w:p>
            <w:pPr>
              <w:spacing w:after="40" w:line="264"/>
            </w:pPr>
            <w:r>
              <w:rPr>
                <w:sz w:val="18"/>
                <w:szCs w:val="18"/>
              </w:rPr>
              <w:t xml:space="preserve">Risk dashboard</w:t>
            </w:r>
          </w:p>
        </w:tc>
        <w:tc>
          <w:tcPr>
            <w:tcW w:type="dxa" w:w="1700"/>
            <w:shd w:fill="F4F1EA" w:val="clear"/>
            <w:tcMar>
              <w:top w:type="dxa" w:w="80"/>
              <w:left w:type="dxa" w:w="130"/>
              <w:bottom w:type="dxa" w:w="80"/>
              <w:right w:type="dxa" w:w="130"/>
            </w:tcMar>
            <w:vAlign w:val="center"/>
          </w:tcPr>
          <w:p>
            <w:pPr>
              <w:spacing w:after="40" w:line="264"/>
            </w:pPr>
            <w:r>
              <w:rPr>
                <w:sz w:val="18"/>
                <w:szCs w:val="18"/>
              </w:rPr>
              <w:t xml:space="preserve">§ 7</w:t>
            </w:r>
          </w:p>
        </w:tc>
        <w:tc>
          <w:tcPr>
            <w:tcW w:type="dxa" w:w="5160"/>
            <w:shd w:fill="F4F1EA" w:val="clear"/>
            <w:tcMar>
              <w:top w:type="dxa" w:w="80"/>
              <w:left w:type="dxa" w:w="130"/>
              <w:bottom w:type="dxa" w:w="80"/>
              <w:right w:type="dxa" w:w="130"/>
            </w:tcMar>
            <w:vAlign w:val="center"/>
          </w:tcPr>
          <w:p>
            <w:pPr>
              <w:spacing w:after="40" w:line="264"/>
            </w:pPr>
            <w:r>
              <w:rPr>
                <w:sz w:val="18"/>
                <w:szCs w:val="18"/>
              </w:rPr>
              <w:t xml:space="preserve">Risk drivers; matrix with projected-beta footer.</w:t>
            </w:r>
          </w:p>
        </w:tc>
      </w:tr>
      <w:tr>
        <w:tc>
          <w:tcPr>
            <w:tcW w:type="dxa" w:w="2500"/>
            <w:shd w:fill="FFFFFF" w:val="clear"/>
            <w:tcMar>
              <w:top w:type="dxa" w:w="80"/>
              <w:left w:type="dxa" w:w="130"/>
              <w:bottom w:type="dxa" w:w="80"/>
              <w:right w:type="dxa" w:w="130"/>
            </w:tcMar>
            <w:vAlign w:val="center"/>
          </w:tcPr>
          <w:p>
            <w:pPr>
              <w:spacing w:after="40" w:line="264"/>
            </w:pPr>
            <w:r>
              <w:rPr>
                <w:sz w:val="18"/>
                <w:szCs w:val="18"/>
              </w:rPr>
              <w:t xml:space="preserve">Plan Board</w:t>
            </w:r>
          </w:p>
        </w:tc>
        <w:tc>
          <w:tcPr>
            <w:tcW w:type="dxa" w:w="1700"/>
            <w:shd w:fill="FFFFFF" w:val="clear"/>
            <w:tcMar>
              <w:top w:type="dxa" w:w="80"/>
              <w:left w:type="dxa" w:w="130"/>
              <w:bottom w:type="dxa" w:w="80"/>
              <w:right w:type="dxa" w:w="130"/>
            </w:tcMar>
            <w:vAlign w:val="center"/>
          </w:tcPr>
          <w:p>
            <w:pPr>
              <w:spacing w:after="40" w:line="264"/>
            </w:pPr>
            <w:r>
              <w:rPr>
                <w:sz w:val="18"/>
                <w:szCs w:val="18"/>
              </w:rPr>
              <w:t xml:space="preserve">§ 8</w:t>
            </w:r>
          </w:p>
        </w:tc>
        <w:tc>
          <w:tcPr>
            <w:tcW w:type="dxa" w:w="5160"/>
            <w:shd w:fill="FFFFFF" w:val="clear"/>
            <w:tcMar>
              <w:top w:type="dxa" w:w="80"/>
              <w:left w:type="dxa" w:w="130"/>
              <w:bottom w:type="dxa" w:w="80"/>
              <w:right w:type="dxa" w:w="130"/>
            </w:tcMar>
            <w:vAlign w:val="center"/>
          </w:tcPr>
          <w:p>
            <w:pPr>
              <w:spacing w:after="40" w:line="264"/>
            </w:pPr>
            <w:r>
              <w:rPr>
                <w:sz w:val="18"/>
                <w:szCs w:val="18"/>
              </w:rPr>
              <w:t xml:space="preserve">Mark-done / skip; live projected-health ring.</w:t>
            </w:r>
          </w:p>
        </w:tc>
      </w:tr>
      <w:tr>
        <w:tc>
          <w:tcPr>
            <w:tcW w:type="dxa" w:w="2500"/>
            <w:shd w:fill="F4F1EA" w:val="clear"/>
            <w:tcMar>
              <w:top w:type="dxa" w:w="80"/>
              <w:left w:type="dxa" w:w="130"/>
              <w:bottom w:type="dxa" w:w="80"/>
              <w:right w:type="dxa" w:w="130"/>
            </w:tcMar>
            <w:vAlign w:val="center"/>
          </w:tcPr>
          <w:p>
            <w:pPr>
              <w:spacing w:after="40" w:line="264"/>
            </w:pPr>
            <w:r>
              <w:rPr>
                <w:sz w:val="18"/>
                <w:szCs w:val="18"/>
              </w:rPr>
              <w:t xml:space="preserve">Portfolio builder</w:t>
            </w:r>
          </w:p>
        </w:tc>
        <w:tc>
          <w:tcPr>
            <w:tcW w:type="dxa" w:w="1700"/>
            <w:shd w:fill="F4F1EA" w:val="clear"/>
            <w:tcMar>
              <w:top w:type="dxa" w:w="80"/>
              <w:left w:type="dxa" w:w="130"/>
              <w:bottom w:type="dxa" w:w="80"/>
              <w:right w:type="dxa" w:w="130"/>
            </w:tcMar>
            <w:vAlign w:val="center"/>
          </w:tcPr>
          <w:p>
            <w:pPr>
              <w:spacing w:after="40" w:line="264"/>
            </w:pPr>
            <w:r>
              <w:rPr>
                <w:sz w:val="18"/>
                <w:szCs w:val="18"/>
              </w:rPr>
              <w:t xml:space="preserve">§ 9</w:t>
            </w:r>
          </w:p>
        </w:tc>
        <w:tc>
          <w:tcPr>
            <w:tcW w:type="dxa" w:w="5160"/>
            <w:shd w:fill="F4F1EA" w:val="clear"/>
            <w:tcMar>
              <w:top w:type="dxa" w:w="80"/>
              <w:left w:type="dxa" w:w="130"/>
              <w:bottom w:type="dxa" w:w="80"/>
              <w:right w:type="dxa" w:w="130"/>
            </w:tcMar>
            <w:vAlign w:val="center"/>
          </w:tcPr>
          <w:p>
            <w:pPr>
              <w:spacing w:after="40" w:line="264"/>
            </w:pPr>
            <w:r>
              <w:rPr>
                <w:sz w:val="18"/>
                <w:szCs w:val="18"/>
              </w:rPr>
              <w:t xml:space="preserve">Live risk / surplus / horizon sliders; funding check.</w:t>
            </w:r>
          </w:p>
        </w:tc>
      </w:tr>
      <w:tr>
        <w:tc>
          <w:tcPr>
            <w:tcW w:type="dxa" w:w="2500"/>
            <w:shd w:fill="FFFFFF" w:val="clear"/>
            <w:tcMar>
              <w:top w:type="dxa" w:w="80"/>
              <w:left w:type="dxa" w:w="130"/>
              <w:bottom w:type="dxa" w:w="80"/>
              <w:right w:type="dxa" w:w="130"/>
            </w:tcMar>
            <w:vAlign w:val="center"/>
          </w:tcPr>
          <w:p>
            <w:pPr>
              <w:spacing w:after="40" w:line="264"/>
            </w:pPr>
            <w:r>
              <w:rPr>
                <w:sz w:val="18"/>
                <w:szCs w:val="18"/>
              </w:rPr>
              <w:t xml:space="preserve">Instrument allocation</w:t>
            </w:r>
          </w:p>
        </w:tc>
        <w:tc>
          <w:tcPr>
            <w:tcW w:type="dxa" w:w="1700"/>
            <w:shd w:fill="FFFFFF" w:val="clear"/>
            <w:tcMar>
              <w:top w:type="dxa" w:w="80"/>
              <w:left w:type="dxa" w:w="130"/>
              <w:bottom w:type="dxa" w:w="80"/>
              <w:right w:type="dxa" w:w="130"/>
            </w:tcMar>
            <w:vAlign w:val="center"/>
          </w:tcPr>
          <w:p>
            <w:pPr>
              <w:spacing w:after="40" w:line="264"/>
            </w:pPr>
            <w:r>
              <w:rPr>
                <w:sz w:val="18"/>
                <w:szCs w:val="18"/>
              </w:rPr>
              <w:t xml:space="preserve">§ 9</w:t>
            </w:r>
          </w:p>
        </w:tc>
        <w:tc>
          <w:tcPr>
            <w:tcW w:type="dxa" w:w="5160"/>
            <w:shd w:fill="FFFFFF" w:val="clear"/>
            <w:tcMar>
              <w:top w:type="dxa" w:w="80"/>
              <w:left w:type="dxa" w:w="130"/>
              <w:bottom w:type="dxa" w:w="80"/>
              <w:right w:type="dxa" w:w="130"/>
            </w:tcMar>
            <w:vAlign w:val="center"/>
          </w:tcPr>
          <w:p>
            <w:pPr>
              <w:spacing w:after="40" w:line="264"/>
            </w:pPr>
            <w:r>
              <w:rPr>
                <w:sz w:val="18"/>
                <w:szCs w:val="18"/>
              </w:rPr>
              <w:t xml:space="preserve">Per-instrument sliders; caps and balance guardrail.</w:t>
            </w:r>
          </w:p>
        </w:tc>
      </w:tr>
      <w:tr>
        <w:tc>
          <w:tcPr>
            <w:tcW w:type="dxa" w:w="2500"/>
            <w:shd w:fill="F4F1EA" w:val="clear"/>
            <w:tcMar>
              <w:top w:type="dxa" w:w="80"/>
              <w:left w:type="dxa" w:w="130"/>
              <w:bottom w:type="dxa" w:w="80"/>
              <w:right w:type="dxa" w:w="130"/>
            </w:tcMar>
            <w:vAlign w:val="center"/>
          </w:tcPr>
          <w:p>
            <w:pPr>
              <w:spacing w:after="40" w:line="264"/>
            </w:pPr>
            <w:r>
              <w:rPr>
                <w:sz w:val="18"/>
                <w:szCs w:val="18"/>
              </w:rPr>
              <w:t xml:space="preserve">Advisor book</w:t>
            </w:r>
          </w:p>
        </w:tc>
        <w:tc>
          <w:tcPr>
            <w:tcW w:type="dxa" w:w="1700"/>
            <w:shd w:fill="F4F1EA" w:val="clear"/>
            <w:tcMar>
              <w:top w:type="dxa" w:w="80"/>
              <w:left w:type="dxa" w:w="130"/>
              <w:bottom w:type="dxa" w:w="80"/>
              <w:right w:type="dxa" w:w="130"/>
            </w:tcMar>
            <w:vAlign w:val="center"/>
          </w:tcPr>
          <w:p>
            <w:pPr>
              <w:spacing w:after="40" w:line="264"/>
            </w:pPr>
            <w:r>
              <w:rPr>
                <w:sz w:val="18"/>
                <w:szCs w:val="18"/>
              </w:rPr>
              <w:t xml:space="preserve">§ 10</w:t>
            </w:r>
          </w:p>
        </w:tc>
        <w:tc>
          <w:tcPr>
            <w:tcW w:type="dxa" w:w="5160"/>
            <w:shd w:fill="F4F1EA" w:val="clear"/>
            <w:tcMar>
              <w:top w:type="dxa" w:w="80"/>
              <w:left w:type="dxa" w:w="130"/>
              <w:bottom w:type="dxa" w:w="80"/>
              <w:right w:type="dxa" w:w="130"/>
            </w:tcMar>
            <w:vAlign w:val="center"/>
          </w:tcPr>
          <w:p>
            <w:pPr>
              <w:spacing w:after="40" w:line="264"/>
            </w:pPr>
            <w:r>
              <w:rPr>
                <w:sz w:val="18"/>
                <w:szCs w:val="18"/>
              </w:rPr>
              <w:t xml:space="preserve">Band filters and priority sort over a client list.</w:t>
            </w:r>
          </w:p>
        </w:tc>
      </w:tr>
      <w:tr>
        <w:tc>
          <w:tcPr>
            <w:tcW w:type="dxa" w:w="2500"/>
            <w:shd w:fill="FFFFFF" w:val="clear"/>
            <w:tcMar>
              <w:top w:type="dxa" w:w="80"/>
              <w:left w:type="dxa" w:w="130"/>
              <w:bottom w:type="dxa" w:w="80"/>
              <w:right w:type="dxa" w:w="130"/>
            </w:tcMar>
            <w:vAlign w:val="center"/>
          </w:tcPr>
          <w:p>
            <w:pPr>
              <w:spacing w:after="40" w:line="264"/>
            </w:pPr>
            <w:r>
              <w:rPr>
                <w:sz w:val="18"/>
                <w:szCs w:val="18"/>
              </w:rPr>
              <w:t xml:space="preserve">Client 360</w:t>
            </w:r>
          </w:p>
        </w:tc>
        <w:tc>
          <w:tcPr>
            <w:tcW w:type="dxa" w:w="1700"/>
            <w:shd w:fill="FFFFFF" w:val="clear"/>
            <w:tcMar>
              <w:top w:type="dxa" w:w="80"/>
              <w:left w:type="dxa" w:w="130"/>
              <w:bottom w:type="dxa" w:w="80"/>
              <w:right w:type="dxa" w:w="130"/>
            </w:tcMar>
            <w:vAlign w:val="center"/>
          </w:tcPr>
          <w:p>
            <w:pPr>
              <w:spacing w:after="40" w:line="264"/>
            </w:pPr>
            <w:r>
              <w:rPr>
                <w:sz w:val="18"/>
                <w:szCs w:val="18"/>
              </w:rPr>
              <w:t xml:space="preserve">§ 10</w:t>
            </w:r>
          </w:p>
        </w:tc>
        <w:tc>
          <w:tcPr>
            <w:tcW w:type="dxa" w:w="5160"/>
            <w:shd w:fill="FFFFFF" w:val="clear"/>
            <w:tcMar>
              <w:top w:type="dxa" w:w="80"/>
              <w:left w:type="dxa" w:w="130"/>
              <w:bottom w:type="dxa" w:w="80"/>
              <w:right w:type="dxa" w:w="130"/>
            </w:tcMar>
            <w:vAlign w:val="center"/>
          </w:tcPr>
          <w:p>
            <w:pPr>
              <w:spacing w:after="40" w:line="264"/>
            </w:pPr>
            <w:r>
              <w:rPr>
                <w:sz w:val="18"/>
                <w:szCs w:val="18"/>
              </w:rPr>
              <w:t xml:space="preserve">Six domain tiles; the “What needs you” agenda.</w:t>
            </w:r>
          </w:p>
        </w:tc>
      </w:tr>
      <w:tr>
        <w:tc>
          <w:tcPr>
            <w:tcW w:type="dxa" w:w="2500"/>
            <w:shd w:fill="F4F1EA" w:val="clear"/>
            <w:tcMar>
              <w:top w:type="dxa" w:w="80"/>
              <w:left w:type="dxa" w:w="130"/>
              <w:bottom w:type="dxa" w:w="80"/>
              <w:right w:type="dxa" w:w="130"/>
            </w:tcMar>
            <w:vAlign w:val="center"/>
          </w:tcPr>
          <w:p>
            <w:pPr>
              <w:spacing w:after="40" w:line="264"/>
            </w:pPr>
            <w:r>
              <w:rPr>
                <w:sz w:val="18"/>
                <w:szCs w:val="18"/>
              </w:rPr>
              <w:t xml:space="preserve">SIP Board</w:t>
            </w:r>
          </w:p>
        </w:tc>
        <w:tc>
          <w:tcPr>
            <w:tcW w:type="dxa" w:w="1700"/>
            <w:shd w:fill="F4F1EA" w:val="clear"/>
            <w:tcMar>
              <w:top w:type="dxa" w:w="80"/>
              <w:left w:type="dxa" w:w="130"/>
              <w:bottom w:type="dxa" w:w="80"/>
              <w:right w:type="dxa" w:w="130"/>
            </w:tcMar>
            <w:vAlign w:val="center"/>
          </w:tcPr>
          <w:p>
            <w:pPr>
              <w:spacing w:after="40" w:line="264"/>
            </w:pPr>
            <w:r>
              <w:rPr>
                <w:sz w:val="18"/>
                <w:szCs w:val="18"/>
              </w:rPr>
              <w:t xml:space="preserve">§ 10</w:t>
            </w:r>
          </w:p>
        </w:tc>
        <w:tc>
          <w:tcPr>
            <w:tcW w:type="dxa" w:w="5160"/>
            <w:shd w:fill="F4F1EA" w:val="clear"/>
            <w:tcMar>
              <w:top w:type="dxa" w:w="80"/>
              <w:left w:type="dxa" w:w="130"/>
              <w:bottom w:type="dxa" w:w="80"/>
              <w:right w:type="dxa" w:w="130"/>
            </w:tcMar>
            <w:vAlign w:val="center"/>
          </w:tcPr>
          <w:p>
            <w:pPr>
              <w:spacing w:after="40" w:line="264"/>
            </w:pPr>
            <w:r>
              <w:rPr>
                <w:sz w:val="18"/>
                <w:szCs w:val="18"/>
              </w:rPr>
              <w:t xml:space="preserve">Four operational queues with queue-specific actions.</w:t>
            </w:r>
          </w:p>
        </w:tc>
      </w:tr>
    </w:tbl>
    <w:p>
      <w:pPr>
        <w:spacing w:after="80"/>
      </w:pPr>
      <w:r>
        <w:t xml:space="preserve"/>
      </w:r>
    </w:p>
    <w:p>
      <w:pPr>
        <w:pStyle w:val="Heading2"/>
      </w:pPr>
      <w:r>
        <w:t xml:space="preserve">12.2 Suggested walkthrough path</w:t>
      </w:r>
    </w:p>
    <w:p>
      <w:pPr>
        <w:spacing w:after="120" w:line="288"/>
      </w:pPr>
      <w:r>
        <w:t xml:space="preserve">To demonstrate the full product to a stakeholder, follow the client loop then the advisor loop:</w:t>
      </w:r>
    </w:p>
    <w:p>
      <w:pPr>
        <w:pStyle w:val="ListParagraph"/>
        <w:numPr>
          <w:ilvl w:val="0"/>
          <w:numId w:val="4"/>
        </w:numPr>
        <w:spacing w:after="80" w:line="288"/>
      </w:pPr>
      <w:r>
        <w:t xml:space="preserve">Homepage → Login → Onboarding — show the three import paths and pick one.</w:t>
      </w:r>
    </w:p>
    <w:p>
      <w:pPr>
        <w:pStyle w:val="ListParagraph"/>
        <w:numPr>
          <w:ilvl w:val="0"/>
          <w:numId w:val="4"/>
        </w:numPr>
        <w:spacing w:after="80" w:line="288"/>
      </w:pPr>
      <w:r>
        <w:t xml:space="preserve">Chat landing — point out the health score and the ranked insight cards.</w:t>
      </w:r>
    </w:p>
    <w:p>
      <w:pPr>
        <w:pStyle w:val="ListParagraph"/>
        <w:numPr>
          <w:ilvl w:val="0"/>
          <w:numId w:val="4"/>
        </w:numPr>
        <w:spacing w:after="80" w:line="288"/>
      </w:pPr>
      <w:r>
        <w:t xml:space="preserve">Open the Concentration dashboard — switch lenses, accept a matrix row, watch projected health rise.</w:t>
      </w:r>
    </w:p>
    <w:p>
      <w:pPr>
        <w:pStyle w:val="ListParagraph"/>
        <w:numPr>
          <w:ilvl w:val="0"/>
          <w:numId w:val="4"/>
        </w:numPr>
        <w:spacing w:after="80" w:line="288"/>
      </w:pPr>
      <w:r>
        <w:t xml:space="preserve">Plan Board — mark an action done; the projected-health ring climbs toward the target.</w:t>
      </w:r>
    </w:p>
    <w:p>
      <w:pPr>
        <w:pStyle w:val="ListParagraph"/>
        <w:numPr>
          <w:ilvl w:val="0"/>
          <w:numId w:val="4"/>
        </w:numPr>
        <w:spacing w:after="80" w:line="288"/>
      </w:pPr>
      <w:r>
        <w:t xml:space="preserve">Portfolio builder → Instrument allocation — drag the sliders; show the funding check and the caps guardrail.</w:t>
      </w:r>
    </w:p>
    <w:p>
      <w:pPr>
        <w:pStyle w:val="ListParagraph"/>
        <w:numPr>
          <w:ilvl w:val="0"/>
          <w:numId w:val="4"/>
        </w:numPr>
        <w:spacing w:after="80" w:line="288"/>
      </w:pPr>
      <w:r>
        <w:t xml:space="preserve">Advisor book → Client 360 → SIP Board — show the same intelligence scaled to a book.</w:t>
      </w:r>
    </w:p>
    <w:p>
      <w:pPr>
        <w:spacing w:after="80"/>
      </w:pPr>
      <w:r>
        <w:t xml:space="preserve"/>
      </w:r>
    </w:p>
    <w:p>
      <w:pPr>
        <w:spacing w:after="120" w:line="288"/>
      </w:pPr>
      <w:r>
        <w:rPr>
          <w:b/>
          <w:bCs/>
        </w:rPr>
        <w:t xml:space="preserve">Note on the prototype. </w:t>
      </w:r>
      <w:r>
        <w:t xml:space="preserve">nivesh_app.html is a faithful, interactive prototype on representative data. It is not the production application: it does not perform real CAS parsing or broker authentication and is not yet wired to live NIDP data. It is the right artifact for communicating the product vision and letting a stakeholder feel the flow.</w:t>
      </w:r>
    </w:p>
    <w:p>
      <w:r>
        <w:br w:type="page"/>
      </w:r>
    </w:p>
    <w:p>
      <w:pPr>
        <w:pStyle w:val="Heading1"/>
      </w:pPr>
      <w:r>
        <w:t xml:space="preserve">13. Build Phasing &amp; Open Questions</w:t>
      </w:r>
    </w:p>
    <w:p>
      <w:pPr>
        <w:pStyle w:val="Heading2"/>
      </w:pPr>
      <w:r>
        <w:t xml:space="preserve">13.1 Phased delivery</w:t>
      </w:r>
    </w:p>
    <w:tbl>
      <w:tblPr>
        <w:tblW w:type="dxa" w:w="9360"/>
        <w:tblBorders>
          <w:top w:val="single" w:color="CCC6BA" w:sz="1"/>
          <w:left w:val="single" w:color="CCC6BA" w:sz="1"/>
          <w:bottom w:val="single" w:color="CCC6BA" w:sz="1"/>
          <w:right w:val="single" w:color="CCC6BA" w:sz="1"/>
          <w:insideH w:val="single" w:color="CCC6BA" w:sz="1"/>
          <w:insideV w:val="single" w:color="CCC6BA" w:sz="1"/>
        </w:tblBorders>
      </w:tblPr>
      <w:tblGrid>
        <w:gridCol w:w="1200"/>
        <w:gridCol w:w="5100"/>
        <w:gridCol w:w="3060"/>
      </w:tblGrid>
      <w:tr>
        <w:trPr>
          <w:tblHeader/>
        </w:trPr>
        <w:tc>
          <w:tcPr>
            <w:tcW w:type="dxa" w:w="1200"/>
            <w:shd w:fill="2A2620" w:val="clear"/>
            <w:tcMar>
              <w:top w:type="dxa" w:w="90"/>
              <w:left w:type="dxa" w:w="130"/>
              <w:bottom w:type="dxa" w:w="90"/>
              <w:right w:type="dxa" w:w="130"/>
            </w:tcMar>
            <w:vAlign w:val="center"/>
          </w:tcPr>
          <w:p>
            <w:r>
              <w:rPr>
                <w:b/>
                <w:bCs/>
                <w:color w:val="FFFFFF"/>
                <w:sz w:val="19"/>
                <w:szCs w:val="19"/>
              </w:rPr>
              <w:t xml:space="preserve">Phase</w:t>
            </w:r>
          </w:p>
        </w:tc>
        <w:tc>
          <w:tcPr>
            <w:tcW w:type="dxa" w:w="5100"/>
            <w:shd w:fill="2A2620" w:val="clear"/>
            <w:tcMar>
              <w:top w:type="dxa" w:w="90"/>
              <w:left w:type="dxa" w:w="130"/>
              <w:bottom w:type="dxa" w:w="90"/>
              <w:right w:type="dxa" w:w="130"/>
            </w:tcMar>
            <w:vAlign w:val="center"/>
          </w:tcPr>
          <w:p>
            <w:r>
              <w:rPr>
                <w:b/>
                <w:bCs/>
                <w:color w:val="FFFFFF"/>
                <w:sz w:val="19"/>
                <w:szCs w:val="19"/>
              </w:rPr>
              <w:t xml:space="preserve">Scope</w:t>
            </w:r>
          </w:p>
        </w:tc>
        <w:tc>
          <w:tcPr>
            <w:tcW w:type="dxa" w:w="3060"/>
            <w:shd w:fill="2A2620" w:val="clear"/>
            <w:tcMar>
              <w:top w:type="dxa" w:w="90"/>
              <w:left w:type="dxa" w:w="130"/>
              <w:bottom w:type="dxa" w:w="90"/>
              <w:right w:type="dxa" w:w="130"/>
            </w:tcMar>
            <w:vAlign w:val="center"/>
          </w:tcPr>
          <w:p>
            <w:r>
              <w:rPr>
                <w:b/>
                <w:bCs/>
                <w:color w:val="FFFFFF"/>
                <w:sz w:val="19"/>
                <w:szCs w:val="19"/>
              </w:rPr>
              <w:t xml:space="preserve">Depends on</w:t>
            </w:r>
          </w:p>
        </w:tc>
      </w:tr>
      <w:tr>
        <w:tc>
          <w:tcPr>
            <w:tcW w:type="dxa" w:w="1200"/>
            <w:shd w:fill="FFFFFF" w:val="clear"/>
            <w:tcMar>
              <w:top w:type="dxa" w:w="80"/>
              <w:left w:type="dxa" w:w="130"/>
              <w:bottom w:type="dxa" w:w="80"/>
              <w:right w:type="dxa" w:w="130"/>
            </w:tcMar>
            <w:vAlign w:val="center"/>
          </w:tcPr>
          <w:p>
            <w:pPr>
              <w:spacing w:after="40" w:line="264"/>
            </w:pPr>
            <w:r>
              <w:rPr>
                <w:b/>
                <w:bCs/>
              </w:rPr>
              <w:t xml:space="preserve">Phase 1</w:t>
            </w:r>
          </w:p>
        </w:tc>
        <w:tc>
          <w:tcPr>
            <w:tcW w:type="dxa" w:w="5100"/>
            <w:shd w:fill="FFFFFF" w:val="clear"/>
            <w:tcMar>
              <w:top w:type="dxa" w:w="80"/>
              <w:left w:type="dxa" w:w="130"/>
              <w:bottom w:type="dxa" w:w="80"/>
              <w:right w:type="dxa" w:w="130"/>
            </w:tcMar>
            <w:vAlign w:val="center"/>
          </w:tcPr>
          <w:p>
            <w:pPr>
              <w:spacing w:after="40" w:line="264"/>
            </w:pPr>
            <w:r>
              <w:rPr>
                <w:sz w:val="18"/>
                <w:szCs w:val="18"/>
              </w:rPr>
              <w:t xml:space="preserve">Onboarding, CAS import, Wave 1 insights, health score, chat landing.</w:t>
            </w:r>
          </w:p>
        </w:tc>
        <w:tc>
          <w:tcPr>
            <w:tcW w:type="dxa" w:w="3060"/>
            <w:shd w:fill="FFFFFF" w:val="clear"/>
            <w:tcMar>
              <w:top w:type="dxa" w:w="80"/>
              <w:left w:type="dxa" w:w="130"/>
              <w:bottom w:type="dxa" w:w="80"/>
              <w:right w:type="dxa" w:w="130"/>
            </w:tcMar>
            <w:vAlign w:val="center"/>
          </w:tcPr>
          <w:p>
            <w:pPr>
              <w:spacing w:after="40" w:line="264"/>
            </w:pPr>
            <w:r>
              <w:rPr>
                <w:sz w:val="18"/>
                <w:szCs w:val="18"/>
              </w:rPr>
              <w:t xml:space="preserve">NIDP holdings layer; CAS parsing.</w:t>
            </w:r>
          </w:p>
        </w:tc>
      </w:tr>
      <w:tr>
        <w:tc>
          <w:tcPr>
            <w:tcW w:type="dxa" w:w="1200"/>
            <w:shd w:fill="F4F1EA" w:val="clear"/>
            <w:tcMar>
              <w:top w:type="dxa" w:w="80"/>
              <w:left w:type="dxa" w:w="130"/>
              <w:bottom w:type="dxa" w:w="80"/>
              <w:right w:type="dxa" w:w="130"/>
            </w:tcMar>
            <w:vAlign w:val="center"/>
          </w:tcPr>
          <w:p>
            <w:pPr>
              <w:spacing w:after="40" w:line="264"/>
            </w:pPr>
            <w:r>
              <w:rPr>
                <w:b/>
                <w:bCs/>
              </w:rPr>
              <w:t xml:space="preserve">Phase 2</w:t>
            </w:r>
          </w:p>
        </w:tc>
        <w:tc>
          <w:tcPr>
            <w:tcW w:type="dxa" w:w="5100"/>
            <w:shd w:fill="F4F1EA" w:val="clear"/>
            <w:tcMar>
              <w:top w:type="dxa" w:w="80"/>
              <w:left w:type="dxa" w:w="130"/>
              <w:bottom w:type="dxa" w:w="80"/>
              <w:right w:type="dxa" w:w="130"/>
            </w:tcMar>
            <w:vAlign w:val="center"/>
          </w:tcPr>
          <w:p>
            <w:pPr>
              <w:spacing w:after="40" w:line="264"/>
            </w:pPr>
            <w:r>
              <w:rPr>
                <w:sz w:val="18"/>
                <w:szCs w:val="18"/>
              </w:rPr>
              <w:t xml:space="preserve">Wave 2 insights, all six dashboards, action matrices, Plan Board.</w:t>
            </w:r>
          </w:p>
        </w:tc>
        <w:tc>
          <w:tcPr>
            <w:tcW w:type="dxa" w:w="3060"/>
            <w:shd w:fill="F4F1EA" w:val="clear"/>
            <w:tcMar>
              <w:top w:type="dxa" w:w="80"/>
              <w:left w:type="dxa" w:w="130"/>
              <w:bottom w:type="dxa" w:w="80"/>
              <w:right w:type="dxa" w:w="130"/>
            </w:tcMar>
            <w:vAlign w:val="center"/>
          </w:tcPr>
          <w:p>
            <w:pPr>
              <w:spacing w:after="40" w:line="264"/>
            </w:pPr>
            <w:r>
              <w:rPr>
                <w:sz w:val="18"/>
                <w:szCs w:val="18"/>
              </w:rPr>
              <w:t xml:space="preserve">Market-data feed; screening engine.</w:t>
            </w:r>
          </w:p>
        </w:tc>
      </w:tr>
      <w:tr>
        <w:tc>
          <w:tcPr>
            <w:tcW w:type="dxa" w:w="1200"/>
            <w:shd w:fill="FFFFFF" w:val="clear"/>
            <w:tcMar>
              <w:top w:type="dxa" w:w="80"/>
              <w:left w:type="dxa" w:w="130"/>
              <w:bottom w:type="dxa" w:w="80"/>
              <w:right w:type="dxa" w:w="130"/>
            </w:tcMar>
            <w:vAlign w:val="center"/>
          </w:tcPr>
          <w:p>
            <w:pPr>
              <w:spacing w:after="40" w:line="264"/>
            </w:pPr>
            <w:r>
              <w:rPr>
                <w:b/>
                <w:bCs/>
              </w:rPr>
              <w:t xml:space="preserve">Phase 3</w:t>
            </w:r>
          </w:p>
        </w:tc>
        <w:tc>
          <w:tcPr>
            <w:tcW w:type="dxa" w:w="5100"/>
            <w:shd w:fill="FFFFFF" w:val="clear"/>
            <w:tcMar>
              <w:top w:type="dxa" w:w="80"/>
              <w:left w:type="dxa" w:w="130"/>
              <w:bottom w:type="dxa" w:w="80"/>
              <w:right w:type="dxa" w:w="130"/>
            </w:tcMar>
            <w:vAlign w:val="center"/>
          </w:tcPr>
          <w:p>
            <w:pPr>
              <w:spacing w:after="40" w:line="264"/>
            </w:pPr>
            <w:r>
              <w:rPr>
                <w:sz w:val="18"/>
                <w:szCs w:val="18"/>
              </w:rPr>
              <w:t xml:space="preserve">Wave 3 insights, portfolio builder, instrument sizing, SIP planner.</w:t>
            </w:r>
          </w:p>
        </w:tc>
        <w:tc>
          <w:tcPr>
            <w:tcW w:type="dxa" w:w="3060"/>
            <w:shd w:fill="FFFFFF" w:val="clear"/>
            <w:tcMar>
              <w:top w:type="dxa" w:w="80"/>
              <w:left w:type="dxa" w:w="130"/>
              <w:bottom w:type="dxa" w:w="80"/>
              <w:right w:type="dxa" w:w="130"/>
            </w:tcMar>
            <w:vAlign w:val="center"/>
          </w:tcPr>
          <w:p>
            <w:pPr>
              <w:spacing w:after="40" w:line="264"/>
            </w:pPr>
            <w:r>
              <w:rPr>
                <w:sz w:val="18"/>
                <w:szCs w:val="18"/>
              </w:rPr>
              <w:t xml:space="preserve">Risk-profile questionnaire; user-input capture.</w:t>
            </w:r>
          </w:p>
        </w:tc>
      </w:tr>
      <w:tr>
        <w:tc>
          <w:tcPr>
            <w:tcW w:type="dxa" w:w="1200"/>
            <w:shd w:fill="F4F1EA" w:val="clear"/>
            <w:tcMar>
              <w:top w:type="dxa" w:w="80"/>
              <w:left w:type="dxa" w:w="130"/>
              <w:bottom w:type="dxa" w:w="80"/>
              <w:right w:type="dxa" w:w="130"/>
            </w:tcMar>
            <w:vAlign w:val="center"/>
          </w:tcPr>
          <w:p>
            <w:pPr>
              <w:spacing w:after="40" w:line="264"/>
            </w:pPr>
            <w:r>
              <w:rPr>
                <w:b/>
                <w:bCs/>
              </w:rPr>
              <w:t xml:space="preserve">Phase 4</w:t>
            </w:r>
          </w:p>
        </w:tc>
        <w:tc>
          <w:tcPr>
            <w:tcW w:type="dxa" w:w="5100"/>
            <w:shd w:fill="F4F1EA" w:val="clear"/>
            <w:tcMar>
              <w:top w:type="dxa" w:w="80"/>
              <w:left w:type="dxa" w:w="130"/>
              <w:bottom w:type="dxa" w:w="80"/>
              <w:right w:type="dxa" w:w="130"/>
            </w:tcMar>
            <w:vAlign w:val="center"/>
          </w:tcPr>
          <w:p>
            <w:pPr>
              <w:spacing w:after="40" w:line="264"/>
            </w:pPr>
            <w:r>
              <w:rPr>
                <w:sz w:val="18"/>
                <w:szCs w:val="18"/>
              </w:rPr>
              <w:t xml:space="preserve">Advisor book, Client 360, SIP Board.</w:t>
            </w:r>
          </w:p>
        </w:tc>
        <w:tc>
          <w:tcPr>
            <w:tcW w:type="dxa" w:w="3060"/>
            <w:shd w:fill="F4F1EA" w:val="clear"/>
            <w:tcMar>
              <w:top w:type="dxa" w:w="80"/>
              <w:left w:type="dxa" w:w="130"/>
              <w:bottom w:type="dxa" w:w="80"/>
              <w:right w:type="dxa" w:w="130"/>
            </w:tcMar>
            <w:vAlign w:val="center"/>
          </w:tcPr>
          <w:p>
            <w:pPr>
              <w:spacing w:after="40" w:line="264"/>
            </w:pPr>
            <w:r>
              <w:rPr>
                <w:sz w:val="18"/>
                <w:szCs w:val="18"/>
              </w:rPr>
              <w:t xml:space="preserve">Advisor data model; SIP operations feed.</w:t>
            </w:r>
          </w:p>
        </w:tc>
      </w:tr>
    </w:tbl>
    <w:p>
      <w:pPr>
        <w:spacing w:after="80"/>
      </w:pPr>
      <w:r>
        <w:t xml:space="preserve"/>
      </w:r>
    </w:p>
    <w:p>
      <w:pPr>
        <w:pStyle w:val="Heading2"/>
      </w:pPr>
      <w:r>
        <w:t xml:space="preserve">13.2 Open questions</w:t>
      </w:r>
    </w:p>
    <w:p>
      <w:pPr>
        <w:spacing w:after="120" w:line="288"/>
      </w:pPr>
      <w:r>
        <w:t xml:space="preserve">Four questions surfaced during design remain for product, compliance, and engineering to resolve:</w:t>
      </w:r>
    </w:p>
    <w:p>
      <w:pPr>
        <w:pStyle w:val="ListParagraph"/>
        <w:numPr>
          <w:ilvl w:val="0"/>
          <w:numId w:val="2"/>
        </w:numPr>
        <w:spacing w:after="80" w:line="288"/>
      </w:pPr>
      <w:r>
        <w:rPr>
          <w:b/>
          <w:bCs/>
        </w:rPr>
        <w:t xml:space="preserve">Research Analyst registration. </w:t>
      </w:r>
      <w:r>
        <w:t xml:space="preserve">Stock-level recommendations may require SEBI RA registration, a higher bar than RIA. Compliance review needed before stock recommendations ship.</w:t>
      </w:r>
    </w:p>
    <w:p>
      <w:pPr>
        <w:pStyle w:val="ListParagraph"/>
        <w:numPr>
          <w:ilvl w:val="0"/>
          <w:numId w:val="2"/>
        </w:numPr>
        <w:spacing w:after="80" w:line="288"/>
      </w:pPr>
      <w:r>
        <w:rPr>
          <w:b/>
          <w:bCs/>
        </w:rPr>
        <w:t xml:space="preserve">Advisor tier structure. </w:t>
      </w:r>
      <w:r>
        <w:t xml:space="preserve">Whether a senior/branch roll-up is in scope. This changes the data model to client → RM → branch.</w:t>
      </w:r>
    </w:p>
    <w:p>
      <w:pPr>
        <w:pStyle w:val="ListParagraph"/>
        <w:numPr>
          <w:ilvl w:val="0"/>
          <w:numId w:val="2"/>
        </w:numPr>
        <w:spacing w:after="80" w:line="288"/>
      </w:pPr>
      <w:r>
        <w:rPr>
          <w:b/>
          <w:bCs/>
        </w:rPr>
        <w:t xml:space="preserve">SIP retry mechanics. </w:t>
      </w:r>
      <w:r>
        <w:t xml:space="preserve">Whether a failed SIP is advisor-retriggerable or notify-only depends on the BSE Star / MFU integration capability.</w:t>
      </w:r>
    </w:p>
    <w:p>
      <w:pPr>
        <w:pStyle w:val="ListParagraph"/>
        <w:numPr>
          <w:ilvl w:val="0"/>
          <w:numId w:val="2"/>
        </w:numPr>
        <w:spacing w:after="80" w:line="288"/>
      </w:pPr>
      <w:r>
        <w:rPr>
          <w:b/>
          <w:bCs/>
        </w:rPr>
        <w:t xml:space="preserve">Return assumptions. </w:t>
      </w:r>
      <w:r>
        <w:t xml:space="preserve">Expected-return figures per risk band should be advisor- and compliance-configurable, not hardcoded constants.</w:t>
      </w:r>
    </w:p>
    <w:p>
      <w:pPr>
        <w:spacing w:after="80"/>
      </w:pPr>
      <w:r>
        <w:t xml:space="preserve"/>
      </w:r>
    </w:p>
    <w:p>
      <w:pPr>
        <w:pStyle w:val="Heading2"/>
      </w:pPr>
      <w:r>
        <w:t xml:space="preserve">13.3 Success metrics</w:t>
      </w:r>
    </w:p>
    <w:tbl>
      <w:tblPr>
        <w:tblW w:type="dxa" w:w="9360"/>
        <w:tblBorders>
          <w:top w:val="single" w:color="CCC6BA" w:sz="1"/>
          <w:left w:val="single" w:color="CCC6BA" w:sz="1"/>
          <w:bottom w:val="single" w:color="CCC6BA" w:sz="1"/>
          <w:right w:val="single" w:color="CCC6BA" w:sz="1"/>
          <w:insideH w:val="single" w:color="CCC6BA" w:sz="1"/>
          <w:insideV w:val="single" w:color="CCC6BA" w:sz="1"/>
        </w:tblBorders>
      </w:tblPr>
      <w:tblGrid>
        <w:gridCol w:w="2400"/>
        <w:gridCol w:w="4400"/>
        <w:gridCol w:w="2560"/>
      </w:tblGrid>
      <w:tr>
        <w:trPr>
          <w:tblHeader/>
        </w:trPr>
        <w:tc>
          <w:tcPr>
            <w:tcW w:type="dxa" w:w="2400"/>
            <w:shd w:fill="2A2620" w:val="clear"/>
            <w:tcMar>
              <w:top w:type="dxa" w:w="90"/>
              <w:left w:type="dxa" w:w="130"/>
              <w:bottom w:type="dxa" w:w="90"/>
              <w:right w:type="dxa" w:w="130"/>
            </w:tcMar>
            <w:vAlign w:val="center"/>
          </w:tcPr>
          <w:p>
            <w:r>
              <w:rPr>
                <w:b/>
                <w:bCs/>
                <w:color w:val="FFFFFF"/>
                <w:sz w:val="19"/>
                <w:szCs w:val="19"/>
              </w:rPr>
              <w:t xml:space="preserve">Metric</w:t>
            </w:r>
          </w:p>
        </w:tc>
        <w:tc>
          <w:tcPr>
            <w:tcW w:type="dxa" w:w="4400"/>
            <w:shd w:fill="2A2620" w:val="clear"/>
            <w:tcMar>
              <w:top w:type="dxa" w:w="90"/>
              <w:left w:type="dxa" w:w="130"/>
              <w:bottom w:type="dxa" w:w="90"/>
              <w:right w:type="dxa" w:w="130"/>
            </w:tcMar>
            <w:vAlign w:val="center"/>
          </w:tcPr>
          <w:p>
            <w:r>
              <w:rPr>
                <w:b/>
                <w:bCs/>
                <w:color w:val="FFFFFF"/>
                <w:sz w:val="19"/>
                <w:szCs w:val="19"/>
              </w:rPr>
              <w:t xml:space="preserve">Definition</w:t>
            </w:r>
          </w:p>
        </w:tc>
        <w:tc>
          <w:tcPr>
            <w:tcW w:type="dxa" w:w="2560"/>
            <w:shd w:fill="2A2620" w:val="clear"/>
            <w:tcMar>
              <w:top w:type="dxa" w:w="90"/>
              <w:left w:type="dxa" w:w="130"/>
              <w:bottom w:type="dxa" w:w="90"/>
              <w:right w:type="dxa" w:w="130"/>
            </w:tcMar>
            <w:vAlign w:val="center"/>
          </w:tcPr>
          <w:p>
            <w:r>
              <w:rPr>
                <w:b/>
                <w:bCs/>
                <w:color w:val="FFFFFF"/>
                <w:sz w:val="19"/>
                <w:szCs w:val="19"/>
              </w:rPr>
              <w:t xml:space="preserve">Target</w:t>
            </w:r>
          </w:p>
        </w:tc>
      </w:tr>
      <w:tr>
        <w:tc>
          <w:tcPr>
            <w:tcW w:type="dxa" w:w="2400"/>
            <w:shd w:fill="FFFFFF" w:val="clear"/>
            <w:tcMar>
              <w:top w:type="dxa" w:w="80"/>
              <w:left w:type="dxa" w:w="130"/>
              <w:bottom w:type="dxa" w:w="80"/>
              <w:right w:type="dxa" w:w="130"/>
            </w:tcMar>
            <w:vAlign w:val="center"/>
          </w:tcPr>
          <w:p>
            <w:pPr>
              <w:spacing w:after="40" w:line="264"/>
            </w:pPr>
            <w:r>
              <w:rPr>
                <w:sz w:val="18"/>
                <w:szCs w:val="18"/>
              </w:rPr>
              <w:t xml:space="preserve">Time to first score</w:t>
            </w:r>
          </w:p>
        </w:tc>
        <w:tc>
          <w:tcPr>
            <w:tcW w:type="dxa" w:w="4400"/>
            <w:shd w:fill="FFFFFF" w:val="clear"/>
            <w:tcMar>
              <w:top w:type="dxa" w:w="80"/>
              <w:left w:type="dxa" w:w="130"/>
              <w:bottom w:type="dxa" w:w="80"/>
              <w:right w:type="dxa" w:w="130"/>
            </w:tcMar>
            <w:vAlign w:val="center"/>
          </w:tcPr>
          <w:p>
            <w:pPr>
              <w:spacing w:after="40" w:line="264"/>
            </w:pPr>
            <w:r>
              <w:rPr>
                <w:sz w:val="18"/>
                <w:szCs w:val="18"/>
              </w:rPr>
              <w:t xml:space="preserve">Onboarding start to health score shown</w:t>
            </w:r>
          </w:p>
        </w:tc>
        <w:tc>
          <w:tcPr>
            <w:tcW w:type="dxa" w:w="2560"/>
            <w:shd w:fill="FFFFFF" w:val="clear"/>
            <w:tcMar>
              <w:top w:type="dxa" w:w="80"/>
              <w:left w:type="dxa" w:w="130"/>
              <w:bottom w:type="dxa" w:w="80"/>
              <w:right w:type="dxa" w:w="130"/>
            </w:tcMar>
            <w:vAlign w:val="center"/>
          </w:tcPr>
          <w:p>
            <w:pPr>
              <w:spacing w:after="40" w:line="264"/>
            </w:pPr>
            <w:r>
              <w:rPr>
                <w:sz w:val="18"/>
                <w:szCs w:val="18"/>
              </w:rPr>
              <w:t xml:space="preserve">Under 60 seconds</w:t>
            </w:r>
          </w:p>
        </w:tc>
      </w:tr>
      <w:tr>
        <w:tc>
          <w:tcPr>
            <w:tcW w:type="dxa" w:w="2400"/>
            <w:shd w:fill="F4F1EA" w:val="clear"/>
            <w:tcMar>
              <w:top w:type="dxa" w:w="80"/>
              <w:left w:type="dxa" w:w="130"/>
              <w:bottom w:type="dxa" w:w="80"/>
              <w:right w:type="dxa" w:w="130"/>
            </w:tcMar>
            <w:vAlign w:val="center"/>
          </w:tcPr>
          <w:p>
            <w:pPr>
              <w:spacing w:after="40" w:line="264"/>
            </w:pPr>
            <w:r>
              <w:rPr>
                <w:sz w:val="18"/>
                <w:szCs w:val="18"/>
              </w:rPr>
              <w:t xml:space="preserve">Insight comprehension</w:t>
            </w:r>
          </w:p>
        </w:tc>
        <w:tc>
          <w:tcPr>
            <w:tcW w:type="dxa" w:w="4400"/>
            <w:shd w:fill="F4F1EA" w:val="clear"/>
            <w:tcMar>
              <w:top w:type="dxa" w:w="80"/>
              <w:left w:type="dxa" w:w="130"/>
              <w:bottom w:type="dxa" w:w="80"/>
              <w:right w:type="dxa" w:w="130"/>
            </w:tcMar>
            <w:vAlign w:val="center"/>
          </w:tcPr>
          <w:p>
            <w:pPr>
              <w:spacing w:after="40" w:line="264"/>
            </w:pPr>
            <w:r>
              <w:rPr>
                <w:sz w:val="18"/>
                <w:szCs w:val="18"/>
              </w:rPr>
              <w:t xml:space="preserve">Users who say the score was clear</w:t>
            </w:r>
          </w:p>
        </w:tc>
        <w:tc>
          <w:tcPr>
            <w:tcW w:type="dxa" w:w="2560"/>
            <w:shd w:fill="F4F1EA" w:val="clear"/>
            <w:tcMar>
              <w:top w:type="dxa" w:w="80"/>
              <w:left w:type="dxa" w:w="130"/>
              <w:bottom w:type="dxa" w:w="80"/>
              <w:right w:type="dxa" w:w="130"/>
            </w:tcMar>
            <w:vAlign w:val="center"/>
          </w:tcPr>
          <w:p>
            <w:pPr>
              <w:spacing w:after="40" w:line="264"/>
            </w:pPr>
            <w:r>
              <w:rPr>
                <w:sz w:val="18"/>
                <w:szCs w:val="18"/>
              </w:rPr>
              <w:t xml:space="preserve">Over 85%</w:t>
            </w:r>
          </w:p>
        </w:tc>
      </w:tr>
      <w:tr>
        <w:tc>
          <w:tcPr>
            <w:tcW w:type="dxa" w:w="2400"/>
            <w:shd w:fill="FFFFFF" w:val="clear"/>
            <w:tcMar>
              <w:top w:type="dxa" w:w="80"/>
              <w:left w:type="dxa" w:w="130"/>
              <w:bottom w:type="dxa" w:w="80"/>
              <w:right w:type="dxa" w:w="130"/>
            </w:tcMar>
            <w:vAlign w:val="center"/>
          </w:tcPr>
          <w:p>
            <w:pPr>
              <w:spacing w:after="40" w:line="264"/>
            </w:pPr>
            <w:r>
              <w:rPr>
                <w:sz w:val="18"/>
                <w:szCs w:val="18"/>
              </w:rPr>
              <w:t xml:space="preserve">Action acceptance</w:t>
            </w:r>
          </w:p>
        </w:tc>
        <w:tc>
          <w:tcPr>
            <w:tcW w:type="dxa" w:w="4400"/>
            <w:shd w:fill="FFFFFF" w:val="clear"/>
            <w:tcMar>
              <w:top w:type="dxa" w:w="80"/>
              <w:left w:type="dxa" w:w="130"/>
              <w:bottom w:type="dxa" w:w="80"/>
              <w:right w:type="dxa" w:w="130"/>
            </w:tcMar>
            <w:vAlign w:val="center"/>
          </w:tcPr>
          <w:p>
            <w:pPr>
              <w:spacing w:after="40" w:line="264"/>
            </w:pPr>
            <w:r>
              <w:rPr>
                <w:sz w:val="18"/>
                <w:szCs w:val="18"/>
              </w:rPr>
              <w:t xml:space="preserve">Users accepting ≥ 1 recommendation</w:t>
            </w:r>
          </w:p>
        </w:tc>
        <w:tc>
          <w:tcPr>
            <w:tcW w:type="dxa" w:w="2560"/>
            <w:shd w:fill="FFFFFF" w:val="clear"/>
            <w:tcMar>
              <w:top w:type="dxa" w:w="80"/>
              <w:left w:type="dxa" w:w="130"/>
              <w:bottom w:type="dxa" w:w="80"/>
              <w:right w:type="dxa" w:w="130"/>
            </w:tcMar>
            <w:vAlign w:val="center"/>
          </w:tcPr>
          <w:p>
            <w:pPr>
              <w:spacing w:after="40" w:line="264"/>
            </w:pPr>
            <w:r>
              <w:rPr>
                <w:sz w:val="18"/>
                <w:szCs w:val="18"/>
              </w:rPr>
              <w:t xml:space="preserve">Over 40%</w:t>
            </w:r>
          </w:p>
        </w:tc>
      </w:tr>
      <w:tr>
        <w:tc>
          <w:tcPr>
            <w:tcW w:type="dxa" w:w="2400"/>
            <w:shd w:fill="F4F1EA" w:val="clear"/>
            <w:tcMar>
              <w:top w:type="dxa" w:w="80"/>
              <w:left w:type="dxa" w:w="130"/>
              <w:bottom w:type="dxa" w:w="80"/>
              <w:right w:type="dxa" w:w="130"/>
            </w:tcMar>
            <w:vAlign w:val="center"/>
          </w:tcPr>
          <w:p>
            <w:pPr>
              <w:spacing w:after="40" w:line="264"/>
            </w:pPr>
            <w:r>
              <w:rPr>
                <w:sz w:val="18"/>
                <w:szCs w:val="18"/>
              </w:rPr>
              <w:t xml:space="preserve">Advisor coverage</w:t>
            </w:r>
          </w:p>
        </w:tc>
        <w:tc>
          <w:tcPr>
            <w:tcW w:type="dxa" w:w="4400"/>
            <w:shd w:fill="F4F1EA" w:val="clear"/>
            <w:tcMar>
              <w:top w:type="dxa" w:w="80"/>
              <w:left w:type="dxa" w:w="130"/>
              <w:bottom w:type="dxa" w:w="80"/>
              <w:right w:type="dxa" w:w="130"/>
            </w:tcMar>
            <w:vAlign w:val="center"/>
          </w:tcPr>
          <w:p>
            <w:pPr>
              <w:spacing w:after="40" w:line="264"/>
            </w:pPr>
            <w:r>
              <w:rPr>
                <w:sz w:val="18"/>
                <w:szCs w:val="18"/>
              </w:rPr>
              <w:t xml:space="preserve">At-risk clients reviewed within SLA</w:t>
            </w:r>
          </w:p>
        </w:tc>
        <w:tc>
          <w:tcPr>
            <w:tcW w:type="dxa" w:w="2560"/>
            <w:shd w:fill="F4F1EA" w:val="clear"/>
            <w:tcMar>
              <w:top w:type="dxa" w:w="80"/>
              <w:left w:type="dxa" w:w="130"/>
              <w:bottom w:type="dxa" w:w="80"/>
              <w:right w:type="dxa" w:w="130"/>
            </w:tcMar>
            <w:vAlign w:val="center"/>
          </w:tcPr>
          <w:p>
            <w:pPr>
              <w:spacing w:after="40" w:line="264"/>
            </w:pPr>
            <w:r>
              <w:rPr>
                <w:sz w:val="18"/>
                <w:szCs w:val="18"/>
              </w:rPr>
              <w:t xml:space="preserve">Over 90%</w:t>
            </w:r>
          </w:p>
        </w:tc>
      </w:tr>
    </w:tbl>
    <w:p>
      <w:pPr>
        <w:spacing w:after="200"/>
      </w:pPr>
      <w:r>
        <w:t xml:space="preserve"/>
      </w:r>
    </w:p>
    <w:p>
      <w:pPr>
        <w:spacing w:before="300"/>
        <w:jc w:val="center"/>
      </w:pPr>
      <w:r>
        <w:rPr>
          <w:color w:val="6B6358"/>
          <w:sz w:val="19"/>
          <w:szCs w:val="19"/>
        </w:rPr>
        <w:t xml:space="preserve">—  End of Product Requirements Document  —</w:t>
      </w:r>
    </w:p>
    <w:p>
      <w:pPr>
        <w:spacing w:before="60"/>
        <w:jc w:val="center"/>
      </w:pPr>
      <w:r>
        <w:rPr>
          <w:color w:val="6B6358"/>
          <w:sz w:val="17"/>
          <w:szCs w:val="17"/>
        </w:rPr>
        <w:t xml:space="preserve">Nivesh · AI Copilot for Wealth · v1.0 · Confidential</w:t>
      </w:r>
    </w:p>
    <w:sectPr>
      <w:headerReference w:type="default" r:id="rId7"/>
      <w:footerReference w:type="default" r:id="rId8"/>
      <w:pgSz w:w="12240" w:h="15840" w:orient="portrait"/>
      <w:pgMar w:top="1180" w:right="1440" w:bottom="11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6358"/>
        <w:sz w:val="16"/>
        <w:szCs w:val="16"/>
      </w:rPr>
      <w:t xml:space="preserve">Page </w:t>
    </w:r>
    <w:r>
      <w:rPr>
        <w:color w:val="6B635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D8C8" w:sz="4" w:space="4"/>
      </w:pBdr>
      <w:tabs>
        <w:tab w:val="right" w:pos="9360"/>
      </w:tabs>
      <w:spacing w:after="60"/>
    </w:pPr>
    <w:r>
      <w:rPr>
        <w:b/>
        <w:bCs/>
        <w:color w:val="C25E1E"/>
        <w:sz w:val="16"/>
        <w:szCs w:val="16"/>
      </w:rPr>
      <w:t xml:space="preserve">NIVESH</w:t>
    </w:r>
    <w:r>
      <w:rPr>
        <w:color w:val="6B6358"/>
        <w:sz w:val="16"/>
        <w:szCs w:val="16"/>
      </w:rPr>
      <w:t xml:space="preserve">  Product Requirements Document</w:t>
    </w:r>
    <w:r>
      <w:rPr>
        <w:color w:val="6B6358"/>
        <w:sz w:val="16"/>
        <w:szCs w:val="16"/>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80"/>
      </w:pPr>
      <w:rPr>
        <w:color w:val="C25E1E"/>
      </w:rPr>
    </w:lvl>
  </w:abstractNum>
  <w:abstractNum w:abstractNumId="3" w15:restartNumberingAfterBreak="0">
    <w:multiLevelType w:val="hybridMultilevel"/>
    <w:lvl w:ilvl="0" w15:tentative="1">
      <w:start w:val="1"/>
      <w:numFmt w:val="decimal"/>
      <w:lvlText w:val="%1."/>
      <w:lvlJc w:val="left"/>
      <w:pPr>
        <w:ind w:left="460" w:hanging="320"/>
      </w:pPr>
    </w:lvl>
  </w:abstractNum>
  <w:abstractNum w:abstractNumId="4" w15:restartNumberingAfterBreak="0">
    <w:multiLevelType w:val="hybridMultilevel"/>
    <w:lvl w:ilvl="0" w15:tentative="1">
      <w:start w:val="1"/>
      <w:numFmt w:val="decimal"/>
      <w:lvlText w:val="%1."/>
      <w:lvlJc w:val="left"/>
      <w:pPr>
        <w:ind w:left="4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7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0D8C8" w:sz="8" w:space="6"/>
      </w:pBdr>
      <w:spacing w:after="200" w:before="320"/>
      <w:outlineLvl w:val="0"/>
    </w:pPr>
    <w:rPr>
      <w:rFonts w:ascii="Calibri" w:cs="Calibri" w:eastAsia="Calibri" w:hAnsi="Calibri"/>
      <w:b/>
      <w:bCs/>
      <w:color w:val="C25E1E"/>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A1714"/>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47403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Nivesh — Product Requirements Document</dc:title>
  <dc:creator>Nivesh Product Team</dc:creator>
  <cp:lastModifiedBy>Un-named</cp:lastModifiedBy>
  <cp:revision>1</cp:revision>
  <dcterms:created xsi:type="dcterms:W3CDTF">2026-05-23T03:24:02.001Z</dcterms:created>
  <dcterms:modified xsi:type="dcterms:W3CDTF">2026-05-23T03:24:02.002Z</dcterms:modified>
</cp:coreProperties>
</file>

<file path=docProps/custom.xml><?xml version="1.0" encoding="utf-8"?>
<Properties xmlns="http://schemas.openxmlformats.org/officeDocument/2006/custom-properties" xmlns:vt="http://schemas.openxmlformats.org/officeDocument/2006/docPropsVTypes"/>
</file>