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0F3460"/>
          <w:sz w:val="72"/>
          <w:szCs w:val="72"/>
        </w:rPr>
        <w:t xml:space="preserve">NIVESH</w:t>
      </w:r>
    </w:p>
    <w:p>
      <w:pPr>
        <w:spacing w:after="80"/>
      </w:pPr>
      <w:r>
        <w:rPr>
          <w:rFonts w:ascii="Arial" w:cs="Arial" w:eastAsia="Arial" w:hAnsi="Arial"/>
          <w:color w:val="16213E"/>
          <w:sz w:val="36"/>
          <w:szCs w:val="36"/>
        </w:rPr>
        <w:t xml:space="preserve">AI Wealth Intelligence Platform</w:t>
      </w:r>
    </w:p>
    <w:p>
      <w:pPr>
        <w:pBdr>
          <w:bottom w:val="single" w:color="1B5299" w:sz="12" w:space="4"/>
        </w:pBdr>
        <w:spacing w:after="400" w:before="120"/>
      </w:pPr>
      <w:r>
        <w:rPr>
          <w:rFonts w:ascii="Arial" w:cs="Arial" w:eastAsia="Arial" w:hAnsi="Arial"/>
        </w:rPr>
        <w:t xml:space="preserve"/>
      </w:r>
    </w:p>
    <w:p>
      <w:pPr>
        <w:spacing w:after="60"/>
      </w:pPr>
      <w:r>
        <w:rPr>
          <w:rFonts w:ascii="Arial" w:cs="Arial" w:eastAsia="Arial" w:hAnsi="Arial"/>
          <w:b/>
          <w:bCs/>
          <w:color w:val="1A1A2E"/>
          <w:sz w:val="40"/>
          <w:szCs w:val="40"/>
        </w:rPr>
        <w:t xml:space="preserve">Product Requirements Document</w:t>
      </w:r>
    </w:p>
    <w:p>
      <w:pPr>
        <w:spacing w:after="600"/>
      </w:pPr>
      <w:r>
        <w:rPr>
          <w:rFonts w:ascii="Arial" w:cs="Arial" w:eastAsia="Arial" w:hAnsi="Arial"/>
          <w:i/>
          <w:iCs/>
          <w:color w:val="5B6473"/>
          <w:sz w:val="24"/>
          <w:szCs w:val="24"/>
        </w:rPr>
        <w:t xml:space="preserve">Production-Grade Specification for Portfolio Intelligence &amp; Recommendation Systems</w:t>
      </w:r>
    </w:p>
    <w:p>
      <w:pPr>
        <w:spacing w:after="0" w:before="1200"/>
      </w:pPr>
      <w:r>
        <w:rPr>
          <w:rFonts w:ascii="Arial" w:cs="Arial" w:eastAsia="Arial" w:hAnsi="Arial"/>
          <w:color w:val="5B6473"/>
          <w:sz w:val="20"/>
          <w:szCs w:val="20"/>
        </w:rPr>
        <w:t xml:space="preserve">Version 2.0  ·  Confidential  ·  Internal Distribution Only</w:t>
      </w:r>
    </w:p>
    <w:p>
      <w:pPr>
        <w:spacing w:after="0"/>
      </w:pPr>
      <w:r>
        <w:rPr>
          <w:rFonts w:ascii="Arial" w:cs="Arial" w:eastAsia="Arial" w:hAnsi="Arial"/>
          <w:color w:val="5B6473"/>
          <w:sz w:val="20"/>
          <w:szCs w:val="20"/>
        </w:rPr>
        <w:t xml:space="preserve">Document Owner: Product Management  ·  Status: Approved for Engineering Planning</w:t>
      </w:r>
    </w:p>
    <w:p>
      <w:r>
        <w:br w:type="page"/>
      </w:r>
    </w:p>
    <w:p>
      <w:pPr>
        <w:pStyle w:val="Heading1"/>
      </w:pPr>
      <w:r>
        <w:rPr>
          <w:rFonts w:ascii="Arial" w:cs="Arial" w:eastAsia="Arial" w:hAnsi="Arial"/>
          <w:b/>
          <w:bCs/>
        </w:rPr>
        <w:t xml:space="preserve">Document Control</w:t>
      </w:r>
    </w:p>
    <w:p>
      <w:pPr>
        <w:spacing w:after="120" w:line="276"/>
      </w:pPr>
      <w:r>
        <w:rPr>
          <w:rFonts w:ascii="Arial" w:cs="Arial" w:eastAsia="Arial" w:hAnsi="Arial"/>
          <w:b/>
          <w:bCs/>
        </w:rPr>
        <w:t xml:space="preserve">Purpose. </w:t>
      </w:r>
      <w:r>
        <w:rPr>
          <w:rFonts w:ascii="Arial" w:cs="Arial" w:eastAsia="Arial" w:hAnsi="Arial"/>
        </w:rPr>
        <w:t xml:space="preserve">This Product Requirements Document (PRD) defines the product scope, functional and non-functional requirements, system architecture, engine rule book, data contracts, and delivery plan for the Nivesh AI Wealth Intelligence Platform. It is the single source of truth for engineering, design, data science, compliance, and quality assurance teams building the platform.</w:t>
      </w:r>
    </w:p>
    <w:p>
      <w:pPr>
        <w:pStyle w:val="Heading3"/>
      </w:pPr>
      <w:r>
        <w:rPr>
          <w:rFonts w:ascii="Arial" w:cs="Arial" w:eastAsia="Arial" w:hAnsi="Arial"/>
          <w:b/>
          <w:bCs/>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5360"/>
      </w:tblGrid>
      <w:tr>
        <w:trPr>
          <w:tblHeader/>
        </w:trPr>
        <w:tc>
          <w:tcPr>
            <w:tcW w:type="dxa" w:w="1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Version</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Date</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Author</w:t>
            </w:r>
          </w:p>
        </w:tc>
        <w:tc>
          <w:tcPr>
            <w:tcW w:type="dxa" w:w="5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Summary of Changes</w:t>
            </w:r>
          </w:p>
        </w:tc>
      </w:tr>
      <w:tr>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Initial</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Product</w:t>
            </w:r>
          </w:p>
        </w:tc>
        <w:tc>
          <w:tcPr>
            <w:tcW w:type="dxa" w:w="5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First draft. Engine rule book, high-level architecture, and current capability inventory.</w:t>
            </w:r>
          </w:p>
        </w:tc>
      </w:tr>
      <w:tr>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Current</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Product</w:t>
            </w:r>
          </w:p>
        </w:tc>
        <w:tc>
          <w:tcPr>
            <w:tcW w:type="dxa" w:w="5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Production-grade extension. Added personas, prioritised requirements, success metrics, non-functional requirements, API contracts, data governance, security, compliance, testing strategy, observability, rollout plan, risk register, and glossary. Clarified all engine formulas and corrected ambiguous logic.</w:t>
            </w:r>
          </w:p>
        </w:tc>
      </w:tr>
    </w:tbl>
    <w:p>
      <w:pPr>
        <w:spacing w:after="80"/>
      </w:pPr>
      <w:r>
        <w:rPr>
          <w:rFonts w:ascii="Arial" w:cs="Arial" w:eastAsia="Arial" w:hAnsi="Arial"/>
        </w:rPr>
        <w:t xml:space="preserve"/>
      </w:r>
    </w:p>
    <w:p>
      <w:pPr>
        <w:pStyle w:val="Heading3"/>
      </w:pPr>
      <w:r>
        <w:rPr>
          <w:rFonts w:ascii="Arial" w:cs="Arial" w:eastAsia="Arial" w:hAnsi="Arial"/>
          <w:b/>
          <w:bCs/>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Role</w:t>
            </w:r>
          </w:p>
        </w:tc>
        <w:tc>
          <w:tcPr>
            <w:tcW w:type="dxa" w:w="4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Responsibility</w:t>
            </w:r>
          </w:p>
        </w:tc>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Sign-off Status</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Head of Product</w:t>
            </w:r>
          </w:p>
        </w:tc>
        <w:tc>
          <w:tcPr>
            <w:tcW w:type="dxa" w:w="4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Scope, priorities, success metrics</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Pending</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Engineering Lead</w:t>
            </w:r>
          </w:p>
        </w:tc>
        <w:tc>
          <w:tcPr>
            <w:tcW w:type="dxa" w:w="4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Architecture feasibility, estimates</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Pending</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Head of Data Science</w:t>
            </w:r>
          </w:p>
        </w:tc>
        <w:tc>
          <w:tcPr>
            <w:tcW w:type="dxa" w:w="4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Scoring models, simulation accuracy</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Pending</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Compliance Officer</w:t>
            </w:r>
          </w:p>
        </w:tc>
        <w:tc>
          <w:tcPr>
            <w:tcW w:type="dxa" w:w="4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Regulatory alignment, advisory boundaries</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Pending</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Design Lead</w:t>
            </w:r>
          </w:p>
        </w:tc>
        <w:tc>
          <w:tcPr>
            <w:tcW w:type="dxa" w:w="4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Copilot UX, explainability surfaces</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Pending</w:t>
            </w:r>
          </w:p>
        </w:tc>
      </w:tr>
    </w:tbl>
    <w:p>
      <w:pPr>
        <w:spacing w:after="80"/>
      </w:pPr>
      <w:r>
        <w:rPr>
          <w:rFonts w:ascii="Arial" w:cs="Arial" w:eastAsia="Arial" w:hAnsi="Arial"/>
        </w:rPr>
        <w:t xml:space="preserve"/>
      </w:r>
    </w:p>
    <w:p>
      <w:pPr>
        <w:pStyle w:val="Heading3"/>
      </w:pPr>
      <w:r>
        <w:rPr>
          <w:rFonts w:ascii="Arial" w:cs="Arial" w:eastAsia="Arial" w:hAnsi="Arial"/>
          <w:b/>
          <w:bCs/>
        </w:rPr>
        <w:t xml:space="preserve">Intended Audience</w:t>
      </w:r>
    </w:p>
    <w:p>
      <w:pPr>
        <w:spacing w:after="120" w:line="276"/>
      </w:pPr>
      <w:r>
        <w:rPr>
          <w:rFonts w:ascii="Arial" w:cs="Arial" w:eastAsia="Arial" w:hAnsi="Arial"/>
        </w:rPr>
        <w:t xml:space="preserve">This document is written for product managers, software engineers, data scientists, designers, QA engineers, compliance and legal reviewers, and engineering leadership. Readers are assumed to be familiar with mutual fund and equity investing concepts, but all domain-specific terms are defined in the Glossary (Section 19).</w:t>
      </w:r>
    </w:p>
    <w:p>
      <w:pPr>
        <w:pStyle w:val="Heading3"/>
      </w:pPr>
      <w:r>
        <w:rPr>
          <w:rFonts w:ascii="Arial" w:cs="Arial" w:eastAsia="Arial" w:hAnsi="Arial"/>
          <w:b/>
          <w:bCs/>
        </w:rPr>
        <w:t xml:space="preserve">Reading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If you are a...</w:t>
            </w:r>
          </w:p>
        </w:tc>
        <w:tc>
          <w:tcPr>
            <w:tcW w:type="dxa" w:w="6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Start with these sections</w:t>
            </w:r>
          </w:p>
        </w:tc>
      </w:tr>
      <w:tr>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Executive / stakeholder</w:t>
            </w:r>
          </w:p>
        </w:tc>
        <w:tc>
          <w:tcPr>
            <w:tcW w:type="dxa" w:w="6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 Executive Summary, 2 Vision, 4 Success Metrics, 17 Roadmap</w:t>
            </w:r>
          </w:p>
        </w:tc>
      </w:tr>
      <w:tr>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Product manager</w:t>
            </w:r>
          </w:p>
        </w:tc>
        <w:tc>
          <w:tcPr>
            <w:tcW w:type="dxa" w:w="6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 Scope, 6 Personas, 7 Requirements, 9 Recommendation Standard</w:t>
            </w:r>
          </w:p>
        </w:tc>
      </w:tr>
      <w:tr>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Engineer</w:t>
            </w:r>
          </w:p>
        </w:tc>
        <w:tc>
          <w:tcPr>
            <w:tcW w:type="dxa" w:w="6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8 Architecture, 10 Engine Rule Book, 11 Data Contracts, 12 APIs</w:t>
            </w:r>
          </w:p>
        </w:tc>
      </w:tr>
      <w:tr>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scientist</w:t>
            </w:r>
          </w:p>
        </w:tc>
        <w:tc>
          <w:tcPr>
            <w:tcW w:type="dxa" w:w="6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 Engine Rule Book, 13 Simulation &amp; Calibration, 16 Testing</w:t>
            </w:r>
          </w:p>
        </w:tc>
      </w:tr>
      <w:tr>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Compliance / legal</w:t>
            </w:r>
          </w:p>
        </w:tc>
        <w:tc>
          <w:tcPr>
            <w:tcW w:type="dxa" w:w="6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14 Compliance &amp; Advisory Boundaries, 15 Security &amp; Privacy</w:t>
            </w:r>
          </w:p>
        </w:tc>
      </w:tr>
      <w:tr>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QA engineer</w:t>
            </w:r>
          </w:p>
        </w:tc>
        <w:tc>
          <w:tcPr>
            <w:tcW w:type="dxa" w:w="6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16 Testing Strategy, 9 Recommendation Standard, 10 Rule Book</w:t>
            </w:r>
          </w:p>
        </w:tc>
      </w:tr>
    </w:tbl>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pPr>
            <w:tabs>
              <w:tab w:val="right" w:leader="dot" w:pos="9360"/>
            </w:tabs>
            <w:spacing w:before="160" w:after="20"/>
            <w:ind w:left="0"/>
            <w:rPr>
              <w:rFonts w:ascii="Arial" w:hAnsi="Arial"/>
              <w:b/>
              <w:sz w:val="22"/>
              <w:color w:val="0F3460"/>
            </w:rPr>
          </w:pPr>
          <w:r>
            <w:rPr>
              <w:rFonts w:ascii="Arial" w:hAnsi="Arial"/>
              <w:b/>
              <w:sz w:val="22"/>
              <w:color w:val="0F3460"/>
            </w:rPr>
            <w:t xml:space="preserve">Document Control</w:t>
          </w:r>
          <w:r>
            <w:rPr>
              <w:rFonts w:ascii="Arial" w:hAnsi="Arial"/>
              <w:sz w:val="22"/>
              <w:color w:val="0F3460"/>
            </w:rPr>
            <w:tab/>
            <w:t>2</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 Executive Summary</w:t>
          </w:r>
          <w:r>
            <w:rPr>
              <w:rFonts w:ascii="Arial" w:hAnsi="Arial"/>
              <w:sz w:val="22"/>
              <w:color w:val="0F3460"/>
            </w:rPr>
            <w:tab/>
            <w:t>6</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2. Product Vision</w:t>
          </w:r>
          <w:r>
            <w:rPr>
              <w:rFonts w:ascii="Arial" w:hAnsi="Arial"/>
              <w:sz w:val="22"/>
              <w:color w:val="0F3460"/>
            </w:rPr>
            <w:tab/>
            <w:t>7</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3. Business Objectives</w:t>
          </w:r>
          <w:r>
            <w:rPr>
              <w:rFonts w:ascii="Arial" w:hAnsi="Arial"/>
              <w:sz w:val="22"/>
              <w:color w:val="0F3460"/>
            </w:rPr>
            <w:tab/>
            <w:t>8</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4. Success Metrics &amp; Key Results</w:t>
          </w:r>
          <w:r>
            <w:rPr>
              <w:rFonts w:ascii="Arial" w:hAnsi="Arial"/>
              <w:sz w:val="22"/>
              <w:color w:val="0F3460"/>
            </w:rPr>
            <w:tab/>
            <w:t>9</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5. Scope</w:t>
          </w:r>
          <w:r>
            <w:rPr>
              <w:rFonts w:ascii="Arial" w:hAnsi="Arial"/>
              <w:sz w:val="22"/>
              <w:color w:val="0F3460"/>
            </w:rPr>
            <w:tab/>
            <w:t>11</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6. User Personas</w:t>
          </w:r>
          <w:r>
            <w:rPr>
              <w:rFonts w:ascii="Arial" w:hAnsi="Arial"/>
              <w:sz w:val="22"/>
              <w:color w:val="0F3460"/>
            </w:rPr>
            <w:tab/>
            <w:t>13</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7. Functional Requirements</w:t>
          </w:r>
          <w:r>
            <w:rPr>
              <w:rFonts w:ascii="Arial" w:hAnsi="Arial"/>
              <w:sz w:val="22"/>
              <w:color w:val="0F3460"/>
            </w:rPr>
            <w:tab/>
            <w:t>15</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8. Architecture Gaps &amp; Resolutions</w:t>
          </w:r>
          <w:r>
            <w:rPr>
              <w:rFonts w:ascii="Arial" w:hAnsi="Arial"/>
              <w:sz w:val="22"/>
              <w:color w:val="0F3460"/>
            </w:rPr>
            <w:tab/>
            <w:t>18</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9. Recommendation Object Standard</w:t>
          </w:r>
          <w:r>
            <w:rPr>
              <w:rFonts w:ascii="Arial" w:hAnsi="Arial"/>
              <w:sz w:val="22"/>
              <w:color w:val="0F3460"/>
            </w:rPr>
            <w:tab/>
            <w:t>20</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10. Engine Rule Book</w:t>
          </w:r>
          <w:r>
            <w:rPr>
              <w:rFonts w:ascii="Arial" w:hAnsi="Arial"/>
              <w:sz w:val="22"/>
              <w:color w:val="0F3460"/>
            </w:rPr>
            <w:tab/>
            <w:t>22</w:t>
          </w:r>
        </w:p>
        <w:p>
          <w:pPr>
            <w:tabs>
              <w:tab w:val="right" w:leader="dot" w:pos="9360"/>
            </w:tabs>
            <w:spacing w:before="40" w:after="20"/>
            <w:ind w:left="360"/>
            <w:rPr>
              <w:rFonts w:ascii="Arial" w:hAnsi="Arial"/>
              <w:sz w:val="20"/>
              <w:color w:val="16213E"/>
            </w:rPr>
          </w:pPr>
          <w:r>
            <w:rPr>
              <w:rFonts w:ascii="Arial" w:hAnsi="Arial"/>
              <w:sz w:val="20"/>
              <w:color w:val="16213E"/>
            </w:rPr>
            <w:t xml:space="preserve">10.1 Data Validation Engine</w:t>
          </w:r>
          <w:r>
            <w:rPr>
              <w:rFonts w:ascii="Arial" w:hAnsi="Arial"/>
              <w:sz w:val="20"/>
              <w:color w:val="16213E"/>
            </w:rPr>
            <w:tab/>
            <w:t>22</w:t>
          </w:r>
        </w:p>
        <w:p>
          <w:pPr>
            <w:tabs>
              <w:tab w:val="right" w:leader="dot" w:pos="9360"/>
            </w:tabs>
            <w:spacing w:before="40" w:after="20"/>
            <w:ind w:left="360"/>
            <w:rPr>
              <w:rFonts w:ascii="Arial" w:hAnsi="Arial"/>
              <w:sz w:val="20"/>
              <w:color w:val="16213E"/>
            </w:rPr>
          </w:pPr>
          <w:r>
            <w:rPr>
              <w:rFonts w:ascii="Arial" w:hAnsi="Arial"/>
              <w:sz w:val="20"/>
              <w:color w:val="16213E"/>
            </w:rPr>
            <w:t xml:space="preserve">10.2 Goal Alignment Engine</w:t>
          </w:r>
          <w:r>
            <w:rPr>
              <w:rFonts w:ascii="Arial" w:hAnsi="Arial"/>
              <w:sz w:val="20"/>
              <w:color w:val="16213E"/>
            </w:rPr>
            <w:tab/>
            <w:t>22</w:t>
          </w:r>
        </w:p>
        <w:p>
          <w:pPr>
            <w:tabs>
              <w:tab w:val="right" w:leader="dot" w:pos="9360"/>
            </w:tabs>
            <w:spacing w:before="40" w:after="20"/>
            <w:ind w:left="360"/>
            <w:rPr>
              <w:rFonts w:ascii="Arial" w:hAnsi="Arial"/>
              <w:sz w:val="20"/>
              <w:color w:val="16213E"/>
            </w:rPr>
          </w:pPr>
          <w:r>
            <w:rPr>
              <w:rFonts w:ascii="Arial" w:hAnsi="Arial"/>
              <w:sz w:val="20"/>
              <w:color w:val="16213E"/>
            </w:rPr>
            <w:t xml:space="preserve">10.3 Risk Alignment Engine</w:t>
          </w:r>
          <w:r>
            <w:rPr>
              <w:rFonts w:ascii="Arial" w:hAnsi="Arial"/>
              <w:sz w:val="20"/>
              <w:color w:val="16213E"/>
            </w:rPr>
            <w:tab/>
            <w:t>23</w:t>
          </w:r>
        </w:p>
        <w:p>
          <w:pPr>
            <w:tabs>
              <w:tab w:val="right" w:leader="dot" w:pos="9360"/>
            </w:tabs>
            <w:spacing w:before="40" w:after="20"/>
            <w:ind w:left="360"/>
            <w:rPr>
              <w:rFonts w:ascii="Arial" w:hAnsi="Arial"/>
              <w:sz w:val="20"/>
              <w:color w:val="16213E"/>
            </w:rPr>
          </w:pPr>
          <w:r>
            <w:rPr>
              <w:rFonts w:ascii="Arial" w:hAnsi="Arial"/>
              <w:sz w:val="20"/>
              <w:color w:val="16213E"/>
            </w:rPr>
            <w:t xml:space="preserve">10.4 Portfolio Analytics Engine</w:t>
          </w:r>
          <w:r>
            <w:rPr>
              <w:rFonts w:ascii="Arial" w:hAnsi="Arial"/>
              <w:sz w:val="20"/>
              <w:color w:val="16213E"/>
            </w:rPr>
            <w:tab/>
            <w:t>24</w:t>
          </w:r>
        </w:p>
        <w:p>
          <w:pPr>
            <w:tabs>
              <w:tab w:val="right" w:leader="dot" w:pos="9360"/>
            </w:tabs>
            <w:spacing w:before="40" w:after="20"/>
            <w:ind w:left="360"/>
            <w:rPr>
              <w:rFonts w:ascii="Arial" w:hAnsi="Arial"/>
              <w:sz w:val="20"/>
              <w:color w:val="16213E"/>
            </w:rPr>
          </w:pPr>
          <w:r>
            <w:rPr>
              <w:rFonts w:ascii="Arial" w:hAnsi="Arial"/>
              <w:sz w:val="20"/>
              <w:color w:val="16213E"/>
            </w:rPr>
            <w:t xml:space="preserve">10.5 Overlap Engine</w:t>
          </w:r>
          <w:r>
            <w:rPr>
              <w:rFonts w:ascii="Arial" w:hAnsi="Arial"/>
              <w:sz w:val="20"/>
              <w:color w:val="16213E"/>
            </w:rPr>
            <w:tab/>
            <w:t>24</w:t>
          </w:r>
        </w:p>
        <w:p>
          <w:pPr>
            <w:tabs>
              <w:tab w:val="right" w:leader="dot" w:pos="9360"/>
            </w:tabs>
            <w:spacing w:before="40" w:after="20"/>
            <w:ind w:left="360"/>
            <w:rPr>
              <w:rFonts w:ascii="Arial" w:hAnsi="Arial"/>
              <w:sz w:val="20"/>
              <w:color w:val="16213E"/>
            </w:rPr>
          </w:pPr>
          <w:r>
            <w:rPr>
              <w:rFonts w:ascii="Arial" w:hAnsi="Arial"/>
              <w:sz w:val="20"/>
              <w:color w:val="16213E"/>
            </w:rPr>
            <w:t xml:space="preserve">10.6 Correlation Engine</w:t>
          </w:r>
          <w:r>
            <w:rPr>
              <w:rFonts w:ascii="Arial" w:hAnsi="Arial"/>
              <w:sz w:val="20"/>
              <w:color w:val="16213E"/>
            </w:rPr>
            <w:tab/>
            <w:t>25</w:t>
          </w:r>
        </w:p>
        <w:p>
          <w:pPr>
            <w:tabs>
              <w:tab w:val="right" w:leader="dot" w:pos="9360"/>
            </w:tabs>
            <w:spacing w:before="40" w:after="20"/>
            <w:ind w:left="360"/>
            <w:rPr>
              <w:rFonts w:ascii="Arial" w:hAnsi="Arial"/>
              <w:sz w:val="20"/>
              <w:color w:val="16213E"/>
            </w:rPr>
          </w:pPr>
          <w:r>
            <w:rPr>
              <w:rFonts w:ascii="Arial" w:hAnsi="Arial"/>
              <w:sz w:val="20"/>
              <w:color w:val="16213E"/>
            </w:rPr>
            <w:t xml:space="preserve">10.7 Portfolio Impact Engine</w:t>
          </w:r>
          <w:r>
            <w:rPr>
              <w:rFonts w:ascii="Arial" w:hAnsi="Arial"/>
              <w:sz w:val="20"/>
              <w:color w:val="16213E"/>
            </w:rPr>
            <w:tab/>
            <w:t>25</w:t>
          </w:r>
        </w:p>
        <w:p>
          <w:pPr>
            <w:tabs>
              <w:tab w:val="right" w:leader="dot" w:pos="9360"/>
            </w:tabs>
            <w:spacing w:before="40" w:after="20"/>
            <w:ind w:left="360"/>
            <w:rPr>
              <w:rFonts w:ascii="Arial" w:hAnsi="Arial"/>
              <w:sz w:val="20"/>
              <w:color w:val="16213E"/>
            </w:rPr>
          </w:pPr>
          <w:r>
            <w:rPr>
              <w:rFonts w:ascii="Arial" w:hAnsi="Arial"/>
              <w:sz w:val="20"/>
              <w:color w:val="16213E"/>
            </w:rPr>
            <w:t xml:space="preserve">10.8 Mutual Fund Scoring Engine</w:t>
          </w:r>
          <w:r>
            <w:rPr>
              <w:rFonts w:ascii="Arial" w:hAnsi="Arial"/>
              <w:sz w:val="20"/>
              <w:color w:val="16213E"/>
            </w:rPr>
            <w:tab/>
            <w:t>26</w:t>
          </w:r>
        </w:p>
        <w:p>
          <w:pPr>
            <w:tabs>
              <w:tab w:val="right" w:leader="dot" w:pos="9360"/>
            </w:tabs>
            <w:spacing w:before="40" w:after="20"/>
            <w:ind w:left="360"/>
            <w:rPr>
              <w:rFonts w:ascii="Arial" w:hAnsi="Arial"/>
              <w:sz w:val="20"/>
              <w:color w:val="16213E"/>
            </w:rPr>
          </w:pPr>
          <w:r>
            <w:rPr>
              <w:rFonts w:ascii="Arial" w:hAnsi="Arial"/>
              <w:sz w:val="20"/>
              <w:color w:val="16213E"/>
            </w:rPr>
            <w:t xml:space="preserve">10.9 Stock Scoring Engine</w:t>
          </w:r>
          <w:r>
            <w:rPr>
              <w:rFonts w:ascii="Arial" w:hAnsi="Arial"/>
              <w:sz w:val="20"/>
              <w:color w:val="16213E"/>
            </w:rPr>
            <w:tab/>
            <w:t>27</w:t>
          </w:r>
        </w:p>
        <w:p>
          <w:pPr>
            <w:tabs>
              <w:tab w:val="right" w:leader="dot" w:pos="9360"/>
            </w:tabs>
            <w:spacing w:before="40" w:after="20"/>
            <w:ind w:left="360"/>
            <w:rPr>
              <w:rFonts w:ascii="Arial" w:hAnsi="Arial"/>
              <w:sz w:val="20"/>
              <w:color w:val="16213E"/>
            </w:rPr>
          </w:pPr>
          <w:r>
            <w:rPr>
              <w:rFonts w:ascii="Arial" w:hAnsi="Arial"/>
              <w:sz w:val="20"/>
              <w:color w:val="16213E"/>
            </w:rPr>
            <w:t xml:space="preserve">10.10 Tax Engine</w:t>
          </w:r>
          <w:r>
            <w:rPr>
              <w:rFonts w:ascii="Arial" w:hAnsi="Arial"/>
              <w:sz w:val="20"/>
              <w:color w:val="16213E"/>
            </w:rPr>
            <w:tab/>
            <w:t>28</w:t>
          </w:r>
        </w:p>
        <w:p>
          <w:pPr>
            <w:tabs>
              <w:tab w:val="right" w:leader="dot" w:pos="9360"/>
            </w:tabs>
            <w:spacing w:before="40" w:after="20"/>
            <w:ind w:left="360"/>
            <w:rPr>
              <w:rFonts w:ascii="Arial" w:hAnsi="Arial"/>
              <w:sz w:val="20"/>
              <w:color w:val="16213E"/>
            </w:rPr>
          </w:pPr>
          <w:r>
            <w:rPr>
              <w:rFonts w:ascii="Arial" w:hAnsi="Arial"/>
              <w:sz w:val="20"/>
              <w:color w:val="16213E"/>
            </w:rPr>
            <w:t xml:space="preserve">10.11 Recommendation Arbitration Engine</w:t>
          </w:r>
          <w:r>
            <w:rPr>
              <w:rFonts w:ascii="Arial" w:hAnsi="Arial"/>
              <w:sz w:val="20"/>
              <w:color w:val="16213E"/>
            </w:rPr>
            <w:tab/>
            <w:t>29</w:t>
          </w:r>
        </w:p>
        <w:p>
          <w:pPr>
            <w:tabs>
              <w:tab w:val="right" w:leader="dot" w:pos="9360"/>
            </w:tabs>
            <w:spacing w:before="40" w:after="20"/>
            <w:ind w:left="360"/>
            <w:rPr>
              <w:rFonts w:ascii="Arial" w:hAnsi="Arial"/>
              <w:sz w:val="20"/>
              <w:color w:val="16213E"/>
            </w:rPr>
          </w:pPr>
          <w:r>
            <w:rPr>
              <w:rFonts w:ascii="Arial" w:hAnsi="Arial"/>
              <w:sz w:val="20"/>
              <w:color w:val="16213E"/>
            </w:rPr>
            <w:t xml:space="preserve">10.12 Impact Simulation Engine</w:t>
          </w:r>
          <w:r>
            <w:rPr>
              <w:rFonts w:ascii="Arial" w:hAnsi="Arial"/>
              <w:sz w:val="20"/>
              <w:color w:val="16213E"/>
            </w:rPr>
            <w:tab/>
            <w:t>30</w:t>
          </w:r>
        </w:p>
        <w:p>
          <w:pPr>
            <w:tabs>
              <w:tab w:val="right" w:leader="dot" w:pos="9360"/>
            </w:tabs>
            <w:spacing w:before="40" w:after="20"/>
            <w:ind w:left="360"/>
            <w:rPr>
              <w:rFonts w:ascii="Arial" w:hAnsi="Arial"/>
              <w:sz w:val="20"/>
              <w:color w:val="16213E"/>
            </w:rPr>
          </w:pPr>
          <w:r>
            <w:rPr>
              <w:rFonts w:ascii="Arial" w:hAnsi="Arial"/>
              <w:sz w:val="20"/>
              <w:color w:val="16213E"/>
            </w:rPr>
            <w:t xml:space="preserve">10.13 Copilot Engine</w:t>
          </w:r>
          <w:r>
            <w:rPr>
              <w:rFonts w:ascii="Arial" w:hAnsi="Arial"/>
              <w:sz w:val="20"/>
              <w:color w:val="16213E"/>
            </w:rPr>
            <w:tab/>
            <w:t>30</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11. End-to-End Workflow</w:t>
          </w:r>
          <w:r>
            <w:rPr>
              <w:rFonts w:ascii="Arial" w:hAnsi="Arial"/>
              <w:sz w:val="22"/>
              <w:color w:val="0F3460"/>
            </w:rPr>
            <w:tab/>
            <w:t>31</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12. Data Model &amp; Contracts</w:t>
          </w:r>
          <w:r>
            <w:rPr>
              <w:rFonts w:ascii="Arial" w:hAnsi="Arial"/>
              <w:sz w:val="22"/>
              <w:color w:val="0F3460"/>
            </w:rPr>
            <w:tab/>
            <w:t>32</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13. API Specification</w:t>
          </w:r>
          <w:r>
            <w:rPr>
              <w:rFonts w:ascii="Arial" w:hAnsi="Arial"/>
              <w:sz w:val="22"/>
              <w:color w:val="0F3460"/>
            </w:rPr>
            <w:tab/>
            <w:t>34</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14. Non-Functional Requirements</w:t>
          </w:r>
          <w:r>
            <w:rPr>
              <w:rFonts w:ascii="Arial" w:hAnsi="Arial"/>
              <w:sz w:val="22"/>
              <w:color w:val="0F3460"/>
            </w:rPr>
            <w:tab/>
            <w:t>36</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15. Simulation Accuracy &amp; Calibration</w:t>
          </w:r>
          <w:r>
            <w:rPr>
              <w:rFonts w:ascii="Arial" w:hAnsi="Arial"/>
              <w:sz w:val="22"/>
              <w:color w:val="0F3460"/>
            </w:rPr>
            <w:tab/>
            <w:t>38</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16. Compliance &amp; Advisory Boundaries</w:t>
          </w:r>
          <w:r>
            <w:rPr>
              <w:rFonts w:ascii="Arial" w:hAnsi="Arial"/>
              <w:sz w:val="22"/>
              <w:color w:val="0F3460"/>
            </w:rPr>
            <w:tab/>
            <w:t>39</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17. Security &amp; Privacy</w:t>
          </w:r>
          <w:r>
            <w:rPr>
              <w:rFonts w:ascii="Arial" w:hAnsi="Arial"/>
              <w:sz w:val="22"/>
              <w:color w:val="0F3460"/>
            </w:rPr>
            <w:tab/>
            <w:t>40</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18. Testing &amp; Quality Strategy</w:t>
          </w:r>
          <w:r>
            <w:rPr>
              <w:rFonts w:ascii="Arial" w:hAnsi="Arial"/>
              <w:sz w:val="22"/>
              <w:color w:val="0F3460"/>
            </w:rPr>
            <w:tab/>
            <w:t>41</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19. Observability &amp; Operations</w:t>
          </w:r>
          <w:r>
            <w:rPr>
              <w:rFonts w:ascii="Arial" w:hAnsi="Arial"/>
              <w:sz w:val="22"/>
              <w:color w:val="0F3460"/>
            </w:rPr>
            <w:tab/>
            <w:t>43</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20. Phased Delivery &amp; Roadmap</w:t>
          </w:r>
          <w:r>
            <w:rPr>
              <w:rFonts w:ascii="Arial" w:hAnsi="Arial"/>
              <w:sz w:val="22"/>
              <w:color w:val="0F3460"/>
            </w:rPr>
            <w:tab/>
            <w:t>44</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21. Risks &amp; Mitigations</w:t>
          </w:r>
          <w:r>
            <w:rPr>
              <w:rFonts w:ascii="Arial" w:hAnsi="Arial"/>
              <w:sz w:val="22"/>
              <w:color w:val="0F3460"/>
            </w:rPr>
            <w:tab/>
            <w:t>45</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22. Open Questions</w:t>
          </w:r>
          <w:r>
            <w:rPr>
              <w:rFonts w:ascii="Arial" w:hAnsi="Arial"/>
              <w:sz w:val="22"/>
              <w:color w:val="0F3460"/>
            </w:rPr>
            <w:tab/>
            <w:t>46</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23. Glossary</w:t>
          </w:r>
          <w:r>
            <w:rPr>
              <w:rFonts w:ascii="Arial" w:hAnsi="Arial"/>
              <w:sz w:val="22"/>
              <w:color w:val="0F3460"/>
            </w:rPr>
            <w:tab/>
            <w:t>47</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24. Strategic Direction</w:t>
          </w:r>
          <w:r>
            <w:rPr>
              <w:rFonts w:ascii="Arial" w:hAnsi="Arial"/>
              <w:sz w:val="22"/>
              <w:color w:val="0F3460"/>
            </w:rPr>
            <w:tab/>
            <w:t>48</w:t>
          </w:r>
        </w:p>
        <w:p>
          <w:pPr>
            <w:tabs>
              <w:tab w:val="right" w:leader="dot" w:pos="9360"/>
            </w:tabs>
            <w:spacing w:before="160" w:after="20"/>
            <w:ind w:left="0"/>
            <w:rPr>
              <w:rFonts w:ascii="Arial" w:hAnsi="Arial"/>
              <w:b/>
              <w:sz w:val="22"/>
              <w:color w:val="0F3460"/>
            </w:rPr>
          </w:pPr>
          <w:r>
            <w:rPr>
              <w:rFonts w:ascii="Arial" w:hAnsi="Arial"/>
              <w:b/>
              <w:sz w:val="22"/>
              <w:color w:val="0F3460"/>
            </w:rPr>
            <w:t xml:space="preserve">Appendix A. System Architecture Overview</w:t>
          </w:r>
          <w:r>
            <w:rPr>
              <w:rFonts w:ascii="Arial" w:hAnsi="Arial"/>
              <w:sz w:val="22"/>
              <w:color w:val="0F3460"/>
            </w:rPr>
            <w:tab/>
            <w:t>48</w:t>
          </w:r>
        </w:p>
        <w:p>
          <w:r>
            <w:fldChar w:fldCharType="end"/>
          </w:r>
        </w:p>
      </w:sdtContent>
    </w:sdt>
    <w:p>
      <w:r>
        <w:br w:type="page"/>
      </w:r>
    </w:p>
    <w:p>
      <w:pPr>
        <w:pStyle w:val="Heading1"/>
      </w:pPr>
      <w:r>
        <w:rPr>
          <w:rFonts w:ascii="Arial" w:cs="Arial" w:eastAsia="Arial" w:hAnsi="Arial"/>
          <w:b/>
          <w:bCs/>
        </w:rPr>
        <w:t xml:space="preserve">1. Executive Summary</w:t>
      </w:r>
    </w:p>
    <w:p>
      <w:pPr>
        <w:spacing w:after="120" w:line="276"/>
      </w:pPr>
      <w:r>
        <w:rPr>
          <w:rFonts w:ascii="Arial" w:cs="Arial" w:eastAsia="Arial" w:hAnsi="Arial"/>
          <w:b/>
          <w:bCs/>
        </w:rPr>
        <w:t xml:space="preserve">Nivesh</w:t>
      </w:r>
      <w:r>
        <w:rPr>
          <w:rFonts w:ascii="Arial" w:cs="Arial" w:eastAsia="Arial" w:hAnsi="Arial"/>
        </w:rPr>
        <w:t xml:space="preserve"> is an AI-powered portfolio intelligence platform that helps retail and mass-affluent investors analyse, optimise, and manage their investments with the discipline of an institutional portfolio manager. It ingests a complete picture of an investor’s holdings — mutual funds and direct equities — and evaluates them against the investor’s financial goals, risk capacity, diversification, tax position, and long-term wealth objectives.</w:t>
      </w:r>
    </w:p>
    <w:p>
      <w:pPr>
        <w:spacing w:after="120" w:line="276"/>
      </w:pPr>
      <w:r>
        <w:rPr>
          <w:rFonts w:ascii="Arial" w:cs="Arial" w:eastAsia="Arial" w:hAnsi="Arial"/>
        </w:rPr>
        <w:t xml:space="preserve">Unlike a generic fund recommendation engine, Nivesh reasons at the level of the whole portfolio. It identifies redundant holdings, concentration risk, goal misalignment, and tax-inefficient positions, then produces a prioritised, conflict-resolved action plan with simulated before-and-after outcomes.</w:t>
      </w:r>
    </w:p>
    <w:p>
      <w:pPr>
        <w:pStyle w:val="Heading3"/>
      </w:pPr>
      <w:r>
        <w:rPr>
          <w:rFonts w:ascii="Arial" w:cs="Arial" w:eastAsia="Arial" w:hAnsi="Arial"/>
          <w:b/>
          <w:bCs/>
        </w:rPr>
        <w:t xml:space="preserve">1.1 The Core Operating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The division of labour between deterministic logic and AI</w:t>
            </w:r>
          </w:p>
          <w:p>
            <w:pPr>
              <w:spacing w:after="120" w:line="276"/>
            </w:pPr>
            <w:r>
              <w:rPr>
                <w:rFonts w:ascii="Arial" w:cs="Arial" w:eastAsia="Arial" w:hAnsi="Arial"/>
                <w:b/>
                <w:bCs/>
              </w:rPr>
              <w:t xml:space="preserve">Rules decide. AI explains. </w:t>
            </w:r>
            <w:r>
              <w:rPr>
                <w:rFonts w:ascii="Arial" w:cs="Arial" w:eastAsia="Arial" w:hAnsi="Arial"/>
              </w:rPr>
              <w:t xml:space="preserve">Every recommendation Nivesh produces is generated by deterministic, auditable scoring engines. The large language model (LLM) layer never originates or alters a recommendation — it only translates structured engine output into clear, conversational guidance. This separation guarantees that recommendations are reproducible, explainable, defensible to a regulator, and free from model hallucination.</w:t>
            </w:r>
          </w:p>
        </w:tc>
      </w:tr>
    </w:tbl>
    <w:p>
      <w:pPr>
        <w:pStyle w:val="Heading3"/>
      </w:pPr>
      <w:r>
        <w:rPr>
          <w:rFonts w:ascii="Arial" w:cs="Arial" w:eastAsia="Arial" w:hAnsi="Arial"/>
          <w:b/>
          <w:bCs/>
        </w:rPr>
        <w:t xml:space="preserve">1.2 What This Document Adds</w:t>
      </w:r>
    </w:p>
    <w:p>
      <w:pPr>
        <w:spacing w:after="120" w:line="276"/>
      </w:pPr>
      <w:r>
        <w:rPr>
          <w:rFonts w:ascii="Arial" w:cs="Arial" w:eastAsia="Arial" w:hAnsi="Arial"/>
        </w:rPr>
        <w:t xml:space="preserve">Version 1.0 established the engine rule book and high-level architecture. This production-grade revision (Version 2.0) makes the platform buildable by adding:</w:t>
      </w:r>
    </w:p>
    <w:p>
      <w:pPr>
        <w:pStyle w:val="ListParagraph"/>
        <w:numPr>
          <w:ilvl w:val="0"/>
          <w:numId w:val="2"/>
        </w:numPr>
        <w:spacing w:after="60" w:line="276"/>
      </w:pPr>
      <w:r>
        <w:rPr>
          <w:rFonts w:ascii="Arial" w:cs="Arial" w:eastAsia="Arial" w:hAnsi="Arial"/>
        </w:rPr>
        <w:t xml:space="preserve">Defined user personas and explicit in-scope / out-of-scope boundaries.</w:t>
      </w:r>
    </w:p>
    <w:p>
      <w:pPr>
        <w:pStyle w:val="ListParagraph"/>
        <w:numPr>
          <w:ilvl w:val="0"/>
          <w:numId w:val="2"/>
        </w:numPr>
        <w:spacing w:after="60" w:line="276"/>
      </w:pPr>
      <w:r>
        <w:rPr>
          <w:rFonts w:ascii="Arial" w:cs="Arial" w:eastAsia="Arial" w:hAnsi="Arial"/>
        </w:rPr>
        <w:t xml:space="preserve">Functional requirements with stable IDs, priorities (MoSCoW), and acceptance criteria.</w:t>
      </w:r>
    </w:p>
    <w:p>
      <w:pPr>
        <w:pStyle w:val="ListParagraph"/>
        <w:numPr>
          <w:ilvl w:val="0"/>
          <w:numId w:val="2"/>
        </w:numPr>
        <w:spacing w:after="60" w:line="276"/>
      </w:pPr>
      <w:r>
        <w:rPr>
          <w:rFonts w:ascii="Arial" w:cs="Arial" w:eastAsia="Arial" w:hAnsi="Arial"/>
        </w:rPr>
        <w:t xml:space="preserve">Quantified success metrics, non-functional requirements, and service-level objectives.</w:t>
      </w:r>
    </w:p>
    <w:p>
      <w:pPr>
        <w:pStyle w:val="ListParagraph"/>
        <w:numPr>
          <w:ilvl w:val="0"/>
          <w:numId w:val="2"/>
        </w:numPr>
        <w:spacing w:after="60" w:line="276"/>
      </w:pPr>
      <w:r>
        <w:rPr>
          <w:rFonts w:ascii="Arial" w:cs="Arial" w:eastAsia="Arial" w:hAnsi="Arial"/>
        </w:rPr>
        <w:t xml:space="preserve">Formal data contracts, API specifications, and the recommendation object schema.</w:t>
      </w:r>
    </w:p>
    <w:p>
      <w:pPr>
        <w:pStyle w:val="ListParagraph"/>
        <w:numPr>
          <w:ilvl w:val="0"/>
          <w:numId w:val="2"/>
        </w:numPr>
        <w:spacing w:after="60" w:line="276"/>
      </w:pPr>
      <w:r>
        <w:rPr>
          <w:rFonts w:ascii="Arial" w:cs="Arial" w:eastAsia="Arial" w:hAnsi="Arial"/>
        </w:rPr>
        <w:t xml:space="preserve">Security, privacy, regulatory, and advisory-boundary requirements.</w:t>
      </w:r>
    </w:p>
    <w:p>
      <w:pPr>
        <w:pStyle w:val="ListParagraph"/>
        <w:numPr>
          <w:ilvl w:val="0"/>
          <w:numId w:val="2"/>
        </w:numPr>
        <w:spacing w:after="60" w:line="276"/>
      </w:pPr>
      <w:r>
        <w:rPr>
          <w:rFonts w:ascii="Arial" w:cs="Arial" w:eastAsia="Arial" w:hAnsi="Arial"/>
        </w:rPr>
        <w:t xml:space="preserve">A testing and calibration strategy, observability plan, phased rollout, and a risk register.</w:t>
      </w:r>
    </w:p>
    <w:p>
      <w:pPr>
        <w:pStyle w:val="Heading3"/>
      </w:pPr>
      <w:r>
        <w:rPr>
          <w:rFonts w:ascii="Arial" w:cs="Arial" w:eastAsia="Arial" w:hAnsi="Arial"/>
          <w:b/>
          <w:bCs/>
        </w:rPr>
        <w:t xml:space="preserve">1.3 Summary of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Capability</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What it delivers to the investor</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analytics</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clear read on diversification, concentration, overlap, and complexity.</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&amp; risk alignment</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Whether the current portfolio can realistically meet stated goals within risk tolerance.</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 arbitration</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single, conflict-free action list instead of contradictory engine outputs.</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Impact simulation</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quantified before/after view of every recommended change.</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Conversational copilot</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Plain-language explanation of every recommendation, its trade-offs, and its tax impact.</w:t>
            </w:r>
          </w:p>
        </w:tc>
      </w:tr>
    </w:tbl>
    <w:p>
      <w:r>
        <w:br w:type="page"/>
      </w:r>
    </w:p>
    <w:p>
      <w:pPr>
        <w:pStyle w:val="Heading1"/>
      </w:pPr>
      <w:r>
        <w:rPr>
          <w:rFonts w:ascii="Arial" w:cs="Arial" w:eastAsia="Arial" w:hAnsi="Arial"/>
          <w:b/>
          <w:bCs/>
        </w:rPr>
        <w:t xml:space="preserve">2. Product Vision</w:t>
      </w:r>
    </w:p>
    <w:p>
      <w:pPr>
        <w:spacing w:after="120" w:line="276"/>
      </w:pPr>
      <w:r>
        <w:rPr>
          <w:rFonts w:ascii="Arial" w:cs="Arial" w:eastAsia="Arial" w:hAnsi="Arial"/>
        </w:rPr>
        <w:t xml:space="preserve">Nivesh aspires to become an Intelligent Wealth Operating System — a system that continuously understands the investor, the portfolio, and the goals, and then optimises intelligently and transparently.</w:t>
      </w:r>
    </w:p>
    <w:p>
      <w:pPr>
        <w:pStyle w:val="Heading3"/>
      </w:pPr>
      <w:r>
        <w:rPr>
          <w:rFonts w:ascii="Arial" w:cs="Arial" w:eastAsia="Arial" w:hAnsi="Arial"/>
          <w:b/>
          <w:bCs/>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w:t>
            </w:r>
          </w:p>
          <w:p>
            <w:pPr>
              <w:spacing w:after="120" w:line="276"/>
            </w:pPr>
            <w:r>
              <w:rPr>
                <w:rFonts w:ascii="Arial" w:cs="Arial" w:eastAsia="Arial" w:hAnsi="Arial"/>
                <w:b/>
                <w:bCs/>
              </w:rPr>
              <w:t xml:space="preserve">Nivesh should behave like a disciplined portfolio manager, not a product-pushing distributor. </w:t>
            </w:r>
            <w:r>
              <w:rPr>
                <w:rFonts w:ascii="Arial" w:cs="Arial" w:eastAsia="Arial" w:hAnsi="Arial"/>
              </w:rPr>
              <w:t xml:space="preserve">Every action it suggests must improve the investor’s position relative to a measurable objective — lower risk for the same return, better goal probability, reduced redundancy, or improved tax efficiency — and never simply generate activity.</w:t>
            </w:r>
          </w:p>
        </w:tc>
      </w:tr>
    </w:tbl>
    <w:p>
      <w:pPr>
        <w:pStyle w:val="Heading3"/>
      </w:pPr>
      <w:r>
        <w:rPr>
          <w:rFonts w:ascii="Arial" w:cs="Arial" w:eastAsia="Arial" w:hAnsi="Arial"/>
          <w:b/>
          <w:bCs/>
        </w:rPr>
        <w:t xml:space="preserve">2.2 Product Principles</w:t>
      </w:r>
    </w:p>
    <w:p>
      <w:pPr>
        <w:spacing w:after="120" w:line="276"/>
      </w:pPr>
      <w:r>
        <w:rPr>
          <w:rFonts w:ascii="Arial" w:cs="Arial" w:eastAsia="Arial" w:hAnsi="Arial"/>
        </w:rPr>
        <w:t xml:space="preserve">These principles are binding design constraints. Any feature that violates a principle must be escalated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Principle</w:t>
            </w:r>
          </w:p>
        </w:tc>
        <w:tc>
          <w:tcPr>
            <w:tcW w:type="dxa" w:w="67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Meaning in practice</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Determinism first</w:t>
            </w:r>
          </w:p>
        </w:tc>
        <w:tc>
          <w:tcPr>
            <w:tcW w:type="dxa" w:w="6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Recommendations come from rule engines, never from the LLM. The same inputs always yield the same output.</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Explainability is mandatory</w:t>
            </w:r>
          </w:p>
        </w:tc>
        <w:tc>
          <w:tcPr>
            <w:tcW w:type="dxa" w:w="6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recommendation carries its triggers, trade-offs, confidence, and tax impact. Nothing is a black box.</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over instrument</w:t>
            </w:r>
          </w:p>
        </w:tc>
        <w:tc>
          <w:tcPr>
            <w:tcW w:type="dxa" w:w="6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Severity is weighted by allocation and marginal contribution, not by instrument quality alone.</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Do no harm</w:t>
            </w:r>
          </w:p>
        </w:tc>
        <w:tc>
          <w:tcPr>
            <w:tcW w:type="dxa" w:w="6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platform suppresses recommendations whose tax cost or churn outweighs the modelled benefit.</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supremacy</w:t>
            </w:r>
          </w:p>
        </w:tc>
        <w:tc>
          <w:tcPr>
            <w:tcW w:type="dxa" w:w="6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 overrides pure instrument optimisation when the two conflict.</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Calm by default</w:t>
            </w:r>
          </w:p>
        </w:tc>
        <w:tc>
          <w:tcPr>
            <w:tcW w:type="dxa" w:w="6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Marginal-benefit actions are suppressed. The platform avoids overwhelming investors with low-value churn.</w:t>
            </w:r>
          </w:p>
        </w:tc>
      </w:tr>
    </w:tbl>
    <w:p>
      <w:pPr>
        <w:pStyle w:val="Heading3"/>
      </w:pPr>
      <w:r>
        <w:rPr>
          <w:rFonts w:ascii="Arial" w:cs="Arial" w:eastAsia="Arial" w:hAnsi="Arial"/>
          <w:b/>
          <w:bCs/>
        </w:rPr>
        <w:t xml:space="preserve">2.3 Anti-Goals</w:t>
      </w:r>
    </w:p>
    <w:p>
      <w:pPr>
        <w:spacing w:after="120" w:line="276"/>
      </w:pPr>
      <w:r>
        <w:rPr>
          <w:rFonts w:ascii="Arial" w:cs="Arial" w:eastAsia="Arial" w:hAnsi="Arial"/>
        </w:rPr>
        <w:t xml:space="preserve">Nivesh explicitly does not aim to be any of the following:</w:t>
      </w:r>
    </w:p>
    <w:p>
      <w:pPr>
        <w:pStyle w:val="ListParagraph"/>
        <w:numPr>
          <w:ilvl w:val="0"/>
          <w:numId w:val="2"/>
        </w:numPr>
        <w:spacing w:after="60" w:line="276"/>
      </w:pPr>
      <w:r>
        <w:rPr>
          <w:rFonts w:ascii="Arial" w:cs="Arial" w:eastAsia="Arial" w:hAnsi="Arial"/>
          <w:b/>
          <w:bCs/>
        </w:rPr>
        <w:t xml:space="preserve">A trading or execution platform. </w:t>
      </w:r>
      <w:r>
        <w:rPr>
          <w:rFonts w:ascii="Arial" w:cs="Arial" w:eastAsia="Arial" w:hAnsi="Arial"/>
        </w:rPr>
        <w:t xml:space="preserve">Nivesh recommends; it does not place orders or hold custody of assets in the initial scope.</w:t>
      </w:r>
    </w:p>
    <w:p>
      <w:pPr>
        <w:pStyle w:val="ListParagraph"/>
        <w:numPr>
          <w:ilvl w:val="0"/>
          <w:numId w:val="2"/>
        </w:numPr>
        <w:spacing w:after="60" w:line="276"/>
      </w:pPr>
      <w:r>
        <w:rPr>
          <w:rFonts w:ascii="Arial" w:cs="Arial" w:eastAsia="Arial" w:hAnsi="Arial"/>
          <w:b/>
          <w:bCs/>
        </w:rPr>
        <w:t xml:space="preserve">A market-timing or stock-tipping service. </w:t>
      </w:r>
      <w:r>
        <w:rPr>
          <w:rFonts w:ascii="Arial" w:cs="Arial" w:eastAsia="Arial" w:hAnsi="Arial"/>
        </w:rPr>
        <w:t xml:space="preserve">Technical overlays are tactical context only and never the basis of a recommendation.</w:t>
      </w:r>
    </w:p>
    <w:p>
      <w:pPr>
        <w:pStyle w:val="ListParagraph"/>
        <w:numPr>
          <w:ilvl w:val="0"/>
          <w:numId w:val="2"/>
        </w:numPr>
        <w:spacing w:after="60" w:line="276"/>
      </w:pPr>
      <w:r>
        <w:rPr>
          <w:rFonts w:ascii="Arial" w:cs="Arial" w:eastAsia="Arial" w:hAnsi="Arial"/>
          <w:b/>
          <w:bCs/>
        </w:rPr>
        <w:t xml:space="preserve">A robo-advisor that issues personalised investment advice. </w:t>
      </w:r>
      <w:r>
        <w:rPr>
          <w:rFonts w:ascii="Arial" w:cs="Arial" w:eastAsia="Arial" w:hAnsi="Arial"/>
        </w:rPr>
        <w:t xml:space="preserve">See Section 14 for the advisory-boundary position.</w:t>
      </w:r>
    </w:p>
    <w:p>
      <w:pPr>
        <w:pStyle w:val="ListParagraph"/>
        <w:numPr>
          <w:ilvl w:val="0"/>
          <w:numId w:val="2"/>
        </w:numPr>
        <w:spacing w:after="60" w:line="276"/>
      </w:pPr>
      <w:r>
        <w:rPr>
          <w:rFonts w:ascii="Arial" w:cs="Arial" w:eastAsia="Arial" w:hAnsi="Arial"/>
          <w:b/>
          <w:bCs/>
        </w:rPr>
        <w:t xml:space="preserve">A fund-house distribution channel. </w:t>
      </w:r>
      <w:r>
        <w:rPr>
          <w:rFonts w:ascii="Arial" w:cs="Arial" w:eastAsia="Arial" w:hAnsi="Arial"/>
        </w:rPr>
        <w:t xml:space="preserve">Recommendations are issuer-agnostic and revenue-neutral.</w:t>
      </w:r>
    </w:p>
    <w:p>
      <w:r>
        <w:br w:type="page"/>
      </w:r>
    </w:p>
    <w:p>
      <w:pPr>
        <w:pStyle w:val="Heading1"/>
      </w:pPr>
      <w:r>
        <w:rPr>
          <w:rFonts w:ascii="Arial" w:cs="Arial" w:eastAsia="Arial" w:hAnsi="Arial"/>
          <w:b/>
          <w:bCs/>
        </w:rPr>
        <w:t xml:space="preserve">3. Business Objectives</w:t>
      </w:r>
    </w:p>
    <w:p>
      <w:pPr>
        <w:spacing w:after="120" w:line="276"/>
      </w:pPr>
      <w:r>
        <w:rPr>
          <w:rFonts w:ascii="Arial" w:cs="Arial" w:eastAsia="Arial" w:hAnsi="Arial"/>
        </w:rPr>
        <w:t xml:space="preserve">Business objectives are grouped into primary outcomes (the platform exists to achieve these) and secondary outcomes (desirable supporting effects). Each is paired with a measurable indicator tracked in Section 4.</w:t>
      </w:r>
    </w:p>
    <w:p>
      <w:pPr>
        <w:pStyle w:val="Heading3"/>
      </w:pPr>
      <w:r>
        <w:rPr>
          <w:rFonts w:ascii="Arial" w:cs="Arial" w:eastAsia="Arial" w:hAnsi="Arial"/>
          <w:b/>
          <w:bCs/>
        </w:rPr>
        <w:t xml:space="preserve">3.1 Primary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50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Objective</w:t>
            </w:r>
          </w:p>
        </w:tc>
        <w:tc>
          <w:tcPr>
            <w:tcW w:type="dxa" w:w="3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Primary Indicator</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BO-1</w:t>
            </w:r>
          </w:p>
        </w:tc>
        <w:tc>
          <w:tcPr>
            <w:tcW w:type="dxa" w:w="5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Improve portfolio diversification across funds, sectors, and factors</w:t>
            </w:r>
          </w:p>
        </w:tc>
        <w:tc>
          <w:tcPr>
            <w:tcW w:type="dxa" w:w="3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Diversification Score uplift</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BO-2</w:t>
            </w:r>
          </w:p>
        </w:tc>
        <w:tc>
          <w:tcPr>
            <w:tcW w:type="dxa" w:w="5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Increase the probability that investors meet their stated goals</w:t>
            </w:r>
          </w:p>
        </w:tc>
        <w:tc>
          <w:tcPr>
            <w:tcW w:type="dxa" w:w="3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Success Probability uplift</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BO-3</w:t>
            </w:r>
          </w:p>
        </w:tc>
        <w:tc>
          <w:tcPr>
            <w:tcW w:type="dxa" w:w="5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Reduce redundant and overlapping holdings</w:t>
            </w:r>
          </w:p>
        </w:tc>
        <w:tc>
          <w:tcPr>
            <w:tcW w:type="dxa" w:w="3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Weighted overlap reduction</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BO-4</w:t>
            </w:r>
          </w:p>
        </w:tc>
        <w:tc>
          <w:tcPr>
            <w:tcW w:type="dxa" w:w="5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Deliver institutional-grade, explainable analytics to retail investors</w:t>
            </w:r>
          </w:p>
        </w:tc>
        <w:tc>
          <w:tcPr>
            <w:tcW w:type="dxa" w:w="3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 acceptance &amp; trust score</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BO-5</w:t>
            </w:r>
          </w:p>
        </w:tc>
        <w:tc>
          <w:tcPr>
            <w:tcW w:type="dxa" w:w="5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Build a scalable, auditable AI wealth intelligence platform</w:t>
            </w:r>
          </w:p>
        </w:tc>
        <w:tc>
          <w:tcPr>
            <w:tcW w:type="dxa" w:w="3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 reproducibility &amp; audit pass rate</w:t>
            </w:r>
          </w:p>
        </w:tc>
      </w:tr>
    </w:tbl>
    <w:p>
      <w:pPr>
        <w:spacing w:after="80"/>
      </w:pPr>
      <w:r>
        <w:rPr>
          <w:rFonts w:ascii="Arial" w:cs="Arial" w:eastAsia="Arial" w:hAnsi="Arial"/>
        </w:rPr>
        <w:t xml:space="preserve"/>
      </w:r>
    </w:p>
    <w:p>
      <w:pPr>
        <w:pStyle w:val="Heading3"/>
      </w:pPr>
      <w:r>
        <w:rPr>
          <w:rFonts w:ascii="Arial" w:cs="Arial" w:eastAsia="Arial" w:hAnsi="Arial"/>
          <w:b/>
          <w:bCs/>
        </w:rPr>
        <w:t xml:space="preserve">3.2 Secondary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50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Objective</w:t>
            </w:r>
          </w:p>
        </w:tc>
        <w:tc>
          <w:tcPr>
            <w:tcW w:type="dxa" w:w="3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Primary Indicator</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BO-6</w:t>
            </w:r>
          </w:p>
        </w:tc>
        <w:tc>
          <w:tcPr>
            <w:tcW w:type="dxa" w:w="5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Reduce portfolio complexity and cognitive load</w:t>
            </w:r>
          </w:p>
        </w:tc>
        <w:tc>
          <w:tcPr>
            <w:tcW w:type="dxa" w:w="3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Complexity Score reduction</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BO-7</w:t>
            </w:r>
          </w:p>
        </w:tc>
        <w:tc>
          <w:tcPr>
            <w:tcW w:type="dxa" w:w="5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Reduce unnecessary churn and transaction activity</w:t>
            </w:r>
          </w:p>
        </w:tc>
        <w:tc>
          <w:tcPr>
            <w:tcW w:type="dxa" w:w="3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Suppressed-recommendation ratio</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BO-8</w:t>
            </w:r>
          </w:p>
        </w:tc>
        <w:tc>
          <w:tcPr>
            <w:tcW w:type="dxa" w:w="5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Minimise tax-destructive recommendations</w:t>
            </w:r>
          </w:p>
        </w:tc>
        <w:tc>
          <w:tcPr>
            <w:tcW w:type="dxa" w:w="3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Tax-guardrail trigger rate</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BO-9</w:t>
            </w:r>
          </w:p>
        </w:tc>
        <w:tc>
          <w:tcPr>
            <w:tcW w:type="dxa" w:w="5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Provide trustworthy, explainable AI insights</w:t>
            </w:r>
          </w:p>
        </w:tc>
        <w:tc>
          <w:tcPr>
            <w:tcW w:type="dxa" w:w="3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Explanation clarity rating</w:t>
            </w:r>
          </w:p>
        </w:tc>
      </w:tr>
    </w:tbl>
    <w:p>
      <w:pPr>
        <w:pStyle w:val="Heading3"/>
      </w:pPr>
      <w:r>
        <w:rPr>
          <w:rFonts w:ascii="Arial" w:cs="Arial" w:eastAsia="Arial" w:hAnsi="Arial"/>
          <w:b/>
          <w:bCs/>
        </w:rPr>
        <w:t xml:space="preserve">3.3 Strategic Rationale</w:t>
      </w:r>
    </w:p>
    <w:p>
      <w:pPr>
        <w:spacing w:after="120" w:line="276"/>
      </w:pPr>
      <w:r>
        <w:rPr>
          <w:rFonts w:ascii="Arial" w:cs="Arial" w:eastAsia="Arial" w:hAnsi="Arial"/>
        </w:rPr>
        <w:t xml:space="preserve">The Indian retail investor base has expanded rapidly, but most investors hold fragmented, overlapping portfolios assembled through ad-hoc decisions. They lack a portfolio-level view and a disciplined process for rebalancing. Nivesh addresses this structural gap with an analytics-first, advice-adjacent product that is defensible, transparent, and built to scale to millions of portfolios without proportional headcount growth.</w:t>
      </w:r>
    </w:p>
    <w:p>
      <w:r>
        <w:br w:type="page"/>
      </w:r>
    </w:p>
    <w:p>
      <w:pPr>
        <w:pStyle w:val="Heading1"/>
      </w:pPr>
      <w:r>
        <w:rPr>
          <w:rFonts w:ascii="Arial" w:cs="Arial" w:eastAsia="Arial" w:hAnsi="Arial"/>
          <w:b/>
          <w:bCs/>
        </w:rPr>
        <w:t xml:space="preserve">4. Success Metrics &amp; Key Results</w:t>
      </w:r>
    </w:p>
    <w:p>
      <w:pPr>
        <w:spacing w:after="120" w:line="276"/>
      </w:pPr>
      <w:r>
        <w:rPr>
          <w:rFonts w:ascii="Arial" w:cs="Arial" w:eastAsia="Arial" w:hAnsi="Arial"/>
        </w:rPr>
        <w:t xml:space="preserve">Metrics are organised into four tiers. North-star and product metrics measure investor value; engine-quality metrics measure correctness; operational metrics measure reliability. Targets below are launch-phase targets and are revised quarterly.</w:t>
      </w:r>
    </w:p>
    <w:p>
      <w:pPr>
        <w:pStyle w:val="Heading3"/>
      </w:pPr>
      <w:r>
        <w:rPr>
          <w:rFonts w:ascii="Arial" w:cs="Arial" w:eastAsia="Arial" w:hAnsi="Arial"/>
          <w:b/>
          <w:bCs/>
        </w:rPr>
        <w:t xml:space="preserve">4.1 North-Star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North-star</w:t>
            </w:r>
          </w:p>
          <w:p>
            <w:pPr>
              <w:spacing w:after="120" w:line="276"/>
            </w:pPr>
            <w:r>
              <w:rPr>
                <w:rFonts w:ascii="Arial" w:cs="Arial" w:eastAsia="Arial" w:hAnsi="Arial"/>
                <w:b/>
                <w:bCs/>
              </w:rPr>
              <w:t xml:space="preserve">Net Goal Probability Uplift per Active Portfolio. </w:t>
            </w:r>
            <w:r>
              <w:rPr>
                <w:rFonts w:ascii="Arial" w:cs="Arial" w:eastAsia="Arial" w:hAnsi="Arial"/>
              </w:rPr>
              <w:t xml:space="preserve">The average increase in modelled Goal Success Probability across all portfolios that have accepted at least one recommendation, measured over a rolling 90-day window. This single metric captures whether Nivesh genuinely improves investor outcomes rather than merely generating activity.</w:t>
            </w:r>
          </w:p>
        </w:tc>
      </w:tr>
    </w:tbl>
    <w:p>
      <w:pPr>
        <w:pStyle w:val="Heading3"/>
      </w:pPr>
      <w:r>
        <w:rPr>
          <w:rFonts w:ascii="Arial" w:cs="Arial" w:eastAsia="Arial" w:hAnsi="Arial"/>
          <w:b/>
          <w:bCs/>
        </w:rPr>
        <w:t xml:space="preserve">4.2 Product &amp; 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Metric</w:t>
            </w:r>
          </w:p>
        </w:tc>
        <w:tc>
          <w:tcPr>
            <w:tcW w:type="dxa" w:w="4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Launch Target</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activation rate</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Share of onboarded users who complete a full portfolio import</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70%</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 acceptance rate</w:t>
            </w:r>
          </w:p>
        </w:tc>
        <w:tc>
          <w:tcPr>
            <w:tcW w:type="dxa" w:w="4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Share of surfaced recommendations marked accepted or actioned</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35%</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Explanation clarity rating</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Mean user rating of “I understood why” (1–5 scale)</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4.2</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30-day retention</w:t>
            </w:r>
          </w:p>
        </w:tc>
        <w:tc>
          <w:tcPr>
            <w:tcW w:type="dxa" w:w="4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Share of activated users returning within 30 days</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45%</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Time to first insight</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Median time from import completion to first recommendation shown</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90 seconds</w:t>
            </w:r>
          </w:p>
        </w:tc>
      </w:tr>
    </w:tbl>
    <w:p>
      <w:pPr>
        <w:spacing w:after="80"/>
      </w:pPr>
      <w:r>
        <w:rPr>
          <w:rFonts w:ascii="Arial" w:cs="Arial" w:eastAsia="Arial" w:hAnsi="Arial"/>
        </w:rPr>
        <w:t xml:space="preserve"/>
      </w:r>
    </w:p>
    <w:p>
      <w:pPr>
        <w:pStyle w:val="Heading3"/>
      </w:pPr>
      <w:r>
        <w:rPr>
          <w:rFonts w:ascii="Arial" w:cs="Arial" w:eastAsia="Arial" w:hAnsi="Arial"/>
          <w:b/>
          <w:bCs/>
        </w:rPr>
        <w:t xml:space="preserve">4.3 Engine-Quality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Metric</w:t>
            </w:r>
          </w:p>
        </w:tc>
        <w:tc>
          <w:tcPr>
            <w:tcW w:type="dxa" w:w="4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Launch Target</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Reproducibility</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Identical inputs producing identical recommendations</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100%</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Guardrail correctness</w:t>
            </w:r>
          </w:p>
        </w:tc>
        <w:tc>
          <w:tcPr>
            <w:tcW w:type="dxa" w:w="4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Tax/quality guardrails firing when and only when conditions hold</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99.5%</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Conflict-resolution coverage</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Multi-engine conflicts resolved by arbitration without manual review</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99%</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Simulation accuracy</w:t>
            </w:r>
          </w:p>
        </w:tc>
        <w:tc>
          <w:tcPr>
            <w:tcW w:type="dxa" w:w="4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 vs. realised metric delta within tolerance (see 13.4)</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90% within band</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False-recommendation rate</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Recommendations later judged incorrect on expert review</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2%</w:t>
            </w:r>
          </w:p>
        </w:tc>
      </w:tr>
    </w:tbl>
    <w:p>
      <w:pPr>
        <w:spacing w:after="80"/>
      </w:pPr>
      <w:r>
        <w:rPr>
          <w:rFonts w:ascii="Arial" w:cs="Arial" w:eastAsia="Arial" w:hAnsi="Arial"/>
        </w:rPr>
        <w:t xml:space="preserve"/>
      </w:r>
    </w:p>
    <w:p>
      <w:pPr>
        <w:pStyle w:val="Heading3"/>
      </w:pPr>
      <w:r>
        <w:rPr>
          <w:rFonts w:ascii="Arial" w:cs="Arial" w:eastAsia="Arial" w:hAnsi="Arial"/>
          <w:b/>
          <w:bCs/>
        </w:rPr>
        <w:t xml:space="preserve">4.4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Metric</w:t>
            </w:r>
          </w:p>
        </w:tc>
        <w:tc>
          <w:tcPr>
            <w:tcW w:type="dxa" w:w="4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Launch Target</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End-to-end pipeline latency</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Import-complete to packaged recommendations (p95)</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45 seconds</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Copilot response latency</w:t>
            </w:r>
          </w:p>
        </w:tc>
        <w:tc>
          <w:tcPr>
            <w:tcW w:type="dxa" w:w="4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User question to streamed answer start (p95)</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3 seconds</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Pipeline success rate</w:t>
            </w:r>
          </w:p>
        </w:tc>
        <w:tc>
          <w:tcPr>
            <w:tcW w:type="dxa" w:w="4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analyses completing without error</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99.5%</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freshness compliance</w:t>
            </w:r>
          </w:p>
        </w:tc>
        <w:tc>
          <w:tcPr>
            <w:tcW w:type="dxa" w:w="4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Analyses run on data within freshness SLA (Section 10.1)</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98%</w:t>
            </w:r>
          </w:p>
        </w:tc>
      </w:tr>
    </w:tbl>
    <w:p>
      <w:r>
        <w:br w:type="page"/>
      </w:r>
    </w:p>
    <w:p>
      <w:pPr>
        <w:pStyle w:val="Heading1"/>
      </w:pPr>
      <w:r>
        <w:rPr>
          <w:rFonts w:ascii="Arial" w:cs="Arial" w:eastAsia="Arial" w:hAnsi="Arial"/>
          <w:b/>
          <w:bCs/>
        </w:rPr>
        <w:t xml:space="preserve">5. Scope</w:t>
      </w:r>
    </w:p>
    <w:p>
      <w:pPr>
        <w:spacing w:after="120" w:line="276"/>
      </w:pPr>
      <w:r>
        <w:rPr>
          <w:rFonts w:ascii="Arial" w:cs="Arial" w:eastAsia="Arial" w:hAnsi="Arial"/>
        </w:rPr>
        <w:t xml:space="preserve">This section bounds the product. Anything not explicitly in scope is out of scope for the release covered by this PRD and must be raised as a change request.</w:t>
      </w:r>
    </w:p>
    <w:p>
      <w:pPr>
        <w:pStyle w:val="Heading3"/>
      </w:pPr>
      <w:r>
        <w:rPr>
          <w:rFonts w:ascii="Arial" w:cs="Arial" w:eastAsia="Arial" w:hAnsi="Arial"/>
          <w:b/>
          <w:bCs/>
        </w:rPr>
        <w:t xml:space="preserve">5.1 In Scope</w:t>
      </w:r>
    </w:p>
    <w:p>
      <w:pPr>
        <w:pStyle w:val="ListParagraph"/>
        <w:numPr>
          <w:ilvl w:val="0"/>
          <w:numId w:val="2"/>
        </w:numPr>
        <w:spacing w:after="60" w:line="276"/>
      </w:pPr>
      <w:r>
        <w:rPr>
          <w:rFonts w:ascii="Arial" w:cs="Arial" w:eastAsia="Arial" w:hAnsi="Arial"/>
        </w:rPr>
        <w:t xml:space="preserve">Aggregation of mutual fund and direct equity holdings via CAS statements, broker integrations, and manual entry.</w:t>
      </w:r>
    </w:p>
    <w:p>
      <w:pPr>
        <w:pStyle w:val="ListParagraph"/>
        <w:numPr>
          <w:ilvl w:val="0"/>
          <w:numId w:val="2"/>
        </w:numPr>
        <w:spacing w:after="60" w:line="276"/>
      </w:pPr>
      <w:r>
        <w:rPr>
          <w:rFonts w:ascii="Arial" w:cs="Arial" w:eastAsia="Arial" w:hAnsi="Arial"/>
        </w:rPr>
        <w:t xml:space="preserve">Holdings normalisation to a canonical instrument model (ISIN, category, AMC, sector, geography).</w:t>
      </w:r>
    </w:p>
    <w:p>
      <w:pPr>
        <w:pStyle w:val="ListParagraph"/>
        <w:numPr>
          <w:ilvl w:val="0"/>
          <w:numId w:val="2"/>
        </w:numPr>
        <w:spacing w:after="60" w:line="276"/>
      </w:pPr>
      <w:r>
        <w:rPr>
          <w:rFonts w:ascii="Arial" w:cs="Arial" w:eastAsia="Arial" w:hAnsi="Arial"/>
        </w:rPr>
        <w:t xml:space="preserve">Instrument-level scoring for mutual funds and stocks (quality, exit, switch, add).</w:t>
      </w:r>
    </w:p>
    <w:p>
      <w:pPr>
        <w:pStyle w:val="ListParagraph"/>
        <w:numPr>
          <w:ilvl w:val="0"/>
          <w:numId w:val="2"/>
        </w:numPr>
        <w:spacing w:after="60" w:line="276"/>
      </w:pPr>
      <w:r>
        <w:rPr>
          <w:rFonts w:ascii="Arial" w:cs="Arial" w:eastAsia="Arial" w:hAnsi="Arial"/>
        </w:rPr>
        <w:t xml:space="preserve">Portfolio-level analytics: diversification, concentration, overlap, correlation, factor exposure.</w:t>
      </w:r>
    </w:p>
    <w:p>
      <w:pPr>
        <w:pStyle w:val="ListParagraph"/>
        <w:numPr>
          <w:ilvl w:val="0"/>
          <w:numId w:val="2"/>
        </w:numPr>
        <w:spacing w:after="60" w:line="276"/>
      </w:pPr>
      <w:r>
        <w:rPr>
          <w:rFonts w:ascii="Arial" w:cs="Arial" w:eastAsia="Arial" w:hAnsi="Arial"/>
        </w:rPr>
        <w:t xml:space="preserve">Goal and risk alignment evaluation against user-declared goals and risk profile.</w:t>
      </w:r>
    </w:p>
    <w:p>
      <w:pPr>
        <w:pStyle w:val="ListParagraph"/>
        <w:numPr>
          <w:ilvl w:val="0"/>
          <w:numId w:val="2"/>
        </w:numPr>
        <w:spacing w:after="60" w:line="276"/>
      </w:pPr>
      <w:r>
        <w:rPr>
          <w:rFonts w:ascii="Arial" w:cs="Arial" w:eastAsia="Arial" w:hAnsi="Arial"/>
        </w:rPr>
        <w:t xml:space="preserve">Recommendation arbitration, prioritisation, and impact simulation.</w:t>
      </w:r>
    </w:p>
    <w:p>
      <w:pPr>
        <w:pStyle w:val="ListParagraph"/>
        <w:numPr>
          <w:ilvl w:val="0"/>
          <w:numId w:val="2"/>
        </w:numPr>
        <w:spacing w:after="60" w:line="276"/>
      </w:pPr>
      <w:r>
        <w:rPr>
          <w:rFonts w:ascii="Arial" w:cs="Arial" w:eastAsia="Arial" w:hAnsi="Arial"/>
        </w:rPr>
        <w:t xml:space="preserve">A conversational copilot that explains — but never originates — recommendations.</w:t>
      </w:r>
    </w:p>
    <w:p>
      <w:pPr>
        <w:pStyle w:val="ListParagraph"/>
        <w:numPr>
          <w:ilvl w:val="0"/>
          <w:numId w:val="2"/>
        </w:numPr>
        <w:spacing w:after="60" w:line="276"/>
      </w:pPr>
      <w:r>
        <w:rPr>
          <w:rFonts w:ascii="Arial" w:cs="Arial" w:eastAsia="Arial" w:hAnsi="Arial"/>
        </w:rPr>
        <w:t xml:space="preserve">An auditable recommendation trace for every action surfaced to a user.</w:t>
      </w:r>
    </w:p>
    <w:p>
      <w:pPr>
        <w:pStyle w:val="Heading3"/>
      </w:pPr>
      <w:r>
        <w:rPr>
          <w:rFonts w:ascii="Arial" w:cs="Arial" w:eastAsia="Arial" w:hAnsi="Arial"/>
          <w:b/>
          <w:bCs/>
        </w:rPr>
        <w:t xml:space="preserve">5.2 Out of Scope</w:t>
      </w:r>
    </w:p>
    <w:p>
      <w:pPr>
        <w:pStyle w:val="ListParagraph"/>
        <w:numPr>
          <w:ilvl w:val="0"/>
          <w:numId w:val="2"/>
        </w:numPr>
        <w:spacing w:after="60" w:line="276"/>
      </w:pPr>
      <w:r>
        <w:rPr>
          <w:rFonts w:ascii="Arial" w:cs="Arial" w:eastAsia="Arial" w:hAnsi="Arial"/>
          <w:b/>
          <w:bCs/>
        </w:rPr>
        <w:t xml:space="preserve">Trade execution and custody. </w:t>
      </w:r>
      <w:r>
        <w:rPr>
          <w:rFonts w:ascii="Arial" w:cs="Arial" w:eastAsia="Arial" w:hAnsi="Arial"/>
        </w:rPr>
        <w:t xml:space="preserve">Nivesh does not place orders, hold assets, or move money.</w:t>
      </w:r>
    </w:p>
    <w:p>
      <w:pPr>
        <w:pStyle w:val="ListParagraph"/>
        <w:numPr>
          <w:ilvl w:val="0"/>
          <w:numId w:val="2"/>
        </w:numPr>
        <w:spacing w:after="60" w:line="276"/>
      </w:pPr>
      <w:r>
        <w:rPr>
          <w:rFonts w:ascii="Arial" w:cs="Arial" w:eastAsia="Arial" w:hAnsi="Arial"/>
          <w:b/>
          <w:bCs/>
        </w:rPr>
        <w:t xml:space="preserve">Personalised regulated investment advice. </w:t>
      </w:r>
      <w:r>
        <w:rPr>
          <w:rFonts w:ascii="Arial" w:cs="Arial" w:eastAsia="Arial" w:hAnsi="Arial"/>
        </w:rPr>
        <w:t xml:space="preserve">Output is positioned as analysis and education; see Section 14.</w:t>
      </w:r>
    </w:p>
    <w:p>
      <w:pPr>
        <w:pStyle w:val="ListParagraph"/>
        <w:numPr>
          <w:ilvl w:val="0"/>
          <w:numId w:val="2"/>
        </w:numPr>
        <w:spacing w:after="60" w:line="276"/>
      </w:pPr>
      <w:r>
        <w:rPr>
          <w:rFonts w:ascii="Arial" w:cs="Arial" w:eastAsia="Arial" w:hAnsi="Arial"/>
          <w:b/>
          <w:bCs/>
        </w:rPr>
        <w:t xml:space="preserve">Non-listed and alternative assets. </w:t>
      </w:r>
      <w:r>
        <w:rPr>
          <w:rFonts w:ascii="Arial" w:cs="Arial" w:eastAsia="Arial" w:hAnsi="Arial"/>
        </w:rPr>
        <w:t xml:space="preserve">Real estate, private equity, unlisted shares, crypto, and physical gold are excluded from the initial release.</w:t>
      </w:r>
    </w:p>
    <w:p>
      <w:pPr>
        <w:pStyle w:val="ListParagraph"/>
        <w:numPr>
          <w:ilvl w:val="0"/>
          <w:numId w:val="2"/>
        </w:numPr>
        <w:spacing w:after="60" w:line="276"/>
      </w:pPr>
      <w:r>
        <w:rPr>
          <w:rFonts w:ascii="Arial" w:cs="Arial" w:eastAsia="Arial" w:hAnsi="Arial"/>
          <w:b/>
          <w:bCs/>
        </w:rPr>
        <w:t xml:space="preserve">Insurance, loans, and banking products. </w:t>
      </w:r>
      <w:r>
        <w:rPr>
          <w:rFonts w:ascii="Arial" w:cs="Arial" w:eastAsia="Arial" w:hAnsi="Arial"/>
        </w:rPr>
        <w:t xml:space="preserve">Out of scope for portfolio intelligence at launch.</w:t>
      </w:r>
    </w:p>
    <w:p>
      <w:pPr>
        <w:pStyle w:val="ListParagraph"/>
        <w:numPr>
          <w:ilvl w:val="0"/>
          <w:numId w:val="2"/>
        </w:numPr>
        <w:spacing w:after="60" w:line="276"/>
      </w:pPr>
      <w:r>
        <w:rPr>
          <w:rFonts w:ascii="Arial" w:cs="Arial" w:eastAsia="Arial" w:hAnsi="Arial"/>
          <w:b/>
          <w:bCs/>
        </w:rPr>
        <w:t xml:space="preserve">Tax filing and tax-return preparation. </w:t>
      </w:r>
      <w:r>
        <w:rPr>
          <w:rFonts w:ascii="Arial" w:cs="Arial" w:eastAsia="Arial" w:hAnsi="Arial"/>
        </w:rPr>
        <w:t xml:space="preserve">Nivesh models tax impact of recommendations but does not file returns.</w:t>
      </w:r>
    </w:p>
    <w:p>
      <w:pPr>
        <w:pStyle w:val="ListParagraph"/>
        <w:numPr>
          <w:ilvl w:val="0"/>
          <w:numId w:val="2"/>
        </w:numPr>
        <w:spacing w:after="60" w:line="276"/>
      </w:pPr>
      <w:r>
        <w:rPr>
          <w:rFonts w:ascii="Arial" w:cs="Arial" w:eastAsia="Arial" w:hAnsi="Arial"/>
          <w:b/>
          <w:bCs/>
        </w:rPr>
        <w:t xml:space="preserve">Intraday trading signals and derivatives analytics. </w:t>
      </w:r>
      <w:r>
        <w:rPr>
          <w:rFonts w:ascii="Arial" w:cs="Arial" w:eastAsia="Arial" w:hAnsi="Arial"/>
        </w:rPr>
        <w:t xml:space="preserve">Technical overlays are contextual only.</w:t>
      </w:r>
    </w:p>
    <w:p>
      <w:pPr>
        <w:pStyle w:val="Heading3"/>
      </w:pPr>
      <w:r>
        <w:rPr>
          <w:rFonts w:ascii="Arial" w:cs="Arial" w:eastAsia="Arial" w:hAnsi="Arial"/>
          <w:b/>
          <w:bCs/>
        </w:rPr>
        <w:t xml:space="preserve">5.3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8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Assumption</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AS-1</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Investors can supply a CAS statement or connect a broker account covering the majority of their holdings.</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AS-2</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NAV, price, and fundamentals data feeds are available at the freshness levels required in Section 10.1.</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AS-3</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Investors declare goals and complete a risk-profiling questionnaire during onboarding.</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AS-4</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platform operates in a single regulatory jurisdiction at launch (India).</w:t>
            </w:r>
          </w:p>
        </w:tc>
      </w:tr>
    </w:tbl>
    <w:p>
      <w:pPr>
        <w:spacing w:after="80"/>
      </w:pPr>
      <w:r>
        <w:rPr>
          <w:rFonts w:ascii="Arial" w:cs="Arial" w:eastAsia="Arial" w:hAnsi="Arial"/>
        </w:rPr>
        <w:t xml:space="preserve"/>
      </w:r>
    </w:p>
    <w:p>
      <w:pPr>
        <w:pStyle w:val="Heading3"/>
      </w:pPr>
      <w:r>
        <w:rPr>
          <w:rFonts w:ascii="Arial" w:cs="Arial" w:eastAsia="Arial" w:hAnsi="Arial"/>
          <w:b/>
          <w:bCs/>
        </w:rPr>
        <w:t xml:space="preserve">5.4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60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Dependency</w:t>
            </w:r>
          </w:p>
        </w:tc>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Type</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DP-1</w:t>
            </w:r>
          </w:p>
        </w:tc>
        <w:tc>
          <w:tcPr>
            <w:tcW w:type="dxa" w:w="6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CAS statement provider and broker API integrations</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External data</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DP-2</w:t>
            </w:r>
          </w:p>
        </w:tc>
        <w:tc>
          <w:tcPr>
            <w:tcW w:type="dxa" w:w="6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Market data vendor for NAV, prices, and fundamentals</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External data</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DP-3</w:t>
            </w:r>
          </w:p>
        </w:tc>
        <w:tc>
          <w:tcPr>
            <w:tcW w:type="dxa" w:w="6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Fund holdings disclosure feed for overlap computation</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External data</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DP-4</w:t>
            </w:r>
          </w:p>
        </w:tc>
        <w:tc>
          <w:tcPr>
            <w:tcW w:type="dxa" w:w="6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LLM provider for the explanation layer</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External service</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DP-5</w:t>
            </w:r>
          </w:p>
        </w:tc>
        <w:tc>
          <w:tcPr>
            <w:tcW w:type="dxa" w:w="6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Compliance sign-off on advisory-boundary positioning</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Internal</w:t>
            </w:r>
          </w:p>
        </w:tc>
      </w:tr>
    </w:tbl>
    <w:p>
      <w:r>
        <w:br w:type="page"/>
      </w:r>
    </w:p>
    <w:p>
      <w:pPr>
        <w:pStyle w:val="Heading1"/>
      </w:pPr>
      <w:r>
        <w:rPr>
          <w:rFonts w:ascii="Arial" w:cs="Arial" w:eastAsia="Arial" w:hAnsi="Arial"/>
          <w:b/>
          <w:bCs/>
        </w:rPr>
        <w:t xml:space="preserve">6. User Personas</w:t>
      </w:r>
    </w:p>
    <w:p>
      <w:pPr>
        <w:spacing w:after="120" w:line="276"/>
      </w:pPr>
      <w:r>
        <w:rPr>
          <w:rFonts w:ascii="Arial" w:cs="Arial" w:eastAsia="Arial" w:hAnsi="Arial"/>
        </w:rPr>
        <w:t xml:space="preserve">Three primary personas frame the product requirements. Each persona’s goals, frustrations, and success criteria are used to validate features in Section 7.</w:t>
      </w:r>
    </w:p>
    <w:p>
      <w:pPr>
        <w:pStyle w:val="Heading3"/>
      </w:pPr>
      <w:r>
        <w:rPr>
          <w:rFonts w:ascii="Arial" w:cs="Arial" w:eastAsia="Arial" w:hAnsi="Arial"/>
          <w:b/>
          <w:bCs/>
        </w:rPr>
        <w:t xml:space="preserve">6.1 Persona A — The Accumulator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Detail</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Profile</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Salaried professional, 28–40, investing monthly via SIPs for 8–10 years.</w:t>
            </w:r>
          </w:p>
        </w:tc>
      </w:tr>
      <w:tr>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w:t>
            </w:r>
          </w:p>
        </w:tc>
        <w:tc>
          <w:tcPr>
            <w:tcW w:type="dxa" w:w="7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6–12 mutual funds added over time; significant overlap; little structure.</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Goals</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Long-horizon wealth creation; one or two medium-term goals.</w:t>
            </w:r>
          </w:p>
        </w:tc>
      </w:tr>
      <w:tr>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Frustration</w:t>
            </w:r>
          </w:p>
        </w:tc>
        <w:tc>
          <w:tcPr>
            <w:tcW w:type="dxa" w:w="7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 keep adding funds but have no idea if my portfolio actually makes sense.”</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Success for them</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clear verdict on redundancy and a short, prioritised cleanup plan.</w:t>
            </w:r>
          </w:p>
        </w:tc>
      </w:tr>
    </w:tbl>
    <w:p>
      <w:pPr>
        <w:spacing w:after="80"/>
      </w:pPr>
      <w:r>
        <w:rPr>
          <w:rFonts w:ascii="Arial" w:cs="Arial" w:eastAsia="Arial" w:hAnsi="Arial"/>
        </w:rPr>
        <w:t xml:space="preserve"/>
      </w:r>
    </w:p>
    <w:p>
      <w:pPr>
        <w:pStyle w:val="Heading3"/>
      </w:pPr>
      <w:r>
        <w:rPr>
          <w:rFonts w:ascii="Arial" w:cs="Arial" w:eastAsia="Arial" w:hAnsi="Arial"/>
          <w:b/>
          <w:bCs/>
        </w:rPr>
        <w:t xml:space="preserve">6.2 Persona B — The Goal-Driven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Detail</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Profile</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35–50, financially literate, manages goals for family (education, retirement).</w:t>
            </w:r>
          </w:p>
        </w:tc>
      </w:tr>
      <w:tr>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w:t>
            </w:r>
          </w:p>
        </w:tc>
        <w:tc>
          <w:tcPr>
            <w:tcW w:type="dxa" w:w="7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Mixed mutual funds and direct equity; conscious of asset allocation.</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Goals</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Multiple goals with explicit horizons and target amounts.</w:t>
            </w:r>
          </w:p>
        </w:tc>
      </w:tr>
      <w:tr>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Frustration</w:t>
            </w:r>
          </w:p>
        </w:tc>
        <w:tc>
          <w:tcPr>
            <w:tcW w:type="dxa" w:w="7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“Am I on track for each goal, and what should I change if I’m not?”</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Success for them</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Per-goal probability, allocation drift alerts, and horizon-aware rebalancing.</w:t>
            </w:r>
          </w:p>
        </w:tc>
      </w:tr>
    </w:tbl>
    <w:p>
      <w:pPr>
        <w:spacing w:after="80"/>
      </w:pPr>
      <w:r>
        <w:rPr>
          <w:rFonts w:ascii="Arial" w:cs="Arial" w:eastAsia="Arial" w:hAnsi="Arial"/>
        </w:rPr>
        <w:t xml:space="preserve"/>
      </w:r>
    </w:p>
    <w:p>
      <w:pPr>
        <w:pStyle w:val="Heading3"/>
      </w:pPr>
      <w:r>
        <w:rPr>
          <w:rFonts w:ascii="Arial" w:cs="Arial" w:eastAsia="Arial" w:hAnsi="Arial"/>
          <w:b/>
          <w:bCs/>
        </w:rPr>
        <w:t xml:space="preserve">6.3 Persona C — The Self-Directed Equity Investor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Detail</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Profile</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30–55, active in direct equities, higher risk appetite.</w:t>
            </w:r>
          </w:p>
        </w:tc>
      </w:tr>
      <w:tr>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w:t>
            </w:r>
          </w:p>
        </w:tc>
        <w:tc>
          <w:tcPr>
            <w:tcW w:type="dxa" w:w="7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Concentrated stock positions plus a few funds; sector tilts.</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Goals</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Growth-focused; tolerant of volatility but blind to concentration risk.</w:t>
            </w:r>
          </w:p>
        </w:tc>
      </w:tr>
      <w:tr>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Frustration</w:t>
            </w:r>
          </w:p>
        </w:tc>
        <w:tc>
          <w:tcPr>
            <w:tcW w:type="dxa" w:w="7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 pick stocks well, but I can’t see my real risk and overlap exposure.”</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Success for them</w:t>
            </w:r>
          </w:p>
        </w:tc>
        <w:tc>
          <w:tcPr>
            <w:tcW w:type="dxa" w:w="7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Concentration and correlation diagnostics, quality deterioration alerts.</w:t>
            </w:r>
          </w:p>
        </w:tc>
      </w:tr>
    </w:tbl>
    <w:p>
      <w:pPr>
        <w:pStyle w:val="Heading3"/>
      </w:pPr>
      <w:r>
        <w:rPr>
          <w:rFonts w:ascii="Arial" w:cs="Arial" w:eastAsia="Arial" w:hAnsi="Arial"/>
          <w:b/>
          <w:bCs/>
        </w:rPr>
        <w:t xml:space="preserve">6.4 Persona-to-Capability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Capability</w:t>
            </w:r>
          </w:p>
        </w:tc>
        <w:tc>
          <w:tcPr>
            <w:tcW w:type="dxa" w:w="2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Accumulator</w:t>
            </w:r>
          </w:p>
        </w:tc>
        <w:tc>
          <w:tcPr>
            <w:tcW w:type="dxa" w:w="2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Planner</w:t>
            </w:r>
          </w:p>
        </w:tc>
        <w:tc>
          <w:tcPr>
            <w:tcW w:type="dxa" w:w="2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Equity Investor</w:t>
            </w:r>
          </w:p>
        </w:tc>
      </w:tr>
      <w:tr>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&amp; consolidation</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Critical</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r>
      <w:tr>
        <w:tc>
          <w:tcPr>
            <w:tcW w:type="dxa" w:w="3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&amp; risk alignment</w:t>
            </w:r>
          </w:p>
        </w:tc>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Critical</w:t>
            </w:r>
          </w:p>
        </w:tc>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r>
      <w:tr>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Concentration &amp; correlation</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Critical</w:t>
            </w:r>
          </w:p>
        </w:tc>
      </w:tr>
      <w:tr>
        <w:tc>
          <w:tcPr>
            <w:tcW w:type="dxa" w:w="3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Tax-aware guardrails</w:t>
            </w:r>
          </w:p>
        </w:tc>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r>
      <w:tr>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Impact simulation</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Critical</w:t>
            </w:r>
          </w:p>
        </w:tc>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r>
    </w:tbl>
    <w:p>
      <w:r>
        <w:br w:type="page"/>
      </w:r>
    </w:p>
    <w:p>
      <w:pPr>
        <w:pStyle w:val="Heading1"/>
      </w:pPr>
      <w:r>
        <w:rPr>
          <w:rFonts w:ascii="Arial" w:cs="Arial" w:eastAsia="Arial" w:hAnsi="Arial"/>
          <w:b/>
          <w:bCs/>
        </w:rPr>
        <w:t xml:space="preserve">7. Functional Requirements</w:t>
      </w:r>
    </w:p>
    <w:p>
      <w:pPr>
        <w:spacing w:after="120" w:line="276"/>
      </w:pPr>
      <w:r>
        <w:rPr>
          <w:rFonts w:ascii="Arial" w:cs="Arial" w:eastAsia="Arial" w:hAnsi="Arial"/>
        </w:rPr>
        <w:t xml:space="preserve">Requirements use stable identifiers (FR-x) so they can be traced through design, build, and test. Priority follows the MoSCoW convention: Must (required for launch), Should (high value, deferrable), Could (desirable), Won’t (explicitly excluded this release). Every Must requirement has acceptance criteria.</w:t>
      </w:r>
    </w:p>
    <w:p>
      <w:pPr>
        <w:pStyle w:val="Heading3"/>
      </w:pPr>
      <w:r>
        <w:rPr>
          <w:rFonts w:ascii="Arial" w:cs="Arial" w:eastAsia="Arial" w:hAnsi="Arial"/>
          <w:b/>
          <w:bCs/>
        </w:rPr>
        <w:t xml:space="preserve">7.1 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Priority</w:t>
            </w:r>
          </w:p>
        </w:tc>
        <w:tc>
          <w:tcPr>
            <w:tcW w:type="dxa" w:w="76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Meaning</w:t>
            </w:r>
          </w:p>
        </w:tc>
      </w:tr>
      <w:tr>
        <w:tc>
          <w:tcPr>
            <w:tcW w:type="dxa" w:w="1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c>
          <w:tcPr>
            <w:tcW w:type="dxa" w:w="7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Launch is not viable without this. Non-negotiable for release scope.</w:t>
            </w:r>
          </w:p>
        </w:tc>
      </w:tr>
      <w:tr>
        <w:tc>
          <w:tcPr>
            <w:tcW w:type="dxa" w:w="1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c>
          <w:tcPr>
            <w:tcW w:type="dxa" w:w="7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Important and expected, but launch can proceed without it if necessary.</w:t>
            </w:r>
          </w:p>
        </w:tc>
      </w:tr>
      <w:tr>
        <w:tc>
          <w:tcPr>
            <w:tcW w:type="dxa" w:w="1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Could</w:t>
            </w:r>
          </w:p>
        </w:tc>
        <w:tc>
          <w:tcPr>
            <w:tcW w:type="dxa" w:w="7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Valuable enhancement; included only if capacity allows.</w:t>
            </w:r>
          </w:p>
        </w:tc>
      </w:tr>
      <w:tr>
        <w:tc>
          <w:tcPr>
            <w:tcW w:type="dxa" w:w="1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Won’t</w:t>
            </w:r>
          </w:p>
        </w:tc>
        <w:tc>
          <w:tcPr>
            <w:tcW w:type="dxa" w:w="7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Acknowledged but explicitly excluded from this release.</w:t>
            </w:r>
          </w:p>
        </w:tc>
      </w:tr>
    </w:tbl>
    <w:p>
      <w:pPr>
        <w:pStyle w:val="Heading3"/>
      </w:pPr>
      <w:r>
        <w:rPr>
          <w:rFonts w:ascii="Arial" w:cs="Arial" w:eastAsia="Arial" w:hAnsi="Arial"/>
          <w:b/>
          <w:bCs/>
        </w:rPr>
        <w:t xml:space="preserve">7.2 Data Ingestion &amp;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Priority</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Import holdings from a CAS statement (PDF) and parse mutual fund folios.</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Import holdings via supported broker API integrations.</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Allow manual entry and editing of individual holdings.</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FR-4</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Normalise every holding to the canonical instrument model (ISIN, category, AMC, sector, geography).</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FR-5</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Detect and report holdings coverage; flag portfolios below the coverage threshold.</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FR-6</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De-duplicate holdings appearing across multiple sources into a single position.</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FR-7</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Support incremental re-import that updates positions without losing user annotations.</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bl>
    <w:p>
      <w:pPr>
        <w:spacing w:after="80"/>
      </w:pPr>
      <w:r>
        <w:rPr>
          <w:rFonts w:ascii="Arial" w:cs="Arial" w:eastAsia="Arial" w:hAnsi="Arial"/>
        </w:rPr>
        <w:t xml:space="preserve"/>
      </w:r>
    </w:p>
    <w:p>
      <w:pPr>
        <w:pStyle w:val="Heading3"/>
      </w:pPr>
      <w:r>
        <w:rPr>
          <w:rFonts w:ascii="Arial" w:cs="Arial" w:eastAsia="Arial" w:hAnsi="Arial"/>
          <w:b/>
          <w:bCs/>
        </w:rPr>
        <w:t xml:space="preserve">7.3 Instrument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Priority</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FR-8</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mutual fund Exit, Switch, and Add scores per the rule book (Section 10.8).</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FR-9</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mutual fund Quality subscore from its six weighted components.</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FR-10</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stock Quality, Exit, and Add scores per the rule book (Section 10.9).</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FR-11</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Apply all instrument-level guardrails before a score becomes a recommendation.</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FR-12</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Expose technical and valuation overlays as tactical context, never as triggers.</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bl>
    <w:p>
      <w:pPr>
        <w:spacing w:after="80"/>
      </w:pPr>
      <w:r>
        <w:rPr>
          <w:rFonts w:ascii="Arial" w:cs="Arial" w:eastAsia="Arial" w:hAnsi="Arial"/>
        </w:rPr>
        <w:t xml:space="preserve"/>
      </w:r>
    </w:p>
    <w:p>
      <w:pPr>
        <w:pStyle w:val="Heading3"/>
      </w:pPr>
      <w:r>
        <w:rPr>
          <w:rFonts w:ascii="Arial" w:cs="Arial" w:eastAsia="Arial" w:hAnsi="Arial"/>
          <w:b/>
          <w:bCs/>
        </w:rPr>
        <w:t xml:space="preserve">7.4 Portfolio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Priority</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FR-13</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diversification, concentration, and complexity scores for the portfolio.</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FR-14</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a pairwise holdings overlap matrix and flag consolidation candidates.</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FR-15</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a rolling correlation matrix and flag behaviourally redundant pairs.</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FR-16</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AMC, sector, and factor concentration exposures.</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FR-17</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effective number of holdings (inverse Herfindahl).</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bl>
    <w:p>
      <w:pPr>
        <w:spacing w:after="80"/>
      </w:pPr>
      <w:r>
        <w:rPr>
          <w:rFonts w:ascii="Arial" w:cs="Arial" w:eastAsia="Arial" w:hAnsi="Arial"/>
        </w:rPr>
        <w:t xml:space="preserve"/>
      </w:r>
    </w:p>
    <w:p>
      <w:pPr>
        <w:pStyle w:val="Heading3"/>
      </w:pPr>
      <w:r>
        <w:rPr>
          <w:rFonts w:ascii="Arial" w:cs="Arial" w:eastAsia="Arial" w:hAnsi="Arial"/>
          <w:b/>
          <w:bCs/>
        </w:rPr>
        <w:t xml:space="preserve">7.5 Goal &amp; Risk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Priority</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FR-18</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Evaluate each goal against horizon-based target equity allocation.</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FR-19</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Goal Alignment Score and Goal Success Probability per goal.</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FR-20</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Evaluate portfolio volatility against the investor’s risk capacity.</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FR-21</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Detect allocation drift from target and surface rebalancing actions.</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FR-22</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Apply glide-path adjustments as a retirement goal approaches.</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bl>
    <w:p>
      <w:pPr>
        <w:spacing w:after="80"/>
      </w:pPr>
      <w:r>
        <w:rPr>
          <w:rFonts w:ascii="Arial" w:cs="Arial" w:eastAsia="Arial" w:hAnsi="Arial"/>
        </w:rPr>
        <w:t xml:space="preserve"/>
      </w:r>
    </w:p>
    <w:p>
      <w:pPr>
        <w:pStyle w:val="Heading3"/>
      </w:pPr>
      <w:r>
        <w:rPr>
          <w:rFonts w:ascii="Arial" w:cs="Arial" w:eastAsia="Arial" w:hAnsi="Arial"/>
          <w:b/>
          <w:bCs/>
        </w:rPr>
        <w:t xml:space="preserve">7.6 Arbitration, Simulation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Priority</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FR-23</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Merge engine outputs and resolve conflicts via the Arbitration Engine.</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FR-24</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low-confidence and marginal-benefit recommendations.</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FR-25</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Simulate before/after portfolio state for every surfaced recommendation.</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FR-26</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Rank surviving recommendations using the priority formula (Section 10.11).</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FR-27</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Package each recommendation into the standard recommendation object (Section 9).</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FR-28</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Persist a complete, immutable recommendation trace for audit.</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FR-29</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Generate a natural-language explanation for every recommendation via the LLM layer.</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bl>
    <w:p>
      <w:pPr>
        <w:spacing w:after="80"/>
      </w:pPr>
      <w:r>
        <w:rPr>
          <w:rFonts w:ascii="Arial" w:cs="Arial" w:eastAsia="Arial" w:hAnsi="Arial"/>
        </w:rPr>
        <w:t xml:space="preserve"/>
      </w:r>
    </w:p>
    <w:p>
      <w:pPr>
        <w:pStyle w:val="Heading3"/>
      </w:pPr>
      <w:r>
        <w:rPr>
          <w:rFonts w:ascii="Arial" w:cs="Arial" w:eastAsia="Arial" w:hAnsi="Arial"/>
          <w:b/>
          <w:bCs/>
        </w:rPr>
        <w:t xml:space="preserve">7.7 Copilot &amp;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c>
          <w:tcPr>
            <w:tcW w:type="dxa" w:w="1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Priority</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FR-30</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Answer investor questions about their portfolio using only engine-produced facts.</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FR-31</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For every recommendation, the copilot answers: why, what improves, trade-offs, confidence, tax impact.</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FR-32</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Prevent the copilot from inventing, altering, or contradicting a recommendation.</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FR-33</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Let users accept, dismiss, or snooze recommendations and record the outcome.</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r>
        <w:tc>
          <w:tcPr>
            <w:tcW w:type="dxa" w:w="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FR-34</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Present a portfolio dashboard with scores, drift, and the prioritised action list.</w:t>
            </w:r>
          </w:p>
        </w:tc>
        <w:tc>
          <w:tcPr>
            <w:tcW w:type="dxa" w:w="1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w:t>
            </w:r>
          </w:p>
        </w:tc>
      </w:tr>
      <w:tr>
        <w:tc>
          <w:tcPr>
            <w:tcW w:type="dxa" w:w="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FR-35</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Allow users to compare current vs. simulated portfolio side by side.</w:t>
            </w:r>
          </w:p>
        </w:tc>
        <w:tc>
          <w:tcPr>
            <w:tcW w:type="dxa" w:w="1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Should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Traceability</w:t>
            </w:r>
          </w:p>
          <w:p>
            <w:pPr>
              <w:spacing w:after="120" w:line="276"/>
            </w:pPr>
            <w:r>
              <w:rPr>
                <w:rFonts w:ascii="Arial" w:cs="Arial" w:eastAsia="Arial" w:hAnsi="Arial"/>
              </w:rPr>
              <w:t xml:space="preserve">Each requirement above must be linked to at least one test case in Section 16 and, where applicable, to an engine rule in Section 10. The QA team maintains the requirement-to-test traceability matrix as a living artefact alongside this PRD.</w:t>
            </w:r>
          </w:p>
        </w:tc>
      </w:tr>
    </w:tbl>
    <w:p>
      <w:r>
        <w:br w:type="page"/>
      </w:r>
    </w:p>
    <w:p>
      <w:pPr>
        <w:pStyle w:val="Heading1"/>
      </w:pPr>
      <w:r>
        <w:rPr>
          <w:rFonts w:ascii="Arial" w:cs="Arial" w:eastAsia="Arial" w:hAnsi="Arial"/>
          <w:b/>
          <w:bCs/>
        </w:rPr>
        <w:t xml:space="preserve">8. Architecture Gaps &amp; Resolutions</w:t>
      </w:r>
    </w:p>
    <w:p>
      <w:pPr>
        <w:spacing w:after="120" w:line="276"/>
      </w:pPr>
      <w:r>
        <w:rPr>
          <w:rFonts w:ascii="Arial" w:cs="Arial" w:eastAsia="Arial" w:hAnsi="Arial"/>
        </w:rPr>
        <w:t xml:space="preserve">Four structural gaps in the current system block the move from an instrument-centric tool to a portfolio-state-centric platform. Each gap, its concrete impact, and its committed resolution are described below. Resolutions are realised by the engines specified in Section 10.</w:t>
      </w:r>
    </w:p>
    <w:p>
      <w:pPr>
        <w:pStyle w:val="Heading3"/>
      </w:pPr>
      <w:r>
        <w:rPr>
          <w:rFonts w:ascii="Arial" w:cs="Arial" w:eastAsia="Arial" w:hAnsi="Arial"/>
          <w:b/>
          <w:bCs/>
        </w:rPr>
        <w:t xml:space="preserve">8.1 Gap 1 — No Recommendation Arbitration Layer</w:t>
      </w:r>
    </w:p>
    <w:p>
      <w:pPr>
        <w:spacing w:after="120" w:line="276"/>
      </w:pPr>
      <w:r>
        <w:rPr>
          <w:rFonts w:ascii="Arial" w:cs="Arial" w:eastAsia="Arial" w:hAnsi="Arial"/>
          <w:b/>
          <w:bCs/>
        </w:rPr>
        <w:t xml:space="preserve">Problem. </w:t>
      </w:r>
      <w:r>
        <w:rPr>
          <w:rFonts w:ascii="Arial" w:cs="Arial" w:eastAsia="Arial" w:hAnsi="Arial"/>
        </w:rPr>
        <w:t xml:space="preserve">Independent engines can emit contradictory recommendations for the same holding. Without an arbitration layer the user sees conflicting advice and loses trust.</w:t>
      </w:r>
    </w:p>
    <w:p>
      <w:pPr>
        <w:spacing w:after="120" w:line="276"/>
      </w:pPr>
      <w:r>
        <w:rPr>
          <w:rFonts w:ascii="Arial" w:cs="Arial" w:eastAsia="Arial" w:hAnsi="Arial"/>
        </w:rPr>
        <w:t xml:space="preserve">Illustrative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Engine</w:t>
            </w:r>
          </w:p>
        </w:tc>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Recommendation</w:t>
            </w:r>
          </w:p>
        </w:tc>
        <w:tc>
          <w:tcPr>
            <w:tcW w:type="dxa" w:w="3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Rationale</w:t>
            </w:r>
          </w:p>
        </w:tc>
      </w:tr>
      <w:tr>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Mutual Fund Engine</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w:t>
            </w:r>
          </w:p>
        </w:tc>
        <w:tc>
          <w:tcPr>
            <w:tcW w:type="dxa" w:w="3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 overlap and weak quality score</w:t>
            </w:r>
          </w:p>
        </w:tc>
      </w:tr>
      <w:tr>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 Engine</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HOLD</w:t>
            </w:r>
          </w:p>
        </w:tc>
        <w:tc>
          <w:tcPr>
            <w:tcW w:type="dxa" w:w="3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Selling would breach target equity allocation</w:t>
            </w:r>
          </w:p>
        </w:tc>
      </w:tr>
      <w:tr>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Engine</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Avoid exit</w:t>
            </w:r>
          </w:p>
        </w:tc>
        <w:tc>
          <w:tcPr>
            <w:tcW w:type="dxa" w:w="3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Short-term capital gains cost exceeds modelled benefit</w:t>
            </w:r>
          </w:p>
        </w:tc>
      </w:tr>
    </w:tbl>
    <w:p>
      <w:pPr>
        <w:spacing w:after="80"/>
      </w:pPr>
      <w:r>
        <w:rPr>
          <w:rFonts w:ascii="Arial" w:cs="Arial" w:eastAsia="Arial" w:hAnsi="Arial"/>
        </w:rPr>
        <w:t xml:space="preserve"/>
      </w:r>
    </w:p>
    <w:p>
      <w:pPr>
        <w:spacing w:after="120" w:line="276"/>
      </w:pPr>
      <w:r>
        <w:rPr>
          <w:rFonts w:ascii="Arial" w:cs="Arial" w:eastAsia="Arial" w:hAnsi="Arial"/>
          <w:b/>
          <w:bCs/>
        </w:rPr>
        <w:t xml:space="preserve">Resolution. </w:t>
      </w:r>
      <w:r>
        <w:rPr>
          <w:rFonts w:ascii="Arial" w:cs="Arial" w:eastAsia="Arial" w:hAnsi="Arial"/>
        </w:rPr>
        <w:t xml:space="preserve">Build the Recommendation Arbitration Engine (Section 10.11). It merges engine outputs, resolves conflicts using a fixed precedence order, suppresses low-confidence actions, and enforces goal-aware and tax-aware overrides so that the investor receives one coherent action list.</w:t>
      </w:r>
    </w:p>
    <w:p>
      <w:pPr>
        <w:pBdr>
          <w:bottom w:val="single" w:color="1B5299" w:sz="6" w:space="1"/>
        </w:pBdr>
        <w:spacing w:after="160" w:before="80"/>
      </w:pPr>
      <w:r>
        <w:rPr>
          <w:rFonts w:ascii="Arial" w:cs="Arial" w:eastAsia="Arial" w:hAnsi="Arial"/>
        </w:rPr>
        <w:t xml:space="preserve"/>
      </w:r>
    </w:p>
    <w:p>
      <w:pPr>
        <w:pStyle w:val="Heading3"/>
      </w:pPr>
      <w:r>
        <w:rPr>
          <w:rFonts w:ascii="Arial" w:cs="Arial" w:eastAsia="Arial" w:hAnsi="Arial"/>
          <w:b/>
          <w:bCs/>
        </w:rPr>
        <w:t xml:space="preserve">8.2 Gap 2 — No Portfolio-Level Intelligence</w:t>
      </w:r>
    </w:p>
    <w:p>
      <w:pPr>
        <w:spacing w:after="120" w:line="276"/>
      </w:pPr>
      <w:r>
        <w:rPr>
          <w:rFonts w:ascii="Arial" w:cs="Arial" w:eastAsia="Arial" w:hAnsi="Arial"/>
          <w:b/>
          <w:bCs/>
        </w:rPr>
        <w:t xml:space="preserve">Problem. </w:t>
      </w:r>
      <w:r>
        <w:rPr>
          <w:rFonts w:ascii="Arial" w:cs="Arial" w:eastAsia="Arial" w:hAnsi="Arial"/>
        </w:rPr>
        <w:t xml:space="preserve">The current system reasons instrument by instrument. It cannot answer portfolio-level questions — is the portfolio diversified, concentrated, or needlessly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w:t>
            </w:r>
          </w:p>
          <w:p>
            <w:pPr>
              <w:spacing w:after="120" w:line="276"/>
            </w:pPr>
            <w:r>
              <w:rPr>
                <w:rFonts w:ascii="Arial" w:cs="Arial" w:eastAsia="Arial" w:hAnsi="Arial"/>
                <w:b/>
                <w:bCs/>
              </w:rPr>
              <w:t xml:space="preserve">The system is instrument-centric when it must be portfolio-state-centric. </w:t>
            </w:r>
            <w:r>
              <w:rPr>
                <w:rFonts w:ascii="Arial" w:cs="Arial" w:eastAsia="Arial" w:hAnsi="Arial"/>
              </w:rPr>
              <w:t xml:space="preserve">A collection of individually acceptable funds can still form a poorly diversified, highly correlated portfolio.</w:t>
            </w:r>
          </w:p>
        </w:tc>
      </w:tr>
    </w:tbl>
    <w:p>
      <w:pPr>
        <w:spacing w:after="120" w:line="276"/>
      </w:pPr>
      <w:r>
        <w:rPr>
          <w:rFonts w:ascii="Arial" w:cs="Arial" w:eastAsia="Arial" w:hAnsi="Arial"/>
          <w:b/>
          <w:bCs/>
        </w:rPr>
        <w:t xml:space="preserve">Resolution. </w:t>
      </w:r>
      <w:r>
        <w:rPr>
          <w:rFonts w:ascii="Arial" w:cs="Arial" w:eastAsia="Arial" w:hAnsi="Arial"/>
        </w:rPr>
        <w:t xml:space="preserve">Build the Portfolio Analytics Engine (Section 10.4). It computes diversification, concentration, overlap, correlation, AMC and sector concentration, and factor and geography exposure as first-class portfolio metrics.</w:t>
      </w:r>
    </w:p>
    <w:p>
      <w:pPr>
        <w:pBdr>
          <w:bottom w:val="single" w:color="1B5299" w:sz="6" w:space="1"/>
        </w:pBdr>
        <w:spacing w:after="160" w:before="80"/>
      </w:pPr>
      <w:r>
        <w:rPr>
          <w:rFonts w:ascii="Arial" w:cs="Arial" w:eastAsia="Arial" w:hAnsi="Arial"/>
        </w:rPr>
        <w:t xml:space="preserve"/>
      </w:r>
    </w:p>
    <w:p>
      <w:pPr>
        <w:pStyle w:val="Heading3"/>
      </w:pPr>
      <w:r>
        <w:rPr>
          <w:rFonts w:ascii="Arial" w:cs="Arial" w:eastAsia="Arial" w:hAnsi="Arial"/>
          <w:b/>
          <w:bCs/>
        </w:rPr>
        <w:t xml:space="preserve">8.3 Gap 3 — No Simulation Engine</w:t>
      </w:r>
    </w:p>
    <w:p>
      <w:pPr>
        <w:spacing w:after="120" w:line="276"/>
      </w:pPr>
      <w:r>
        <w:rPr>
          <w:rFonts w:ascii="Arial" w:cs="Arial" w:eastAsia="Arial" w:hAnsi="Arial"/>
          <w:b/>
          <w:bCs/>
        </w:rPr>
        <w:t xml:space="preserve">Problem. </w:t>
      </w:r>
      <w:r>
        <w:rPr>
          <w:rFonts w:ascii="Arial" w:cs="Arial" w:eastAsia="Arial" w:hAnsi="Arial"/>
        </w:rPr>
        <w:t xml:space="preserve">The current system explains a recommendation but cannot quantify its effect. The investor is asked to act on faith.</w:t>
      </w:r>
    </w:p>
    <w:p>
      <w:pPr>
        <w:spacing w:after="120" w:line="276"/>
      </w:pPr>
      <w:r>
        <w:rPr>
          <w:rFonts w:ascii="Arial" w:cs="Arial" w:eastAsia="Arial" w:hAnsi="Arial"/>
        </w:rPr>
        <w:t xml:space="preserve">Target behaviour — every recommendation carries a modelled before/after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Metric</w:t>
            </w:r>
          </w:p>
        </w:tc>
        <w:tc>
          <w:tcPr>
            <w:tcW w:type="dxa" w:w="27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Before</w:t>
            </w:r>
          </w:p>
        </w:tc>
        <w:tc>
          <w:tcPr>
            <w:tcW w:type="dxa" w:w="27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After (modelled)</w:t>
            </w:r>
          </w:p>
        </w:tc>
      </w:tr>
      <w:tr>
        <w:tc>
          <w:tcPr>
            <w:tcW w:type="dxa" w:w="3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Weighted overlap</w:t>
            </w:r>
          </w:p>
        </w:tc>
        <w:tc>
          <w:tcPr>
            <w:tcW w:type="dxa" w:w="2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68%</w:t>
            </w:r>
          </w:p>
        </w:tc>
        <w:tc>
          <w:tcPr>
            <w:tcW w:type="dxa" w:w="2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39%</w:t>
            </w:r>
          </w:p>
        </w:tc>
      </w:tr>
      <w:tr>
        <w:tc>
          <w:tcPr>
            <w:tcW w:type="dxa" w:w="3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volatility</w:t>
            </w:r>
          </w:p>
        </w:tc>
        <w:tc>
          <w:tcPr>
            <w:tcW w:type="dxa" w:w="2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19%</w:t>
            </w:r>
          </w:p>
        </w:tc>
        <w:tc>
          <w:tcPr>
            <w:tcW w:type="dxa" w:w="2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14%</w:t>
            </w:r>
          </w:p>
        </w:tc>
      </w:tr>
      <w:tr>
        <w:tc>
          <w:tcPr>
            <w:tcW w:type="dxa" w:w="3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success probability</w:t>
            </w:r>
          </w:p>
        </w:tc>
        <w:tc>
          <w:tcPr>
            <w:tcW w:type="dxa" w:w="2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61%</w:t>
            </w:r>
          </w:p>
        </w:tc>
        <w:tc>
          <w:tcPr>
            <w:tcW w:type="dxa" w:w="2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74%</w:t>
            </w:r>
          </w:p>
        </w:tc>
      </w:tr>
    </w:tbl>
    <w:p>
      <w:pPr>
        <w:spacing w:after="80"/>
      </w:pPr>
      <w:r>
        <w:rPr>
          <w:rFonts w:ascii="Arial" w:cs="Arial" w:eastAsia="Arial" w:hAnsi="Arial"/>
        </w:rPr>
        <w:t xml:space="preserve"/>
      </w:r>
    </w:p>
    <w:p>
      <w:pPr>
        <w:spacing w:after="120" w:line="276"/>
      </w:pPr>
      <w:r>
        <w:rPr>
          <w:rFonts w:ascii="Arial" w:cs="Arial" w:eastAsia="Arial" w:hAnsi="Arial"/>
          <w:b/>
          <w:bCs/>
        </w:rPr>
        <w:t xml:space="preserve">Resolution. </w:t>
      </w:r>
      <w:r>
        <w:rPr>
          <w:rFonts w:ascii="Arial" w:cs="Arial" w:eastAsia="Arial" w:hAnsi="Arial"/>
        </w:rPr>
        <w:t xml:space="preserve">Build the Impact Simulation Engine (Section 10.12). It re-runs the analytics stack on the hypothetical post-action portfolio and reports the delta for each key metric. Recommendations whose modelled improvement is marginal are suppressed.</w:t>
      </w:r>
    </w:p>
    <w:p>
      <w:pPr>
        <w:pBdr>
          <w:bottom w:val="single" w:color="1B5299" w:sz="6" w:space="1"/>
        </w:pBdr>
        <w:spacing w:after="160" w:before="80"/>
      </w:pPr>
      <w:r>
        <w:rPr>
          <w:rFonts w:ascii="Arial" w:cs="Arial" w:eastAsia="Arial" w:hAnsi="Arial"/>
        </w:rPr>
        <w:t xml:space="preserve"/>
      </w:r>
    </w:p>
    <w:p>
      <w:pPr>
        <w:pStyle w:val="Heading3"/>
      </w:pPr>
      <w:r>
        <w:rPr>
          <w:rFonts w:ascii="Arial" w:cs="Arial" w:eastAsia="Arial" w:hAnsi="Arial"/>
          <w:b/>
          <w:bCs/>
        </w:rPr>
        <w:t xml:space="preserve">8.4 Gap 4 — No Weighted Portfolio Impact Layer</w:t>
      </w:r>
    </w:p>
    <w:p>
      <w:pPr>
        <w:spacing w:after="120" w:line="276"/>
      </w:pPr>
      <w:r>
        <w:rPr>
          <w:rFonts w:ascii="Arial" w:cs="Arial" w:eastAsia="Arial" w:hAnsi="Arial"/>
          <w:b/>
          <w:bCs/>
        </w:rPr>
        <w:t xml:space="preserve">Problem. </w:t>
      </w:r>
      <w:r>
        <w:rPr>
          <w:rFonts w:ascii="Arial" w:cs="Arial" w:eastAsia="Arial" w:hAnsi="Arial"/>
        </w:rPr>
        <w:t xml:space="preserve">Recommendations are driven mainly by instrument quality. A poor-quality holding at 2% of the portfolio currently carries the same severity as a poor-quality holding at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w:t>
            </w:r>
          </w:p>
          <w:p>
            <w:pPr>
              <w:spacing w:after="120" w:line="276"/>
            </w:pPr>
            <w:r>
              <w:rPr>
                <w:rFonts w:ascii="Arial" w:cs="Arial" w:eastAsia="Arial" w:hAnsi="Arial"/>
                <w:b/>
                <w:bCs/>
              </w:rPr>
              <w:t xml:space="preserve">Severity must scale with allocation. </w:t>
            </w:r>
            <w:r>
              <w:rPr>
                <w:rFonts w:ascii="Arial" w:cs="Arial" w:eastAsia="Arial" w:hAnsi="Arial"/>
              </w:rPr>
              <w:t xml:space="preserve">A bad 2% position and a bad 35% position should never produce equal urgency. Portfolio impact, not instrument quality alone, determines priority.</w:t>
            </w:r>
          </w:p>
        </w:tc>
      </w:tr>
    </w:tbl>
    <w:p>
      <w:pPr>
        <w:spacing w:after="120" w:line="276"/>
      </w:pPr>
      <w:r>
        <w:rPr>
          <w:rFonts w:ascii="Arial" w:cs="Arial" w:eastAsia="Arial" w:hAnsi="Arial"/>
          <w:b/>
          <w:bCs/>
        </w:rPr>
        <w:t xml:space="preserve">Resolution. </w:t>
      </w:r>
      <w:r>
        <w:rPr>
          <w:rFonts w:ascii="Arial" w:cs="Arial" w:eastAsia="Arial" w:hAnsi="Arial"/>
        </w:rPr>
        <w:t xml:space="preserve">Build the Portfolio Impact Engine (Section 10.7). It applies allocation-weighted multipliers, computes weighted overlap and weighted concentration, and quantifies each holding’s marginal risk contribution and allocation efficiency.</w:t>
      </w:r>
    </w:p>
    <w:p>
      <w:r>
        <w:br w:type="page"/>
      </w:r>
    </w:p>
    <w:p>
      <w:pPr>
        <w:pStyle w:val="Heading1"/>
      </w:pPr>
      <w:r>
        <w:rPr>
          <w:rFonts w:ascii="Arial" w:cs="Arial" w:eastAsia="Arial" w:hAnsi="Arial"/>
          <w:b/>
          <w:bCs/>
        </w:rPr>
        <w:t xml:space="preserve">9. Recommendation Object Standard</w:t>
      </w:r>
    </w:p>
    <w:p>
      <w:pPr>
        <w:spacing w:after="120" w:line="276"/>
      </w:pPr>
      <w:r>
        <w:rPr>
          <w:rFonts w:ascii="Arial" w:cs="Arial" w:eastAsia="Arial" w:hAnsi="Arial"/>
        </w:rPr>
        <w:t xml:space="preserve">Every recommendation — regardless of which engine produced it — is delivered as a single, versioned recommendation object. This object is the contract between the engine stack, the API, the copilot, and the audit store. No surface may display a recommendation that is not backed by a valid object.</w:t>
      </w:r>
    </w:p>
    <w:p>
      <w:pPr>
        <w:pStyle w:val="Heading3"/>
      </w:pPr>
      <w:r>
        <w:rPr>
          <w:rFonts w:ascii="Arial" w:cs="Arial" w:eastAsia="Arial" w:hAnsi="Arial"/>
          <w:b/>
          <w:bCs/>
        </w:rPr>
        <w:t xml:space="preserve">9.1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"recommendation_id": "uuid",        // globally unique, immutable</w:t>
            </w:r>
          </w:p>
          <w:p>
            <w:pPr>
              <w:spacing w:after="0" w:line="264"/>
            </w:pPr>
            <w:r>
              <w:rPr>
                <w:rFonts w:ascii="Consolas" w:cs="Consolas" w:eastAsia="Consolas" w:hAnsi="Consolas"/>
                <w:sz w:val="19"/>
                <w:szCs w:val="19"/>
              </w:rPr>
              <w:t xml:space="preserve">  "schema_version": "2.0",</w:t>
            </w:r>
          </w:p>
          <w:p>
            <w:pPr>
              <w:spacing w:after="0" w:line="264"/>
            </w:pPr>
            <w:r>
              <w:rPr>
                <w:rFonts w:ascii="Consolas" w:cs="Consolas" w:eastAsia="Consolas" w:hAnsi="Consolas"/>
                <w:sz w:val="19"/>
                <w:szCs w:val="19"/>
              </w:rPr>
              <w:t xml:space="preserve">  "portfolio_id": "uuid",</w:t>
            </w:r>
          </w:p>
          <w:p>
            <w:pPr>
              <w:spacing w:after="0" w:line="264"/>
            </w:pPr>
            <w:r>
              <w:rPr>
                <w:rFonts w:ascii="Consolas" w:cs="Consolas" w:eastAsia="Consolas" w:hAnsi="Consolas"/>
                <w:sz w:val="19"/>
                <w:szCs w:val="19"/>
              </w:rPr>
              <w:t xml:space="preserve">  "instrument_ref": {                  // null for portfolio-level actions</w:t>
            </w:r>
          </w:p>
          <w:p>
            <w:pPr>
              <w:spacing w:after="0" w:line="264"/>
            </w:pPr>
            <w:r>
              <w:rPr>
                <w:rFonts w:ascii="Consolas" w:cs="Consolas" w:eastAsia="Consolas" w:hAnsi="Consolas"/>
                <w:sz w:val="19"/>
                <w:szCs w:val="19"/>
              </w:rPr>
              <w:t xml:space="preserve">    "isin": "string",</w:t>
            </w:r>
          </w:p>
          <w:p>
            <w:pPr>
              <w:spacing w:after="0" w:line="264"/>
            </w:pPr>
            <w:r>
              <w:rPr>
                <w:rFonts w:ascii="Consolas" w:cs="Consolas" w:eastAsia="Consolas" w:hAnsi="Consolas"/>
                <w:sz w:val="19"/>
                <w:szCs w:val="19"/>
              </w:rPr>
              <w:t xml:space="preserve">    "name": "string",</w:t>
            </w:r>
          </w:p>
          <w:p>
            <w:pPr>
              <w:spacing w:after="0" w:line="264"/>
            </w:pPr>
            <w:r>
              <w:rPr>
                <w:rFonts w:ascii="Consolas" w:cs="Consolas" w:eastAsia="Consolas" w:hAnsi="Consolas"/>
                <w:sz w:val="19"/>
                <w:szCs w:val="19"/>
              </w:rPr>
              <w:t xml:space="preserve">    "asset_class": "EQUITY_MF | DEBT_MF | STOCK |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"type": "EXIT | SWITCH | ADD | REDUCE | HOLD | SIMPLIFY | REBALANCE",</w:t>
            </w:r>
          </w:p>
          <w:p>
            <w:pPr>
              <w:spacing w:after="0" w:line="264"/>
            </w:pPr>
            <w:r>
              <w:rPr>
                <w:rFonts w:ascii="Consolas" w:cs="Consolas" w:eastAsia="Consolas" w:hAnsi="Consolas"/>
                <w:sz w:val="19"/>
                <w:szCs w:val="19"/>
              </w:rPr>
              <w:t xml:space="preserve">  "priority": "HIGH | MEDIUM | LOW",</w:t>
            </w:r>
          </w:p>
          <w:p>
            <w:pPr>
              <w:spacing w:after="0" w:line="264"/>
            </w:pPr>
            <w:r>
              <w:rPr>
                <w:rFonts w:ascii="Consolas" w:cs="Consolas" w:eastAsia="Consolas" w:hAnsi="Consolas"/>
                <w:sz w:val="19"/>
                <w:szCs w:val="19"/>
              </w:rPr>
              <w:t xml:space="preserve">  "priority_score": 0.0,               // 0-100, from the priority formula</w:t>
            </w:r>
          </w:p>
          <w:p>
            <w:pPr>
              <w:spacing w:after="0" w:line="264"/>
            </w:pPr>
            <w:r>
              <w:rPr>
                <w:rFonts w:ascii="Consolas" w:cs="Consolas" w:eastAsia="Consolas" w:hAnsi="Consolas"/>
                <w:sz w:val="19"/>
                <w:szCs w:val="19"/>
              </w:rPr>
              <w:t xml:space="preserve">  "confidence": 0,                     // 0-100 integer</w:t>
            </w:r>
          </w:p>
          <w:p>
            <w:pPr>
              <w:spacing w:after="0" w:line="264"/>
            </w:pPr>
            <w:r>
              <w:rPr>
                <w:rFonts w:ascii="Consolas" w:cs="Consolas" w:eastAsia="Consolas" w:hAnsi="Consolas"/>
                <w:sz w:val="19"/>
                <w:szCs w:val="19"/>
              </w:rPr>
              <w:t xml:space="preserve">  "triggered_by": ["RULE_ID", ...],     // rules that generated the signal</w:t>
            </w:r>
          </w:p>
          <w:p>
            <w:pPr>
              <w:spacing w:after="0" w:line="264"/>
            </w:pPr>
            <w:r>
              <w:rPr>
                <w:rFonts w:ascii="Consolas" w:cs="Consolas" w:eastAsia="Consolas" w:hAnsi="Consolas"/>
                <w:sz w:val="19"/>
                <w:szCs w:val="19"/>
              </w:rPr>
              <w:t xml:space="preserve">  "blocked_by": ["RULE_ID", ...],       // guardrails considered; empty if none</w:t>
            </w:r>
          </w:p>
          <w:p>
            <w:pPr>
              <w:spacing w:after="0" w:line="264"/>
            </w:pPr>
            <w:r>
              <w:rPr>
                <w:rFonts w:ascii="Consolas" w:cs="Consolas" w:eastAsia="Consolas" w:hAnsi="Consolas"/>
                <w:sz w:val="19"/>
                <w:szCs w:val="19"/>
              </w:rPr>
              <w:t xml:space="preserve">  "expected_impact": {                 // modelled deltas, signed</w:t>
            </w:r>
          </w:p>
          <w:p>
            <w:pPr>
              <w:spacing w:after="0" w:line="264"/>
            </w:pPr>
            <w:r>
              <w:rPr>
                <w:rFonts w:ascii="Consolas" w:cs="Consolas" w:eastAsia="Consolas" w:hAnsi="Consolas"/>
                <w:sz w:val="19"/>
                <w:szCs w:val="19"/>
              </w:rPr>
              <w:t xml:space="preserve">    "overlap_delta": 0.0,</w:t>
            </w:r>
          </w:p>
          <w:p>
            <w:pPr>
              <w:spacing w:after="0" w:line="264"/>
            </w:pPr>
            <w:r>
              <w:rPr>
                <w:rFonts w:ascii="Consolas" w:cs="Consolas" w:eastAsia="Consolas" w:hAnsi="Consolas"/>
                <w:sz w:val="19"/>
                <w:szCs w:val="19"/>
              </w:rPr>
              <w:t xml:space="preserve">    "volatility_delta": 0.0,</w:t>
            </w:r>
          </w:p>
          <w:p>
            <w:pPr>
              <w:spacing w:after="0" w:line="264"/>
            </w:pPr>
            <w:r>
              <w:rPr>
                <w:rFonts w:ascii="Consolas" w:cs="Consolas" w:eastAsia="Consolas" w:hAnsi="Consolas"/>
                <w:sz w:val="19"/>
                <w:szCs w:val="19"/>
              </w:rPr>
              <w:t xml:space="preserve">    "goal_probability_delta": 0.0,</w:t>
            </w:r>
          </w:p>
          <w:p>
            <w:pPr>
              <w:spacing w:after="0" w:line="264"/>
            </w:pPr>
            <w:r>
              <w:rPr>
                <w:rFonts w:ascii="Consolas" w:cs="Consolas" w:eastAsia="Consolas" w:hAnsi="Consolas"/>
                <w:sz w:val="19"/>
                <w:szCs w:val="19"/>
              </w:rPr>
              <w:t xml:space="preserve">    "diversification_delta": 0.0</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"tradeoffs": ["string", ...],</w:t>
            </w:r>
          </w:p>
          <w:p>
            <w:pPr>
              <w:spacing w:after="0" w:line="264"/>
            </w:pPr>
            <w:r>
              <w:rPr>
                <w:rFonts w:ascii="Consolas" w:cs="Consolas" w:eastAsia="Consolas" w:hAnsi="Consolas"/>
                <w:sz w:val="19"/>
                <w:szCs w:val="19"/>
              </w:rPr>
              <w:t xml:space="preserve">  "tax_impact": {</w:t>
            </w:r>
          </w:p>
          <w:p>
            <w:pPr>
              <w:spacing w:after="0" w:line="264"/>
            </w:pPr>
            <w:r>
              <w:rPr>
                <w:rFonts w:ascii="Consolas" w:cs="Consolas" w:eastAsia="Consolas" w:hAnsi="Consolas"/>
                <w:sz w:val="19"/>
                <w:szCs w:val="19"/>
              </w:rPr>
              <w:t xml:space="preserve">    "estimated_tax": 0.0,</w:t>
            </w:r>
          </w:p>
          <w:p>
            <w:pPr>
              <w:spacing w:after="0" w:line="264"/>
            </w:pPr>
            <w:r>
              <w:rPr>
                <w:rFonts w:ascii="Consolas" w:cs="Consolas" w:eastAsia="Consolas" w:hAnsi="Consolas"/>
                <w:sz w:val="19"/>
                <w:szCs w:val="19"/>
              </w:rPr>
              <w:t xml:space="preserve">    "gain_type": "STCG | LTCG | NONE",</w:t>
            </w:r>
          </w:p>
          <w:p>
            <w:pPr>
              <w:spacing w:after="0" w:line="264"/>
            </w:pPr>
            <w:r>
              <w:rPr>
                <w:rFonts w:ascii="Consolas" w:cs="Consolas" w:eastAsia="Consolas" w:hAnsi="Consolas"/>
                <w:sz w:val="19"/>
                <w:szCs w:val="19"/>
              </w:rPr>
              <w:t xml:space="preserve">    "exit_load": 0.0,</w:t>
            </w:r>
          </w:p>
          <w:p>
            <w:pPr>
              <w:spacing w:after="0" w:line="264"/>
            </w:pPr>
            <w:r>
              <w:rPr>
                <w:rFonts w:ascii="Consolas" w:cs="Consolas" w:eastAsia="Consolas" w:hAnsi="Consolas"/>
                <w:sz w:val="19"/>
                <w:szCs w:val="19"/>
              </w:rPr>
              <w:t xml:space="preserve">    "net_of_tax_benefit": 0.0</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"simulation": {                      // before/after snapshot</w:t>
            </w:r>
          </w:p>
          <w:p>
            <w:pPr>
              <w:spacing w:after="0" w:line="264"/>
            </w:pPr>
            <w:r>
              <w:rPr>
                <w:rFonts w:ascii="Consolas" w:cs="Consolas" w:eastAsia="Consolas" w:hAnsi="Consolas"/>
                <w:sz w:val="19"/>
                <w:szCs w:val="19"/>
              </w:rPr>
              <w:t xml:space="preserve">    "before": { },</w:t>
            </w:r>
          </w:p>
          <w:p>
            <w:pPr>
              <w:spacing w:after="0" w:line="264"/>
            </w:pPr>
            <w:r>
              <w:rPr>
                <w:rFonts w:ascii="Consolas" w:cs="Consolas" w:eastAsia="Consolas" w:hAnsi="Consolas"/>
                <w:sz w:val="19"/>
                <w:szCs w:val="19"/>
              </w:rPr>
              <w:t xml:space="preserve">    "after": {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"explanation": "string",             // LLM-generated, derived only from fields above</w:t>
            </w:r>
          </w:p>
          <w:p>
            <w:pPr>
              <w:spacing w:after="0" w:line="264"/>
            </w:pPr>
            <w:r>
              <w:rPr>
                <w:rFonts w:ascii="Consolas" w:cs="Consolas" w:eastAsia="Consolas" w:hAnsi="Consolas"/>
                <w:sz w:val="19"/>
                <w:szCs w:val="19"/>
              </w:rPr>
              <w:t xml:space="preserve">  "data_quality": "FULL | PARTIAL | DEGRADED",</w:t>
            </w:r>
          </w:p>
          <w:p>
            <w:pPr>
              <w:spacing w:after="0" w:line="264"/>
            </w:pPr>
            <w:r>
              <w:rPr>
                <w:rFonts w:ascii="Consolas" w:cs="Consolas" w:eastAsia="Consolas" w:hAnsi="Consolas"/>
                <w:sz w:val="19"/>
                <w:szCs w:val="19"/>
              </w:rPr>
              <w:t xml:space="preserve">  "generated_at": "ISO-8601 timestamp",</w:t>
            </w:r>
          </w:p>
          <w:p>
            <w:pPr>
              <w:spacing w:after="0" w:line="264"/>
            </w:pPr>
            <w:r>
              <w:rPr>
                <w:rFonts w:ascii="Consolas" w:cs="Consolas" w:eastAsia="Consolas" w:hAnsi="Consolas"/>
                <w:sz w:val="19"/>
                <w:szCs w:val="19"/>
              </w:rPr>
              <w:t xml:space="preserve">  "engine_versions": { }               // version of each contributing engine</w:t>
            </w:r>
          </w:p>
          <w:p>
            <w:pPr>
              <w:spacing w:after="0" w:line="264"/>
            </w:pPr>
            <w:r>
              <w:rPr>
                <w:rFonts w:ascii="Consolas" w:cs="Consolas" w:eastAsia="Consolas" w:hAnsi="Consolas"/>
                <w:sz w:val="19"/>
                <w:szCs w:val="19"/>
              </w:rPr>
              <w:t xml:space="preserve">}</w:t>
            </w:r>
          </w:p>
        </w:tc>
      </w:tr>
    </w:tbl>
    <w:p>
      <w:pPr>
        <w:spacing w:after="80"/>
      </w:pPr>
      <w:r>
        <w:rPr>
          <w:rFonts w:ascii="Arial" w:cs="Arial" w:eastAsia="Arial" w:hAnsi="Arial"/>
        </w:rPr>
        <w:t xml:space="preserve"/>
      </w:r>
    </w:p>
    <w:p>
      <w:pPr>
        <w:pStyle w:val="Heading3"/>
      </w:pPr>
      <w:r>
        <w:rPr>
          <w:rFonts w:ascii="Arial" w:cs="Arial" w:eastAsia="Arial" w:hAnsi="Arial"/>
          <w:b/>
          <w:bCs/>
        </w:rPr>
        <w:t xml:space="preserve">9.2 Field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Field</w:t>
            </w:r>
          </w:p>
        </w:tc>
        <w:tc>
          <w:tcPr>
            <w:tcW w:type="dxa" w:w="6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Rule</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recommendation_id</w:t>
            </w:r>
          </w:p>
        </w:tc>
        <w:tc>
          <w:tcPr>
            <w:tcW w:type="dxa" w:w="6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Immutable. A revised recommendation is a new object that supersedes the old one.</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triggered_by</w:t>
            </w:r>
          </w:p>
        </w:tc>
        <w:tc>
          <w:tcPr>
            <w:tcW w:type="dxa" w:w="6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Must contain at least one valid rule ID. An empty array is invalid.</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blocked_by</w:t>
            </w:r>
          </w:p>
        </w:tc>
        <w:tc>
          <w:tcPr>
            <w:tcW w:type="dxa" w:w="6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Lists guardrails evaluated. If non-empty and the action still surfaces, the trace must explain why.</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confidence</w:t>
            </w:r>
          </w:p>
        </w:tc>
        <w:tc>
          <w:tcPr>
            <w:tcW w:type="dxa" w:w="6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Below the arbitration threshold, severity is downgraded; the object is not silently dropped.</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explanation</w:t>
            </w:r>
          </w:p>
        </w:tc>
        <w:tc>
          <w:tcPr>
            <w:tcW w:type="dxa" w:w="6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Generated by the LLM strictly from structured fields. It must not introduce any new claim.</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data_quality</w:t>
            </w:r>
          </w:p>
        </w:tc>
        <w:tc>
          <w:tcPr>
            <w:tcW w:type="dxa" w:w="6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PARTIAL or DEGRADED values must be surfaced to the user, not hidden.</w:t>
            </w:r>
          </w:p>
        </w:tc>
      </w:tr>
    </w:tbl>
    <w:p>
      <w:pPr>
        <w:pStyle w:val="Heading3"/>
      </w:pPr>
      <w:r>
        <w:rPr>
          <w:rFonts w:ascii="Arial" w:cs="Arial" w:eastAsia="Arial" w:hAnsi="Arial"/>
          <w:b/>
          <w:bCs/>
        </w:rPr>
        <w:t xml:space="preserve">9.3 Invariants</w:t>
      </w:r>
    </w:p>
    <w:p>
      <w:pPr>
        <w:pStyle w:val="ListParagraph"/>
        <w:numPr>
          <w:ilvl w:val="0"/>
          <w:numId w:val="2"/>
        </w:numPr>
        <w:spacing w:after="60" w:line="276"/>
      </w:pPr>
      <w:r>
        <w:rPr>
          <w:rFonts w:ascii="Arial" w:cs="Arial" w:eastAsia="Arial" w:hAnsi="Arial"/>
        </w:rPr>
        <w:t xml:space="preserve">A recommendation object is immutable once persisted; corrections create a superseding object.</w:t>
      </w:r>
    </w:p>
    <w:p>
      <w:pPr>
        <w:pStyle w:val="ListParagraph"/>
        <w:numPr>
          <w:ilvl w:val="0"/>
          <w:numId w:val="2"/>
        </w:numPr>
        <w:spacing w:after="60" w:line="276"/>
      </w:pPr>
      <w:r>
        <w:rPr>
          <w:rFonts w:ascii="Arial" w:cs="Arial" w:eastAsia="Arial" w:hAnsi="Arial"/>
        </w:rPr>
        <w:t xml:space="preserve">Every object is reproducible: re-running the pipeline on the same inputs and engine versions yields an equivalent object.</w:t>
      </w:r>
    </w:p>
    <w:p>
      <w:pPr>
        <w:pStyle w:val="ListParagraph"/>
        <w:numPr>
          <w:ilvl w:val="0"/>
          <w:numId w:val="2"/>
        </w:numPr>
        <w:spacing w:after="60" w:line="276"/>
      </w:pPr>
      <w:r>
        <w:rPr>
          <w:rFonts w:ascii="Arial" w:cs="Arial" w:eastAsia="Arial" w:hAnsi="Arial"/>
        </w:rPr>
        <w:t xml:space="preserve">The explanation field never contains information absent from the structured fields.</w:t>
      </w:r>
    </w:p>
    <w:p>
      <w:pPr>
        <w:pStyle w:val="ListParagraph"/>
        <w:numPr>
          <w:ilvl w:val="0"/>
          <w:numId w:val="2"/>
        </w:numPr>
        <w:spacing w:after="60" w:line="276"/>
      </w:pPr>
      <w:r>
        <w:rPr>
          <w:rFonts w:ascii="Arial" w:cs="Arial" w:eastAsia="Arial" w:hAnsi="Arial"/>
        </w:rPr>
        <w:t xml:space="preserve">Every object surfaced to a user has a corresponding entry in the immutable audit store (Section 11.5).</w:t>
      </w:r>
    </w:p>
    <w:p>
      <w:r>
        <w:br w:type="page"/>
      </w:r>
    </w:p>
    <w:p>
      <w:pPr>
        <w:pStyle w:val="Heading1"/>
      </w:pPr>
      <w:r>
        <w:rPr>
          <w:rFonts w:ascii="Arial" w:cs="Arial" w:eastAsia="Arial" w:hAnsi="Arial"/>
          <w:b/>
          <w:bCs/>
        </w:rPr>
        <w:t xml:space="preserve">10. Engine Rule Book</w:t>
      </w:r>
    </w:p>
    <w:p>
      <w:pPr>
        <w:spacing w:after="120" w:line="276"/>
      </w:pPr>
      <w:r>
        <w:rPr>
          <w:rFonts w:ascii="Arial" w:cs="Arial" w:eastAsia="Arial" w:hAnsi="Arial"/>
        </w:rPr>
        <w:t xml:space="preserve">The rule book is the authoritative specification of every deterministic engine. Each engine section states its purpose, its rules with stable IDs, its formulas, and its outputs. Rules are normative: an implementation that diverges from a rule is a defect. Where Version 1.0 left a formula ambiguous, this revision states it precisely and notes the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How to read a rule</w:t>
            </w:r>
          </w:p>
          <w:p>
            <w:pPr>
              <w:spacing w:after="120" w:line="276"/>
            </w:pPr>
            <w:r>
              <w:rPr>
                <w:rFonts w:ascii="Arial" w:cs="Arial" w:eastAsia="Arial" w:hAnsi="Arial"/>
              </w:rPr>
              <w:t xml:space="preserve">Rules use the form IF &lt;condition&gt; THEN &lt;action&gt;. Conditions reference portfolio or instrument metrics defined in this section or the Glossary. Thresholds are configuration values: they are listed with defaults here and may be tuned via the calibration process in Section 13, but never hard-coded in a way that bypasses review.</w:t>
            </w:r>
          </w:p>
        </w:tc>
      </w:tr>
    </w:tbl>
    <w:p>
      <w:pPr>
        <w:pStyle w:val="Heading2"/>
      </w:pPr>
      <w:r>
        <w:rPr>
          <w:rFonts w:ascii="Arial" w:cs="Arial" w:eastAsia="Arial" w:hAnsi="Arial"/>
          <w:b/>
          <w:bCs/>
        </w:rPr>
        <w:t xml:space="preserve">10.1 Data Validation Engine</w:t>
      </w:r>
    </w:p>
    <w:p>
      <w:pPr>
        <w:spacing w:after="120" w:line="276"/>
      </w:pPr>
      <w:r>
        <w:rPr>
          <w:rFonts w:ascii="Arial" w:cs="Arial" w:eastAsia="Arial" w:hAnsi="Arial"/>
          <w:b/>
          <w:bCs/>
        </w:rPr>
        <w:t xml:space="preserve">Purpose. </w:t>
      </w:r>
      <w:r>
        <w:rPr>
          <w:rFonts w:ascii="Arial" w:cs="Arial" w:eastAsia="Arial" w:hAnsi="Arial"/>
        </w:rPr>
        <w:t xml:space="preserve">Guarantee that recommendations are generated only from data that is complete and fresh enough to be reliable. This engine runs first and can suppress whole classes of recommendations.</w:t>
      </w:r>
    </w:p>
    <w:p>
      <w:pPr>
        <w:pStyle w:val="Heading4"/>
      </w:pPr>
      <w:r>
        <w:rPr>
          <w:rFonts w:ascii="Arial" w:cs="Arial" w:eastAsia="Arial" w:hAnsi="Arial"/>
          <w:b/>
          <w:bCs/>
        </w:rPr>
        <w:t xml:space="preserve">Rules</w:t>
      </w:r>
    </w:p>
    <w:p>
      <w:pPr>
        <w:spacing w:after="120" w:line="276"/>
      </w:pPr>
      <w:r>
        <w:rPr>
          <w:rFonts w:ascii="Arial" w:cs="Arial" w:eastAsia="Arial" w:hAnsi="Arial"/>
          <w:b/>
          <w:bCs/>
        </w:rPr>
        <w:t xml:space="preserve">DV-1  </w:t>
      </w:r>
      <w:r>
        <w:rPr>
          <w:rFonts w:ascii="Arial" w:cs="Arial" w:eastAsia="Arial" w:hAnsi="Arial"/>
        </w:rPr>
        <w:t xml:space="preserve">IF holdings coverage &lt; 90% THEN suppress all allocation-level recommendations. Rationale: allocation maths is meaningless on an incomplete portfolio.</w:t>
      </w:r>
    </w:p>
    <w:p>
      <w:pPr>
        <w:spacing w:after="120" w:line="276"/>
      </w:pPr>
      <w:r>
        <w:rPr>
          <w:rFonts w:ascii="Arial" w:cs="Arial" w:eastAsia="Arial" w:hAnsi="Arial"/>
          <w:b/>
          <w:bCs/>
        </w:rPr>
        <w:t xml:space="preserve">DV-2  </w:t>
      </w:r>
      <w:r>
        <w:rPr>
          <w:rFonts w:ascii="Arial" w:cs="Arial" w:eastAsia="Arial" w:hAnsi="Arial"/>
        </w:rPr>
        <w:t xml:space="preserve">IF NAV age &gt; 5 market days THEN suppress valuation-sensitive recommendations for the affected instruments.</w:t>
      </w:r>
    </w:p>
    <w:p>
      <w:pPr>
        <w:spacing w:after="120" w:line="276"/>
      </w:pPr>
      <w:r>
        <w:rPr>
          <w:rFonts w:ascii="Arial" w:cs="Arial" w:eastAsia="Arial" w:hAnsi="Arial"/>
          <w:b/>
          <w:bCs/>
        </w:rPr>
        <w:t xml:space="preserve">DV-3  </w:t>
      </w:r>
      <w:r>
        <w:rPr>
          <w:rFonts w:ascii="Arial" w:cs="Arial" w:eastAsia="Arial" w:hAnsi="Arial"/>
        </w:rPr>
        <w:t xml:space="preserve">IF acquisition price is unavailable THEN suppress tax-aware recommendations for the affected holding, because gain type and tax cost cannot be computed.</w:t>
      </w:r>
    </w:p>
    <w:p>
      <w:pPr>
        <w:spacing w:after="120" w:line="276"/>
      </w:pPr>
      <w:r>
        <w:rPr>
          <w:rFonts w:ascii="Arial" w:cs="Arial" w:eastAsia="Arial" w:hAnsi="Arial"/>
          <w:b/>
          <w:bCs/>
        </w:rPr>
        <w:t xml:space="preserve">DV-4  </w:t>
      </w:r>
      <w:r>
        <w:rPr>
          <w:rFonts w:ascii="Arial" w:cs="Arial" w:eastAsia="Arial" w:hAnsi="Arial"/>
        </w:rPr>
        <w:t xml:space="preserve">IF a required fundamentals field is missing for a stock THEN mark its quality score data_quality = PARTIAL and exclude the missing component from the weighted average, renormalising remaining weights.</w:t>
      </w:r>
    </w:p>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data_quality flag per portfolio and per instrument (FULL / PARTIAL / DEGRADED).</w:t>
      </w:r>
    </w:p>
    <w:p>
      <w:pPr>
        <w:pStyle w:val="ListParagraph"/>
        <w:numPr>
          <w:ilvl w:val="0"/>
          <w:numId w:val="2"/>
        </w:numPr>
        <w:spacing w:after="60" w:line="276"/>
      </w:pPr>
      <w:r>
        <w:rPr>
          <w:rFonts w:ascii="Arial" w:cs="Arial" w:eastAsia="Arial" w:hAnsi="Arial"/>
        </w:rPr>
        <w:t xml:space="preserve">Suppression set: classes of recommendations disabled for this run.</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10.2 Goal Alignment Engine</w:t>
      </w:r>
    </w:p>
    <w:p>
      <w:pPr>
        <w:spacing w:after="120" w:line="276"/>
      </w:pPr>
      <w:r>
        <w:rPr>
          <w:rFonts w:ascii="Arial" w:cs="Arial" w:eastAsia="Arial" w:hAnsi="Arial"/>
          <w:b/>
          <w:bCs/>
        </w:rPr>
        <w:t xml:space="preserve">Purpose. </w:t>
      </w:r>
      <w:r>
        <w:rPr>
          <w:rFonts w:ascii="Arial" w:cs="Arial" w:eastAsia="Arial" w:hAnsi="Arial"/>
        </w:rPr>
        <w:t xml:space="preserve">Align portfolio structure to each declared investor goal, using investment horizon as the primary driver of acceptable equity exposure.</w:t>
      </w:r>
    </w:p>
    <w:p>
      <w:pPr>
        <w:pStyle w:val="Heading4"/>
      </w:pPr>
      <w:r>
        <w:rPr>
          <w:rFonts w:ascii="Arial" w:cs="Arial" w:eastAsia="Arial" w:hAnsi="Arial"/>
          <w:b/>
          <w:bCs/>
        </w:rPr>
        <w:t xml:space="preserve">Rule GA-1 — Maximum Equity by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Goal horizon</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Maximum equity allocation</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Under 3 years</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 to 5 years</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 to 10 years</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75%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 10 years</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90%</w:t>
            </w:r>
          </w:p>
        </w:tc>
      </w:tr>
    </w:tbl>
    <w:p>
      <w:pPr>
        <w:spacing w:after="80"/>
      </w:pPr>
      <w:r>
        <w:rPr>
          <w:rFonts w:ascii="Arial" w:cs="Arial" w:eastAsia="Arial" w:hAnsi="Arial"/>
        </w:rPr>
        <w:t xml:space="preserve"/>
      </w:r>
    </w:p>
    <w:p>
      <w:pPr>
        <w:pStyle w:val="Heading4"/>
      </w:pPr>
      <w:r>
        <w:rPr>
          <w:rFonts w:ascii="Arial" w:cs="Arial" w:eastAsia="Arial" w:hAnsi="Arial"/>
          <w:b/>
          <w:bCs/>
        </w:rPr>
        <w:t xml:space="preserve">Further Rules</w:t>
      </w:r>
    </w:p>
    <w:p>
      <w:pPr>
        <w:spacing w:after="120" w:line="276"/>
      </w:pPr>
      <w:r>
        <w:rPr>
          <w:rFonts w:ascii="Arial" w:cs="Arial" w:eastAsia="Arial" w:hAnsi="Arial"/>
          <w:b/>
          <w:bCs/>
        </w:rPr>
        <w:t xml:space="preserve">GA-2  </w:t>
      </w:r>
      <w:r>
        <w:rPr>
          <w:rFonts w:ascii="Arial" w:cs="Arial" w:eastAsia="Arial" w:hAnsi="Arial"/>
        </w:rPr>
        <w:t xml:space="preserve">IF goal horizon &lt; 5 years AND smallcap allocation &gt; 20% THEN recommend REDUCE on the smallcap exposure for that goal.</w:t>
      </w:r>
    </w:p>
    <w:p>
      <w:pPr>
        <w:spacing w:after="120" w:line="276"/>
      </w:pPr>
      <w:r>
        <w:rPr>
          <w:rFonts w:ascii="Arial" w:cs="Arial" w:eastAsia="Arial" w:hAnsi="Arial"/>
          <w:b/>
          <w:bCs/>
        </w:rPr>
        <w:t xml:space="preserve">GA-3  </w:t>
      </w:r>
      <w:r>
        <w:rPr>
          <w:rFonts w:ascii="Arial" w:cs="Arial" w:eastAsia="Arial" w:hAnsi="Arial"/>
        </w:rPr>
        <w:t xml:space="preserve">IF a retirement goal is less than 10 years away THEN recommend a gradual, phased increase in debt allocation along a glide path — not an abrupt switch.</w:t>
      </w:r>
    </w:p>
    <w:p>
      <w:pPr>
        <w:spacing w:after="120" w:line="276"/>
      </w:pPr>
      <w:r>
        <w:rPr>
          <w:rFonts w:ascii="Arial" w:cs="Arial" w:eastAsia="Arial" w:hAnsi="Arial"/>
          <w:b/>
          <w:bCs/>
        </w:rPr>
        <w:t xml:space="preserve">GA-4  </w:t>
      </w:r>
      <w:r>
        <w:rPr>
          <w:rFonts w:ascii="Arial" w:cs="Arial" w:eastAsia="Arial" w:hAnsi="Arial"/>
        </w:rPr>
        <w:t xml:space="preserve">IF projected corpus at goal date &lt; target amount at the modelled return THEN flag a goal-funding shortfall and surface it before instrument-level actions.</w:t>
      </w:r>
    </w:p>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Goal Alignment Score — how well current allocation matches the horizon-appropriate target.</w:t>
      </w:r>
    </w:p>
    <w:p>
      <w:pPr>
        <w:pStyle w:val="ListParagraph"/>
        <w:numPr>
          <w:ilvl w:val="0"/>
          <w:numId w:val="2"/>
        </w:numPr>
        <w:spacing w:after="60" w:line="276"/>
      </w:pPr>
      <w:r>
        <w:rPr>
          <w:rFonts w:ascii="Arial" w:cs="Arial" w:eastAsia="Arial" w:hAnsi="Arial"/>
        </w:rPr>
        <w:t xml:space="preserve">Goal Success Probability — modelled probability the goal is met (see Section 13).</w:t>
      </w:r>
    </w:p>
    <w:p>
      <w:pPr>
        <w:pStyle w:val="ListParagraph"/>
        <w:numPr>
          <w:ilvl w:val="0"/>
          <w:numId w:val="2"/>
        </w:numPr>
        <w:spacing w:after="60" w:line="276"/>
      </w:pPr>
      <w:r>
        <w:rPr>
          <w:rFonts w:ascii="Arial" w:cs="Arial" w:eastAsia="Arial" w:hAnsi="Arial"/>
        </w:rPr>
        <w:t xml:space="preserve">Goal Risk Mismatch — signed gap between current and target equity exposure.</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10.3 Risk Alignment Engine</w:t>
      </w:r>
    </w:p>
    <w:p>
      <w:pPr>
        <w:spacing w:after="120" w:line="276"/>
      </w:pPr>
      <w:r>
        <w:rPr>
          <w:rFonts w:ascii="Arial" w:cs="Arial" w:eastAsia="Arial" w:hAnsi="Arial"/>
          <w:b/>
          <w:bCs/>
        </w:rPr>
        <w:t xml:space="preserve">Purpose. </w:t>
      </w:r>
      <w:r>
        <w:rPr>
          <w:rFonts w:ascii="Arial" w:cs="Arial" w:eastAsia="Arial" w:hAnsi="Arial"/>
        </w:rPr>
        <w:t xml:space="preserve">Ensure portfolio volatility and drawdown exposure stay within the investor’s declared risk capacity.</w:t>
      </w:r>
    </w:p>
    <w:p>
      <w:pPr>
        <w:pStyle w:val="Heading4"/>
      </w:pPr>
      <w:r>
        <w:rPr>
          <w:rFonts w:ascii="Arial" w:cs="Arial" w:eastAsia="Arial" w:hAnsi="Arial"/>
          <w:b/>
          <w:bCs/>
        </w:rPr>
        <w:t xml:space="preserve">Rule RA-1 — Conservative-Profile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Asset / exposure</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Maximum allocation</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Smallcap funds</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Sectoral / thematic funds</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Any single direct stock</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8%</w:t>
            </w:r>
          </w:p>
        </w:tc>
      </w:tr>
    </w:tbl>
    <w:p>
      <w:pPr>
        <w:spacing w:after="80"/>
      </w:pPr>
      <w:r>
        <w:rPr>
          <w:rFonts w:ascii="Arial" w:cs="Arial" w:eastAsia="Arial" w:hAnsi="Arial"/>
        </w:rPr>
        <w:t xml:space="preserve"/>
      </w:r>
    </w:p>
    <w:p>
      <w:pPr>
        <w:pStyle w:val="Heading4"/>
      </w:pPr>
      <w:r>
        <w:rPr>
          <w:rFonts w:ascii="Arial" w:cs="Arial" w:eastAsia="Arial" w:hAnsi="Arial"/>
          <w:b/>
          <w:bCs/>
        </w:rPr>
        <w:t xml:space="preserve">Further Rules</w:t>
      </w:r>
    </w:p>
    <w:p>
      <w:pPr>
        <w:spacing w:after="120" w:line="276"/>
      </w:pPr>
      <w:r>
        <w:rPr>
          <w:rFonts w:ascii="Arial" w:cs="Arial" w:eastAsia="Arial" w:hAnsi="Arial"/>
          <w:b/>
          <w:bCs/>
        </w:rPr>
        <w:t xml:space="preserve">RA-2  </w:t>
      </w:r>
      <w:r>
        <w:rPr>
          <w:rFonts w:ascii="Arial" w:cs="Arial" w:eastAsia="Arial" w:hAnsi="Arial"/>
        </w:rPr>
        <w:t xml:space="preserve">IF modelled portfolio volatility &gt; the profile threshold THEN recommend REDUCE_RISK, targeting the highest marginal-risk contributors first.</w:t>
      </w:r>
    </w:p>
    <w:p>
      <w:pPr>
        <w:spacing w:after="120" w:line="276"/>
      </w:pPr>
      <w:r>
        <w:rPr>
          <w:rFonts w:ascii="Arial" w:cs="Arial" w:eastAsia="Arial" w:hAnsi="Arial"/>
          <w:b/>
          <w:bCs/>
        </w:rPr>
        <w:t xml:space="preserve">RA-3  </w:t>
      </w:r>
      <w:r>
        <w:rPr>
          <w:rFonts w:ascii="Arial" w:cs="Arial" w:eastAsia="Arial" w:hAnsi="Arial"/>
        </w:rPr>
        <w:t xml:space="preserve">IF modelled maximum drawdown exceeds the profile’s drawdown tolerance THEN flag a drawdown-risk mismatch.</w:t>
      </w:r>
    </w:p>
    <w:p>
      <w:pPr>
        <w:spacing w:after="120" w:line="276"/>
      </w:pPr>
      <w:r>
        <w:rPr>
          <w:rFonts w:ascii="Arial" w:cs="Arial" w:eastAsia="Arial" w:hAnsi="Arial"/>
          <w:b/>
          <w:bCs/>
        </w:rPr>
        <w:t xml:space="preserve">Clarification. </w:t>
      </w:r>
      <w:r>
        <w:rPr>
          <w:rFonts w:ascii="Arial" w:cs="Arial" w:eastAsia="Arial" w:hAnsi="Arial"/>
        </w:rPr>
        <w:t xml:space="preserve">Caps in RA-1 apply to the Conservative profile. Moderate and Aggressive profiles use their own cap tables, defined in calibration configuration and reviewed by Data Science and Compliance.</w:t>
      </w:r>
    </w:p>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Risk Suitability Score, Volatility Mismatch, Drawdown Risk estimate.</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10.4 Portfolio Analytics Engine</w:t>
      </w:r>
    </w:p>
    <w:p>
      <w:pPr>
        <w:spacing w:after="120" w:line="276"/>
      </w:pPr>
      <w:r>
        <w:rPr>
          <w:rFonts w:ascii="Arial" w:cs="Arial" w:eastAsia="Arial" w:hAnsi="Arial"/>
          <w:b/>
          <w:bCs/>
        </w:rPr>
        <w:t xml:space="preserve">Purpose. </w:t>
      </w:r>
      <w:r>
        <w:rPr>
          <w:rFonts w:ascii="Arial" w:cs="Arial" w:eastAsia="Arial" w:hAnsi="Arial"/>
        </w:rPr>
        <w:t xml:space="preserve">Evaluate the structure of the portfolio as a whole, independent of any single instrument.</w:t>
      </w:r>
    </w:p>
    <w:p>
      <w:pPr>
        <w:pStyle w:val="Heading4"/>
      </w:pPr>
      <w:r>
        <w:rPr>
          <w:rFonts w:ascii="Arial" w:cs="Arial" w:eastAsia="Arial" w:hAnsi="Arial"/>
          <w:b/>
          <w:bCs/>
        </w:rPr>
        <w:t xml:space="preserve">Rules</w:t>
      </w:r>
    </w:p>
    <w:p>
      <w:pPr>
        <w:spacing w:after="120" w:line="276"/>
      </w:pPr>
      <w:r>
        <w:rPr>
          <w:rFonts w:ascii="Arial" w:cs="Arial" w:eastAsia="Arial" w:hAnsi="Arial"/>
          <w:b/>
          <w:bCs/>
        </w:rPr>
        <w:t xml:space="preserve">PA-1  </w:t>
      </w:r>
      <w:r>
        <w:rPr>
          <w:rFonts w:ascii="Arial" w:cs="Arial" w:eastAsia="Arial" w:hAnsi="Arial"/>
        </w:rPr>
        <w:t xml:space="preserve">IF the number of equity funds &gt; 8 AND the marginal diversification gain from additional funds is negligible THEN recommend SIMPLIFY.</w:t>
      </w:r>
    </w:p>
    <w:p>
      <w:pPr>
        <w:spacing w:after="120" w:line="276"/>
      </w:pPr>
      <w:r>
        <w:rPr>
          <w:rFonts w:ascii="Arial" w:cs="Arial" w:eastAsia="Arial" w:hAnsi="Arial"/>
          <w:b/>
          <w:bCs/>
        </w:rPr>
        <w:t xml:space="preserve">PA-3  </w:t>
      </w:r>
      <w:r>
        <w:rPr>
          <w:rFonts w:ascii="Arial" w:cs="Arial" w:eastAsia="Arial" w:hAnsi="Arial"/>
        </w:rPr>
        <w:t xml:space="preserve">IF exposure to any single AMC &gt; 40% THEN recommend reducing AMC concentration.</w:t>
      </w:r>
    </w:p>
    <w:p>
      <w:pPr>
        <w:pStyle w:val="Heading4"/>
      </w:pPr>
      <w:r>
        <w:rPr>
          <w:rFonts w:ascii="Arial" w:cs="Arial" w:eastAsia="Arial" w:hAnsi="Arial"/>
          <w:b/>
          <w:bCs/>
        </w:rPr>
        <w:t xml:space="preserve">Rule PA-2 — Effective Number of Holdings</w:t>
      </w:r>
    </w:p>
    <w:p>
      <w:pPr>
        <w:spacing w:after="120" w:line="276"/>
      </w:pPr>
      <w:r>
        <w:rPr>
          <w:rFonts w:ascii="Arial" w:cs="Arial" w:eastAsia="Arial" w:hAnsi="Arial"/>
        </w:rPr>
        <w:t xml:space="preserve">The effective number of holdings is the inverse Herfindahl index of portfolio weights. It reports how many holdings the portfolio behaves like, given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effective_holdings = 1 / Sum( weight_i ^ 2 )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where weight_i is the fractional allocation to holding i,</w:t>
            </w:r>
          </w:p>
          <w:p>
            <w:pPr>
              <w:spacing w:after="0" w:line="264"/>
            </w:pPr>
            <w:r>
              <w:rPr>
                <w:rFonts w:ascii="Consolas" w:cs="Consolas" w:eastAsia="Consolas" w:hAnsi="Consolas"/>
                <w:sz w:val="19"/>
                <w:szCs w:val="19"/>
              </w:rPr>
              <w:t xml:space="preserve">  and Sum( weight_i ) = 1 over all holdings.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Example: 10 holdings at 10% each -&gt; 1 / (10 * 0.01) = 10.0</w:t>
            </w:r>
          </w:p>
          <w:p>
            <w:pPr>
              <w:spacing w:after="0" w:line="264"/>
            </w:pPr>
            <w:r>
              <w:rPr>
                <w:rFonts w:ascii="Consolas" w:cs="Consolas" w:eastAsia="Consolas" w:hAnsi="Consolas"/>
                <w:sz w:val="19"/>
                <w:szCs w:val="19"/>
              </w:rPr>
              <w:t xml:space="preserve">         1 holding at 60% + 8 at 5% -&gt; 1 / (0.36 + 0.02) = 2.6</w:t>
            </w:r>
          </w:p>
        </w:tc>
      </w:tr>
    </w:tbl>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Diversification Score, Complexity Score, Concentration Score, effective number of holdings.</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10.5 Overlap Engine</w:t>
      </w:r>
    </w:p>
    <w:p>
      <w:pPr>
        <w:spacing w:after="120" w:line="276"/>
      </w:pPr>
      <w:r>
        <w:rPr>
          <w:rFonts w:ascii="Arial" w:cs="Arial" w:eastAsia="Arial" w:hAnsi="Arial"/>
          <w:b/>
          <w:bCs/>
        </w:rPr>
        <w:t xml:space="preserve">Purpose. </w:t>
      </w:r>
      <w:r>
        <w:rPr>
          <w:rFonts w:ascii="Arial" w:cs="Arial" w:eastAsia="Arial" w:hAnsi="Arial"/>
        </w:rPr>
        <w:t xml:space="preserve">Detect redundant exposure where two holdings own substantially the same underlying securities.</w:t>
      </w:r>
    </w:p>
    <w:p>
      <w:pPr>
        <w:pStyle w:val="Heading4"/>
      </w:pPr>
      <w:r>
        <w:rPr>
          <w:rFonts w:ascii="Arial" w:cs="Arial" w:eastAsia="Arial" w:hAnsi="Arial"/>
          <w:b/>
          <w:bCs/>
        </w:rPr>
        <w:t xml:space="preserve">Rules</w:t>
      </w:r>
    </w:p>
    <w:p>
      <w:pPr>
        <w:spacing w:after="120" w:line="276"/>
      </w:pPr>
      <w:r>
        <w:rPr>
          <w:rFonts w:ascii="Arial" w:cs="Arial" w:eastAsia="Arial" w:hAnsi="Arial"/>
          <w:b/>
          <w:bCs/>
        </w:rPr>
        <w:t xml:space="preserve">OV-1  </w:t>
      </w:r>
      <w:r>
        <w:rPr>
          <w:rFonts w:ascii="Arial" w:cs="Arial" w:eastAsia="Arial" w:hAnsi="Arial"/>
        </w:rPr>
        <w:t xml:space="preserve">IF pairwise overlap &gt; 70% THEN mark the pair as a consolidation candidate.</w:t>
      </w:r>
    </w:p>
    <w:p>
      <w:pPr>
        <w:spacing w:after="120" w:line="276"/>
      </w:pPr>
      <w:r>
        <w:rPr>
          <w:rFonts w:ascii="Arial" w:cs="Arial" w:eastAsia="Arial" w:hAnsi="Arial"/>
          <w:b/>
          <w:bCs/>
        </w:rPr>
        <w:t xml:space="preserve">OV-2  </w:t>
      </w:r>
      <w:r>
        <w:rPr>
          <w:rFonts w:ascii="Arial" w:cs="Arial" w:eastAsia="Arial" w:hAnsi="Arial"/>
        </w:rPr>
        <w:t xml:space="preserve">IF pairwise overlap is between 50% and 70% THEN mark the pair as a lower-priority cleanup item.</w:t>
      </w:r>
    </w:p>
    <w:p>
      <w:pPr>
        <w:pStyle w:val="Heading4"/>
      </w:pPr>
      <w:r>
        <w:rPr>
          <w:rFonts w:ascii="Arial" w:cs="Arial" w:eastAsia="Arial" w:hAnsi="Arial"/>
          <w:b/>
          <w:bCs/>
        </w:rPr>
        <w:t xml:space="preserve">Rule OV-3 — Keep-Fund Score</w:t>
      </w:r>
    </w:p>
    <w:p>
      <w:pPr>
        <w:spacing w:after="120" w:line="276"/>
      </w:pPr>
      <w:r>
        <w:rPr>
          <w:rFonts w:ascii="Arial" w:cs="Arial" w:eastAsia="Arial" w:hAnsi="Arial"/>
        </w:rPr>
        <w:t xml:space="preserve">When two funds overlap, the engine must decide which to keep. The Keep Score ranks each fund; the higher score is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KEEP_SCORE =</w:t>
            </w:r>
          </w:p>
          <w:p>
            <w:pPr>
              <w:spacing w:after="0" w:line="264"/>
            </w:pPr>
            <w:r>
              <w:rPr>
                <w:rFonts w:ascii="Consolas" w:cs="Consolas" w:eastAsia="Consolas" w:hAnsi="Consolas"/>
                <w:sz w:val="19"/>
                <w:szCs w:val="19"/>
              </w:rPr>
              <w:t xml:space="preserve">    0.35 * NIDP_score             // net investor-disclosed performance</w:t>
            </w:r>
          </w:p>
          <w:p>
            <w:pPr>
              <w:spacing w:after="0" w:line="264"/>
            </w:pPr>
            <w:r>
              <w:rPr>
                <w:rFonts w:ascii="Consolas" w:cs="Consolas" w:eastAsia="Consolas" w:hAnsi="Consolas"/>
                <w:sz w:val="19"/>
                <w:szCs w:val="19"/>
              </w:rPr>
              <w:t xml:space="preserve">  + 0.20 * consistency_score</w:t>
            </w:r>
          </w:p>
          <w:p>
            <w:pPr>
              <w:spacing w:after="0" w:line="264"/>
            </w:pPr>
            <w:r>
              <w:rPr>
                <w:rFonts w:ascii="Consolas" w:cs="Consolas" w:eastAsia="Consolas" w:hAnsi="Consolas"/>
                <w:sz w:val="19"/>
                <w:szCs w:val="19"/>
              </w:rPr>
              <w:t xml:space="preserve">  + 0.15 * risk_adjusted_return_score</w:t>
            </w:r>
          </w:p>
          <w:p>
            <w:pPr>
              <w:spacing w:after="0" w:line="264"/>
            </w:pPr>
            <w:r>
              <w:rPr>
                <w:rFonts w:ascii="Consolas" w:cs="Consolas" w:eastAsia="Consolas" w:hAnsi="Consolas"/>
                <w:sz w:val="19"/>
                <w:szCs w:val="19"/>
              </w:rPr>
              <w:t xml:space="preserve">  + 0.10 * expense_score          // lower expense -&gt; higher score</w:t>
            </w:r>
          </w:p>
          <w:p>
            <w:pPr>
              <w:spacing w:after="0" w:line="264"/>
            </w:pPr>
            <w:r>
              <w:rPr>
                <w:rFonts w:ascii="Consolas" w:cs="Consolas" w:eastAsia="Consolas" w:hAnsi="Consolas"/>
                <w:sz w:val="19"/>
                <w:szCs w:val="19"/>
              </w:rPr>
              <w:t xml:space="preserve">  + 0.10 * manager_stability_score</w:t>
            </w:r>
          </w:p>
          <w:p>
            <w:pPr>
              <w:spacing w:after="0" w:line="264"/>
            </w:pPr>
            <w:r>
              <w:rPr>
                <w:rFonts w:ascii="Consolas" w:cs="Consolas" w:eastAsia="Consolas" w:hAnsi="Consolas"/>
                <w:sz w:val="19"/>
                <w:szCs w:val="19"/>
              </w:rPr>
              <w:t xml:space="preserve">  + 0.10 * portfolio_fit_score</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All component scores are normalised to the 0-1 range.</w:t>
            </w:r>
          </w:p>
          <w:p>
            <w:pPr>
              <w:spacing w:after="0" w:line="264"/>
            </w:pPr>
            <w:r>
              <w:rPr>
                <w:rFonts w:ascii="Consolas" w:cs="Consolas" w:eastAsia="Consolas" w:hAnsi="Consolas"/>
                <w:sz w:val="19"/>
                <w:szCs w:val="19"/>
              </w:rPr>
              <w:t xml:space="preserve">  Weights sum to 1.00.</w:t>
            </w:r>
          </w:p>
        </w:tc>
      </w:tr>
    </w:tbl>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Overlap matrix (pairwise), ranked list of consolidation candidates with the keep/exit verdict.</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10.6 Correlation Engine</w:t>
      </w:r>
    </w:p>
    <w:p>
      <w:pPr>
        <w:spacing w:after="120" w:line="276"/>
      </w:pPr>
      <w:r>
        <w:rPr>
          <w:rFonts w:ascii="Arial" w:cs="Arial" w:eastAsia="Arial" w:hAnsi="Arial"/>
          <w:b/>
          <w:bCs/>
        </w:rPr>
        <w:t xml:space="preserve">Purpose. </w:t>
      </w:r>
      <w:r>
        <w:rPr>
          <w:rFonts w:ascii="Arial" w:cs="Arial" w:eastAsia="Arial" w:hAnsi="Arial"/>
        </w:rPr>
        <w:t xml:space="preserve">Detect behavioural similarity that holdings overlap alone misses. Two funds can hold different securities yet still move together.</w:t>
      </w:r>
    </w:p>
    <w:p>
      <w:pPr>
        <w:pStyle w:val="Heading4"/>
      </w:pPr>
      <w:r>
        <w:rPr>
          <w:rFonts w:ascii="Arial" w:cs="Arial" w:eastAsia="Arial" w:hAnsi="Arial"/>
          <w:b/>
          <w:bCs/>
        </w:rPr>
        <w:t xml:space="preserve">Rules</w:t>
      </w:r>
    </w:p>
    <w:p>
      <w:pPr>
        <w:spacing w:after="120" w:line="276"/>
      </w:pPr>
      <w:r>
        <w:rPr>
          <w:rFonts w:ascii="Arial" w:cs="Arial" w:eastAsia="Arial" w:hAnsi="Arial"/>
          <w:b/>
          <w:bCs/>
        </w:rPr>
        <w:t xml:space="preserve">CR-1  </w:t>
      </w:r>
      <w:r>
        <w:rPr>
          <w:rFonts w:ascii="Arial" w:cs="Arial" w:eastAsia="Arial" w:hAnsi="Arial"/>
        </w:rPr>
        <w:t xml:space="preserve">IF rolling return correlation between two holdings &gt; 0.85 THEN mark the pair behaviourally redundant, even if holdings overlap is low.</w:t>
      </w:r>
    </w:p>
    <w:p>
      <w:pPr>
        <w:spacing w:after="120" w:line="276"/>
      </w:pPr>
      <w:r>
        <w:rPr>
          <w:rFonts w:ascii="Arial" w:cs="Arial" w:eastAsia="Arial" w:hAnsi="Arial"/>
          <w:b/>
          <w:bCs/>
        </w:rPr>
        <w:t xml:space="preserve">Clarification. </w:t>
      </w:r>
      <w:r>
        <w:rPr>
          <w:rFonts w:ascii="Arial" w:cs="Arial" w:eastAsia="Arial" w:hAnsi="Arial"/>
        </w:rPr>
        <w:t xml:space="preserve">Correlation is computed on rolling returns over a configured lookback window (default 36 months). Pairs with insufficient shared history are reported with data_quality = PARTIAL rather than assumed uncorrelated.</w:t>
      </w:r>
    </w:p>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Correlation matrix and a ranked list of diversification opportunities.</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10.7 Portfolio Impact Engine</w:t>
      </w:r>
    </w:p>
    <w:p>
      <w:pPr>
        <w:spacing w:after="120" w:line="276"/>
      </w:pPr>
      <w:r>
        <w:rPr>
          <w:rFonts w:ascii="Arial" w:cs="Arial" w:eastAsia="Arial" w:hAnsi="Arial"/>
          <w:b/>
          <w:bCs/>
        </w:rPr>
        <w:t xml:space="preserve">Purpose. </w:t>
      </w:r>
      <w:r>
        <w:rPr>
          <w:rFonts w:ascii="Arial" w:cs="Arial" w:eastAsia="Arial" w:hAnsi="Arial"/>
        </w:rPr>
        <w:t xml:space="preserve">Convert instrument-level signals into portfolio-aware recommendations by weighting severity with allocation and marginal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Core principle</w:t>
            </w:r>
          </w:p>
          <w:p>
            <w:pPr>
              <w:spacing w:after="120" w:line="276"/>
            </w:pPr>
            <w:r>
              <w:rPr>
                <w:rFonts w:ascii="Arial" w:cs="Arial" w:eastAsia="Arial" w:hAnsi="Arial"/>
              </w:rPr>
              <w:t xml:space="preserve">A poor-quality holding at 2% of the portfolio and a poor-quality holding at 35% must never produce equal severity. Impact is a function of both instrument quality and allocation weight.</w:t>
            </w:r>
          </w:p>
        </w:tc>
      </w:tr>
    </w:tbl>
    <w:p>
      <w:pPr>
        <w:pStyle w:val="Heading4"/>
      </w:pPr>
      <w:r>
        <w:rPr>
          <w:rFonts w:ascii="Arial" w:cs="Arial" w:eastAsia="Arial" w:hAnsi="Arial"/>
          <w:b/>
          <w:bCs/>
        </w:rPr>
        <w:t xml:space="preserve">Rule PI-1 — Allocation Impact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Allocation weight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Severity multiplier</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Under 2%</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0.4</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 to 5%</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0.7</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 to 10%</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 to 20%</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1.3</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 20%</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1.7</w:t>
            </w:r>
          </w:p>
        </w:tc>
      </w:tr>
    </w:tbl>
    <w:p>
      <w:pPr>
        <w:spacing w:after="80"/>
      </w:pPr>
      <w:r>
        <w:rPr>
          <w:rFonts w:ascii="Arial" w:cs="Arial" w:eastAsia="Arial" w:hAnsi="Arial"/>
        </w:rPr>
        <w:t xml:space="preserve"/>
      </w:r>
    </w:p>
    <w:p>
      <w:pPr>
        <w:pStyle w:val="Heading4"/>
      </w:pPr>
      <w:r>
        <w:rPr>
          <w:rFonts w:ascii="Arial" w:cs="Arial" w:eastAsia="Arial" w:hAnsi="Arial"/>
          <w:b/>
          <w:bCs/>
        </w:rPr>
        <w:t xml:space="preserve">Rule PI-2 — Weighted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weighted_overlap(a, b) =</w:t>
            </w:r>
          </w:p>
          <w:p>
            <w:pPr>
              <w:spacing w:after="0" w:line="264"/>
            </w:pPr>
            <w:r>
              <w:rPr>
                <w:rFonts w:ascii="Consolas" w:cs="Consolas" w:eastAsia="Consolas" w:hAnsi="Consolas"/>
                <w:sz w:val="19"/>
                <w:szCs w:val="19"/>
              </w:rPr>
              <w:t xml:space="preserve">    overlap_fraction(a, b) * min( weight_a, weight_b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Rationale: a 90% overlap between two 1% holdings barely</w:t>
            </w:r>
          </w:p>
          <w:p>
            <w:pPr>
              <w:spacing w:after="0" w:line="264"/>
            </w:pPr>
            <w:r>
              <w:rPr>
                <w:rFonts w:ascii="Consolas" w:cs="Consolas" w:eastAsia="Consolas" w:hAnsi="Consolas"/>
                <w:sz w:val="19"/>
                <w:szCs w:val="19"/>
              </w:rPr>
              <w:t xml:space="preserve">  matters; the same overlap between two 20% holdings is severe.</w:t>
            </w:r>
          </w:p>
        </w:tc>
      </w:tr>
    </w:tbl>
    <w:p>
      <w:pPr>
        <w:pStyle w:val="Heading4"/>
      </w:pPr>
      <w:r>
        <w:rPr>
          <w:rFonts w:ascii="Arial" w:cs="Arial" w:eastAsia="Arial" w:hAnsi="Arial"/>
          <w:b/>
          <w:bCs/>
        </w:rPr>
        <w:t xml:space="preserve">Rule PI-3 — Final Priority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FINAL_PRIORITY_SCORE =</w:t>
            </w:r>
          </w:p>
          <w:p>
            <w:pPr>
              <w:spacing w:after="0" w:line="264"/>
            </w:pPr>
            <w:r>
              <w:rPr>
                <w:rFonts w:ascii="Consolas" w:cs="Consolas" w:eastAsia="Consolas" w:hAnsi="Consolas"/>
                <w:sz w:val="19"/>
                <w:szCs w:val="19"/>
              </w:rPr>
              <w:t xml:space="preserve">    base_score</w:t>
            </w:r>
          </w:p>
          <w:p>
            <w:pPr>
              <w:spacing w:after="0" w:line="264"/>
            </w:pPr>
            <w:r>
              <w:rPr>
                <w:rFonts w:ascii="Consolas" w:cs="Consolas" w:eastAsia="Consolas" w:hAnsi="Consolas"/>
                <w:sz w:val="19"/>
                <w:szCs w:val="19"/>
              </w:rPr>
              <w:t xml:space="preserve">  * allocation_multiplier      // from PI-1</w:t>
            </w:r>
          </w:p>
          <w:p>
            <w:pPr>
              <w:spacing w:after="0" w:line="264"/>
            </w:pPr>
            <w:r>
              <w:rPr>
                <w:rFonts w:ascii="Consolas" w:cs="Consolas" w:eastAsia="Consolas" w:hAnsi="Consolas"/>
                <w:sz w:val="19"/>
                <w:szCs w:val="19"/>
              </w:rPr>
              <w:t xml:space="preserve">  * goal_multiplier            // &gt; 1 if the holding harms a goal</w:t>
            </w:r>
          </w:p>
          <w:p>
            <w:pPr>
              <w:spacing w:after="0" w:line="264"/>
            </w:pPr>
            <w:r>
              <w:rPr>
                <w:rFonts w:ascii="Consolas" w:cs="Consolas" w:eastAsia="Consolas" w:hAnsi="Consolas"/>
                <w:sz w:val="19"/>
                <w:szCs w:val="19"/>
              </w:rPr>
              <w:t xml:space="preserve">  * risk_multiplier            // &gt; 1 if the holding raises risk mismatch</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base_score is the instrument-level signal strength (0-1).</w:t>
            </w:r>
          </w:p>
          <w:p>
            <w:pPr>
              <w:spacing w:after="0" w:line="264"/>
            </w:pPr>
            <w:r>
              <w:rPr>
                <w:rFonts w:ascii="Consolas" w:cs="Consolas" w:eastAsia="Consolas" w:hAnsi="Consolas"/>
                <w:sz w:val="19"/>
                <w:szCs w:val="19"/>
              </w:rPr>
              <w:t xml:space="preserve">  Multipliers default to 1.0 when neutral.</w:t>
            </w:r>
          </w:p>
        </w:tc>
      </w:tr>
    </w:tbl>
    <w:p>
      <w:pPr>
        <w:pStyle w:val="Heading4"/>
      </w:pPr>
      <w:r>
        <w:rPr>
          <w:rFonts w:ascii="Arial" w:cs="Arial" w:eastAsia="Arial" w:hAnsi="Arial"/>
          <w:b/>
          <w:bCs/>
        </w:rPr>
        <w:t xml:space="preserve">Rule PI-4 — Contribution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CONTRIBUTION_SCORE =</w:t>
            </w:r>
          </w:p>
          <w:p>
            <w:pPr>
              <w:spacing w:after="0" w:line="264"/>
            </w:pPr>
            <w:r>
              <w:rPr>
                <w:rFonts w:ascii="Consolas" w:cs="Consolas" w:eastAsia="Consolas" w:hAnsi="Consolas"/>
                <w:sz w:val="19"/>
                <w:szCs w:val="19"/>
              </w:rPr>
              <w:t xml:space="preserve">    allocation_weight</w:t>
            </w:r>
          </w:p>
          <w:p>
            <w:pPr>
              <w:spacing w:after="0" w:line="264"/>
            </w:pPr>
            <w:r>
              <w:rPr>
                <w:rFonts w:ascii="Consolas" w:cs="Consolas" w:eastAsia="Consolas" w:hAnsi="Consolas"/>
                <w:sz w:val="19"/>
                <w:szCs w:val="19"/>
              </w:rPr>
              <w:t xml:space="preserve">  * diversification_contribution</w:t>
            </w:r>
          </w:p>
          <w:p>
            <w:pPr>
              <w:spacing w:after="0" w:line="264"/>
            </w:pPr>
            <w:r>
              <w:rPr>
                <w:rFonts w:ascii="Consolas" w:cs="Consolas" w:eastAsia="Consolas" w:hAnsi="Consolas"/>
                <w:sz w:val="19"/>
                <w:szCs w:val="19"/>
              </w:rPr>
              <w:t xml:space="preserve">  * return_contribution</w:t>
            </w:r>
          </w:p>
          <w:p>
            <w:pPr>
              <w:spacing w:after="0" w:line="264"/>
            </w:pPr>
            <w:r>
              <w:rPr>
                <w:rFonts w:ascii="Consolas" w:cs="Consolas" w:eastAsia="Consolas" w:hAnsi="Consolas"/>
                <w:sz w:val="19"/>
                <w:szCs w:val="19"/>
              </w:rPr>
              <w:t xml:space="preserve">  * risk_contribution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Measures how much a holding adds (or subtracts) across the</w:t>
            </w:r>
          </w:p>
          <w:p>
            <w:pPr>
              <w:spacing w:after="0" w:line="264"/>
            </w:pPr>
            <w:r>
              <w:rPr>
                <w:rFonts w:ascii="Consolas" w:cs="Consolas" w:eastAsia="Consolas" w:hAnsi="Consolas"/>
                <w:sz w:val="19"/>
                <w:szCs w:val="19"/>
              </w:rPr>
              <w:t xml:space="preserve">  three portfolio dimensions, scaled by how much of the</w:t>
            </w:r>
          </w:p>
          <w:p>
            <w:pPr>
              <w:spacing w:after="0" w:line="264"/>
            </w:pPr>
            <w:r>
              <w:rPr>
                <w:rFonts w:ascii="Consolas" w:cs="Consolas" w:eastAsia="Consolas" w:hAnsi="Consolas"/>
                <w:sz w:val="19"/>
                <w:szCs w:val="19"/>
              </w:rPr>
              <w:t xml:space="preserve">  portfolio it represents.</w:t>
            </w:r>
          </w:p>
        </w:tc>
      </w:tr>
    </w:tbl>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Weighted overlap, weighted concentration, marginal risk contribution, allocation efficiency.</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10.8 Mutual Fund Scoring Engine</w:t>
      </w:r>
    </w:p>
    <w:p>
      <w:pPr>
        <w:spacing w:after="120" w:line="276"/>
      </w:pPr>
      <w:r>
        <w:rPr>
          <w:rFonts w:ascii="Arial" w:cs="Arial" w:eastAsia="Arial" w:hAnsi="Arial"/>
          <w:b/>
          <w:bCs/>
        </w:rPr>
        <w:t xml:space="preserve">Purpose. </w:t>
      </w:r>
      <w:r>
        <w:rPr>
          <w:rFonts w:ascii="Arial" w:cs="Arial" w:eastAsia="Arial" w:hAnsi="Arial"/>
        </w:rPr>
        <w:t xml:space="preserve">Produce instrument-level Exit, Switch, and Add signals for mutual funds.</w:t>
      </w:r>
    </w:p>
    <w:p>
      <w:pPr>
        <w:pStyle w:val="Heading4"/>
      </w:pPr>
      <w:r>
        <w:rPr>
          <w:rFonts w:ascii="Arial" w:cs="Arial" w:eastAsia="Arial" w:hAnsi="Arial"/>
          <w:b/>
          <w:bCs/>
        </w:rPr>
        <w:t xml:space="preserve">Exit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EXIT_SCORE =</w:t>
            </w:r>
          </w:p>
          <w:p>
            <w:pPr>
              <w:spacing w:after="0" w:line="264"/>
            </w:pPr>
            <w:r>
              <w:rPr>
                <w:rFonts w:ascii="Consolas" w:cs="Consolas" w:eastAsia="Consolas" w:hAnsi="Consolas"/>
                <w:sz w:val="19"/>
                <w:szCs w:val="19"/>
              </w:rPr>
              <w:t xml:space="preserve">    0.25 * overlap_component</w:t>
            </w:r>
          </w:p>
          <w:p>
            <w:pPr>
              <w:spacing w:after="0" w:line="264"/>
            </w:pPr>
            <w:r>
              <w:rPr>
                <w:rFonts w:ascii="Consolas" w:cs="Consolas" w:eastAsia="Consolas" w:hAnsi="Consolas"/>
                <w:sz w:val="19"/>
                <w:szCs w:val="19"/>
              </w:rPr>
              <w:t xml:space="preserve">  + 0.25 * tax_impact_component</w:t>
            </w:r>
          </w:p>
          <w:p>
            <w:pPr>
              <w:spacing w:after="0" w:line="264"/>
            </w:pPr>
            <w:r>
              <w:rPr>
                <w:rFonts w:ascii="Consolas" w:cs="Consolas" w:eastAsia="Consolas" w:hAnsi="Consolas"/>
                <w:sz w:val="19"/>
                <w:szCs w:val="19"/>
              </w:rPr>
              <w:t xml:space="preserve">  + 0.25 * inverse_quality_component   // weak quality -&gt; high value</w:t>
            </w:r>
          </w:p>
          <w:p>
            <w:pPr>
              <w:spacing w:after="0" w:line="264"/>
            </w:pPr>
            <w:r>
              <w:rPr>
                <w:rFonts w:ascii="Consolas" w:cs="Consolas" w:eastAsia="Consolas" w:hAnsi="Consolas"/>
                <w:sz w:val="19"/>
                <w:szCs w:val="19"/>
              </w:rPr>
              <w:t xml:space="preserve">  + 0.15 * cost_component</w:t>
            </w:r>
          </w:p>
          <w:p>
            <w:pPr>
              <w:spacing w:after="0" w:line="264"/>
            </w:pPr>
            <w:r>
              <w:rPr>
                <w:rFonts w:ascii="Consolas" w:cs="Consolas" w:eastAsia="Consolas" w:hAnsi="Consolas"/>
                <w:sz w:val="19"/>
                <w:szCs w:val="19"/>
              </w:rPr>
              <w:t xml:space="preserve">  + 0.10 * portfolio_fit_component</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All components are normalised to 0-10. Weights sum to 1.00.</w:t>
            </w:r>
          </w:p>
        </w:tc>
      </w:tr>
    </w:tbl>
    <w:p>
      <w:pPr>
        <w:pStyle w:val="Heading4"/>
      </w:pPr>
      <w:r>
        <w:rPr>
          <w:rFonts w:ascii="Arial" w:cs="Arial" w:eastAsia="Arial" w:hAnsi="Arial"/>
          <w:b/>
          <w:bCs/>
        </w:rPr>
        <w:t xml:space="preserve">Quality Subscore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Performance</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Risk-adjusted return</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Consistency</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Drawdown behaviour</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Expense ratio</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AUM stability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Exit-Score 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Exit score</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Action</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Greater than or equal to 7</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A6262B"/>
                <w:sz w:val="19"/>
                <w:szCs w:val="19"/>
              </w:rPr>
              <w:t xml:space="preserve">EXIT</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Between 4 and 7</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9A6700"/>
                <w:sz w:val="19"/>
                <w:szCs w:val="19"/>
              </w:rPr>
              <w:t xml:space="preserve">HOLD</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Less than 4</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1E6F3C"/>
                <w:sz w:val="19"/>
                <w:szCs w:val="19"/>
              </w:rPr>
              <w:t xml:space="preserve">KEEP</w:t>
            </w:r>
          </w:p>
        </w:tc>
      </w:tr>
    </w:tbl>
    <w:p>
      <w:pPr>
        <w:spacing w:after="80"/>
      </w:pPr>
      <w:r>
        <w:rPr>
          <w:rFonts w:ascii="Arial" w:cs="Arial" w:eastAsia="Arial" w:hAnsi="Arial"/>
        </w:rPr>
        <w:t xml:space="preserve"/>
      </w:r>
    </w:p>
    <w:p>
      <w:pPr>
        <w:pStyle w:val="Heading4"/>
      </w:pPr>
      <w:r>
        <w:rPr>
          <w:rFonts w:ascii="Arial" w:cs="Arial" w:eastAsia="Arial" w:hAnsi="Arial"/>
          <w:b/>
          <w:bCs/>
        </w:rPr>
        <w:t xml:space="preserve">Guardrails</w:t>
      </w:r>
    </w:p>
    <w:p>
      <w:pPr>
        <w:spacing w:after="120" w:line="276"/>
      </w:pPr>
      <w:r>
        <w:rPr>
          <w:rFonts w:ascii="Arial" w:cs="Arial" w:eastAsia="Arial" w:hAnsi="Arial"/>
          <w:b/>
          <w:bCs/>
        </w:rPr>
        <w:t xml:space="preserve">MF-EX-1  </w:t>
      </w:r>
      <w:r>
        <w:rPr>
          <w:rFonts w:ascii="Arial" w:cs="Arial" w:eastAsia="Arial" w:hAnsi="Arial"/>
        </w:rPr>
        <w:t xml:space="preserve">IF raw quality score ≤ 2.5 AND overlap &lt; 80% THEN force HOLD. Rationale: a weak fund that is not redundant should not be exited on quality alone — the proceeds may have nowhere better to go.</w:t>
      </w:r>
    </w:p>
    <w:p>
      <w:pPr>
        <w:spacing w:after="120" w:line="276"/>
      </w:pPr>
      <w:r>
        <w:rPr>
          <w:rFonts w:ascii="Arial" w:cs="Arial" w:eastAsia="Arial" w:hAnsi="Arial"/>
          <w:b/>
          <w:bCs/>
        </w:rPr>
        <w:t xml:space="preserve">MF-EX-2  </w:t>
      </w:r>
      <w:r>
        <w:rPr>
          <w:rFonts w:ascii="Arial" w:cs="Arial" w:eastAsia="Arial" w:hAnsi="Arial"/>
        </w:rPr>
        <w:t xml:space="preserve">IF estimated tax cost of exiting &gt; the annualised benefit of exiting THEN suppress the EXIT recommendation.</w:t>
      </w:r>
    </w:p>
    <w:p>
      <w:pPr>
        <w:spacing w:after="120" w:line="276"/>
      </w:pPr>
      <w:r>
        <w:rPr>
          <w:rFonts w:ascii="Arial" w:cs="Arial" w:eastAsia="Arial" w:hAnsi="Arial"/>
          <w:b/>
          <w:bCs/>
        </w:rPr>
        <w:t xml:space="preserve">Clarification on Switch and Add. </w:t>
      </w:r>
      <w:r>
        <w:rPr>
          <w:rFonts w:ascii="Arial" w:cs="Arial" w:eastAsia="Arial" w:hAnsi="Arial"/>
        </w:rPr>
        <w:t xml:space="preserve">Switch combines an Exit signal on the source fund with an Add signal on a better-fit destination; it is suppressed if Exit is blocked by a guardrail. Add scores a candidate fund on portfolio fit, diversification gain, quality, and cost, and is only surfaced when it materially improves portfolio structure.</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10.9 Stock Scoring Engine</w:t>
      </w:r>
    </w:p>
    <w:p>
      <w:pPr>
        <w:spacing w:after="120" w:line="276"/>
      </w:pPr>
      <w:r>
        <w:rPr>
          <w:rFonts w:ascii="Arial" w:cs="Arial" w:eastAsia="Arial" w:hAnsi="Arial"/>
          <w:b/>
          <w:bCs/>
        </w:rPr>
        <w:t xml:space="preserve">Purpose. </w:t>
      </w:r>
      <w:r>
        <w:rPr>
          <w:rFonts w:ascii="Arial" w:cs="Arial" w:eastAsia="Arial" w:hAnsi="Arial"/>
        </w:rPr>
        <w:t xml:space="preserve">Produce instrument-level Quality, Exit, and Trim signals for direct equity holdings.</w:t>
      </w:r>
    </w:p>
    <w:p>
      <w:pPr>
        <w:pStyle w:val="Heading4"/>
      </w:pPr>
      <w:r>
        <w:rPr>
          <w:rFonts w:ascii="Arial" w:cs="Arial" w:eastAsia="Arial" w:hAnsi="Arial"/>
          <w:b/>
          <w:bCs/>
        </w:rPr>
        <w:t xml:space="preserve">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Return on equity (ROE)</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Earnings consistency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EPS growth</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Debt-to-equity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Promoter holding</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Market-cap stability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Exit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EXIT_SCORE =</w:t>
            </w:r>
          </w:p>
          <w:p>
            <w:pPr>
              <w:spacing w:after="0" w:line="264"/>
            </w:pPr>
            <w:r>
              <w:rPr>
                <w:rFonts w:ascii="Consolas" w:cs="Consolas" w:eastAsia="Consolas" w:hAnsi="Consolas"/>
                <w:sz w:val="19"/>
                <w:szCs w:val="19"/>
              </w:rPr>
              <w:t xml:space="preserve">    0.25 * pe_overvaluation_component</w:t>
            </w:r>
          </w:p>
          <w:p>
            <w:pPr>
              <w:spacing w:after="0" w:line="264"/>
            </w:pPr>
            <w:r>
              <w:rPr>
                <w:rFonts w:ascii="Consolas" w:cs="Consolas" w:eastAsia="Consolas" w:hAnsi="Consolas"/>
                <w:sz w:val="19"/>
                <w:szCs w:val="19"/>
              </w:rPr>
              <w:t xml:space="preserve">  + 0.25 * earnings_decline_component</w:t>
            </w:r>
          </w:p>
          <w:p>
            <w:pPr>
              <w:spacing w:after="0" w:line="264"/>
            </w:pPr>
            <w:r>
              <w:rPr>
                <w:rFonts w:ascii="Consolas" w:cs="Consolas" w:eastAsia="Consolas" w:hAnsi="Consolas"/>
                <w:sz w:val="19"/>
                <w:szCs w:val="19"/>
              </w:rPr>
              <w:t xml:space="preserve">  + 0.20 * quality_deterioration_component</w:t>
            </w:r>
          </w:p>
          <w:p>
            <w:pPr>
              <w:spacing w:after="0" w:line="264"/>
            </w:pPr>
            <w:r>
              <w:rPr>
                <w:rFonts w:ascii="Consolas" w:cs="Consolas" w:eastAsia="Consolas" w:hAnsi="Consolas"/>
                <w:sz w:val="19"/>
                <w:szCs w:val="19"/>
              </w:rPr>
              <w:t xml:space="preserve">  + 0.10 * debt_spike_component</w:t>
            </w:r>
          </w:p>
          <w:p>
            <w:pPr>
              <w:spacing w:after="0" w:line="264"/>
            </w:pPr>
            <w:r>
              <w:rPr>
                <w:rFonts w:ascii="Consolas" w:cs="Consolas" w:eastAsia="Consolas" w:hAnsi="Consolas"/>
                <w:sz w:val="19"/>
                <w:szCs w:val="19"/>
              </w:rPr>
              <w:t xml:space="preserve">  + 0.10 * liquidity_risk_component</w:t>
            </w:r>
          </w:p>
          <w:p>
            <w:pPr>
              <w:spacing w:after="0" w:line="264"/>
            </w:pPr>
            <w:r>
              <w:rPr>
                <w:rFonts w:ascii="Consolas" w:cs="Consolas" w:eastAsia="Consolas" w:hAnsi="Consolas"/>
                <w:sz w:val="19"/>
                <w:szCs w:val="19"/>
              </w:rPr>
              <w:t xml:space="preserve">  + 0.10 * tax_impact_component</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Components normalised to a 0-100 scale. Weights sum to 1.00.</w:t>
            </w:r>
          </w:p>
        </w:tc>
      </w:tr>
    </w:tbl>
    <w:p>
      <w:pPr>
        <w:pStyle w:val="Heading4"/>
      </w:pPr>
      <w:r>
        <w:rPr>
          <w:rFonts w:ascii="Arial" w:cs="Arial" w:eastAsia="Arial" w:hAnsi="Arial"/>
          <w:b/>
          <w:bCs/>
        </w:rPr>
        <w:t xml:space="preserve">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Condition</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Action</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 score ≥ 75</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A6262B"/>
                <w:sz w:val="19"/>
                <w:szCs w:val="19"/>
              </w:rPr>
              <w:t xml:space="preserve">EXIT</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 score 60 to 75</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9A6700"/>
                <w:sz w:val="19"/>
                <w:szCs w:val="19"/>
              </w:rPr>
              <w:t xml:space="preserve">TRIM</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Quality score &lt; 45</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9A6700"/>
                <w:sz w:val="19"/>
                <w:szCs w:val="19"/>
              </w:rPr>
              <w:t xml:space="preserve">REVIEW</w:t>
            </w:r>
          </w:p>
        </w:tc>
      </w:tr>
    </w:tbl>
    <w:p>
      <w:pPr>
        <w:spacing w:after="80"/>
      </w:pPr>
      <w:r>
        <w:rPr>
          <w:rFonts w:ascii="Arial" w:cs="Arial" w:eastAsia="Arial" w:hAnsi="Arial"/>
        </w:rPr>
        <w:t xml:space="preserve"/>
      </w:r>
    </w:p>
    <w:p>
      <w:pPr>
        <w:spacing w:after="120" w:line="276"/>
      </w:pPr>
      <w:r>
        <w:rPr>
          <w:rFonts w:ascii="Arial" w:cs="Arial" w:eastAsia="Arial" w:hAnsi="Arial"/>
          <w:b/>
          <w:bCs/>
        </w:rPr>
        <w:t xml:space="preserve">Clarification. </w:t>
      </w:r>
      <w:r>
        <w:rPr>
          <w:rFonts w:ascii="Arial" w:cs="Arial" w:eastAsia="Arial" w:hAnsi="Arial"/>
        </w:rPr>
        <w:t xml:space="preserve">EXIT and TRIM are driven by the Exit score; REVIEW is an independent flag driven by the Quality score. A holding can be flagged REVIEW without being an EXIT candidate — the two signals are reported separately and reconciled by arbitration.</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10.10 Tax Engine</w:t>
      </w:r>
    </w:p>
    <w:p>
      <w:pPr>
        <w:spacing w:after="120" w:line="276"/>
      </w:pPr>
      <w:r>
        <w:rPr>
          <w:rFonts w:ascii="Arial" w:cs="Arial" w:eastAsia="Arial" w:hAnsi="Arial"/>
          <w:b/>
          <w:bCs/>
        </w:rPr>
        <w:t xml:space="preserve">Purpose. </w:t>
      </w:r>
      <w:r>
        <w:rPr>
          <w:rFonts w:ascii="Arial" w:cs="Arial" w:eastAsia="Arial" w:hAnsi="Arial"/>
        </w:rPr>
        <w:t xml:space="preserve">Prevent tax-destructive recommendations and prefer tax-efficient sequencing.</w:t>
      </w:r>
    </w:p>
    <w:p>
      <w:pPr>
        <w:pStyle w:val="Heading4"/>
      </w:pPr>
      <w:r>
        <w:rPr>
          <w:rFonts w:ascii="Arial" w:cs="Arial" w:eastAsia="Arial" w:hAnsi="Arial"/>
          <w:b/>
          <w:bCs/>
        </w:rPr>
        <w:t xml:space="preserve">Rules</w:t>
      </w:r>
    </w:p>
    <w:p>
      <w:pPr>
        <w:spacing w:after="120" w:line="276"/>
      </w:pPr>
      <w:r>
        <w:rPr>
          <w:rFonts w:ascii="Arial" w:cs="Arial" w:eastAsia="Arial" w:hAnsi="Arial"/>
          <w:b/>
          <w:bCs/>
        </w:rPr>
        <w:t xml:space="preserve">TX-1  </w:t>
      </w:r>
      <w:r>
        <w:rPr>
          <w:rFonts w:ascii="Arial" w:cs="Arial" w:eastAsia="Arial" w:hAnsi="Arial"/>
        </w:rPr>
        <w:t xml:space="preserve">IF estimated tax cost &gt; expected benefit THEN suppress the EXIT recommendation.</w:t>
      </w:r>
    </w:p>
    <w:p>
      <w:pPr>
        <w:spacing w:after="120" w:line="276"/>
      </w:pPr>
      <w:r>
        <w:rPr>
          <w:rFonts w:ascii="Arial" w:cs="Arial" w:eastAsia="Arial" w:hAnsi="Arial"/>
          <w:b/>
          <w:bCs/>
        </w:rPr>
        <w:t xml:space="preserve">TX-2  </w:t>
      </w:r>
      <w:r>
        <w:rPr>
          <w:rFonts w:ascii="Arial" w:cs="Arial" w:eastAsia="Arial" w:hAnsi="Arial"/>
        </w:rPr>
        <w:t xml:space="preserve">IF an exit load is currently active on the holding THEN suppress an immediate switch and prefer deferring until the load lapses.</w:t>
      </w:r>
    </w:p>
    <w:p>
      <w:pPr>
        <w:spacing w:after="120" w:line="276"/>
      </w:pPr>
      <w:r>
        <w:rPr>
          <w:rFonts w:ascii="Arial" w:cs="Arial" w:eastAsia="Arial" w:hAnsi="Arial"/>
          <w:b/>
          <w:bCs/>
        </w:rPr>
        <w:t xml:space="preserve">TX-3  </w:t>
      </w:r>
      <w:r>
        <w:rPr>
          <w:rFonts w:ascii="Arial" w:cs="Arial" w:eastAsia="Arial" w:hAnsi="Arial"/>
        </w:rPr>
        <w:t xml:space="preserve">Prefer phased exits over lump-sum exits where phasing improves long-term capital gains treatment.</w:t>
      </w:r>
    </w:p>
    <w:p>
      <w:pPr>
        <w:spacing w:after="120" w:line="276"/>
      </w:pPr>
      <w:r>
        <w:rPr>
          <w:rFonts w:ascii="Arial" w:cs="Arial" w:eastAsia="Arial" w:hAnsi="Arial"/>
          <w:b/>
          <w:bCs/>
        </w:rPr>
        <w:t xml:space="preserve">Clarification. </w:t>
      </w:r>
      <w:r>
        <w:rPr>
          <w:rFonts w:ascii="Arial" w:cs="Arial" w:eastAsia="Arial" w:hAnsi="Arial"/>
        </w:rPr>
        <w:t xml:space="preserve">“Expected benefit” in TX-1 is the modelled annualised improvement attributable to the action — risk reduction, diversification gain, or quality uplift expressed in comparable terms — not a guaranteed return. The Tax Engine consumes acquisition price and holding period; if either is unavailable, DV-3 suppresses tax-aware actions entirely.</w:t>
      </w:r>
    </w:p>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Estimated tax cost, gain type (STCG / LTCG / none), exit load, net-of-tax benefit, suggested phasing.</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10.11 Recommendation Arbitration Engine</w:t>
      </w:r>
    </w:p>
    <w:p>
      <w:pPr>
        <w:spacing w:after="120" w:line="276"/>
      </w:pPr>
      <w:r>
        <w:rPr>
          <w:rFonts w:ascii="Arial" w:cs="Arial" w:eastAsia="Arial" w:hAnsi="Arial"/>
          <w:b/>
          <w:bCs/>
        </w:rPr>
        <w:t xml:space="preserve">Purpose. </w:t>
      </w:r>
      <w:r>
        <w:rPr>
          <w:rFonts w:ascii="Arial" w:cs="Arial" w:eastAsia="Arial" w:hAnsi="Arial"/>
        </w:rPr>
        <w:t xml:space="preserve">Resolve conflicts across engines so the investor receives one coherent, deduplicated, prioritised action list.</w:t>
      </w:r>
    </w:p>
    <w:p>
      <w:pPr>
        <w:pStyle w:val="Heading4"/>
      </w:pPr>
      <w:r>
        <w:rPr>
          <w:rFonts w:ascii="Arial" w:cs="Arial" w:eastAsia="Arial" w:hAnsi="Arial"/>
          <w:b/>
          <w:bCs/>
        </w:rPr>
        <w:t xml:space="preserve">Conflict-Resolution Rules</w:t>
      </w:r>
    </w:p>
    <w:p>
      <w:pPr>
        <w:spacing w:after="120" w:line="276"/>
      </w:pPr>
      <w:r>
        <w:rPr>
          <w:rFonts w:ascii="Arial" w:cs="Arial" w:eastAsia="Arial" w:hAnsi="Arial"/>
          <w:b/>
          <w:bCs/>
        </w:rPr>
        <w:t xml:space="preserve">AR-1  </w:t>
      </w:r>
      <w:r>
        <w:rPr>
          <w:rFonts w:ascii="Arial" w:cs="Arial" w:eastAsia="Arial" w:hAnsi="Arial"/>
        </w:rPr>
        <w:t xml:space="preserve">Goal alignment overrides pure instrument optimisation. If selling a weak fund would breach a goal’s target allocation, the goal constraint wins.</w:t>
      </w:r>
    </w:p>
    <w:p>
      <w:pPr>
        <w:spacing w:after="120" w:line="276"/>
      </w:pPr>
      <w:r>
        <w:rPr>
          <w:rFonts w:ascii="Arial" w:cs="Arial" w:eastAsia="Arial" w:hAnsi="Arial"/>
          <w:b/>
          <w:bCs/>
        </w:rPr>
        <w:t xml:space="preserve">AR-2  </w:t>
      </w:r>
      <w:r>
        <w:rPr>
          <w:rFonts w:ascii="Arial" w:cs="Arial" w:eastAsia="Arial" w:hAnsi="Arial"/>
        </w:rPr>
        <w:t xml:space="preserve">Tax-destruction suppression overrides hyperactive churn. A tax-inefficient action is downgraded or removed even if instrument scores favour it.</w:t>
      </w:r>
    </w:p>
    <w:p>
      <w:pPr>
        <w:spacing w:after="120" w:line="276"/>
      </w:pPr>
      <w:r>
        <w:rPr>
          <w:rFonts w:ascii="Arial" w:cs="Arial" w:eastAsia="Arial" w:hAnsi="Arial"/>
          <w:b/>
          <w:bCs/>
        </w:rPr>
        <w:t xml:space="preserve">AR-3  </w:t>
      </w:r>
      <w:r>
        <w:rPr>
          <w:rFonts w:ascii="Arial" w:cs="Arial" w:eastAsia="Arial" w:hAnsi="Arial"/>
        </w:rPr>
        <w:t xml:space="preserve">IF a recommendation’s confidence &lt; the arbitration threshold THEN downgrade its severity one level rather than dropping it silently; record the downgrade in the trace.</w:t>
      </w:r>
    </w:p>
    <w:p>
      <w:pPr>
        <w:pStyle w:val="Heading4"/>
      </w:pPr>
      <w:r>
        <w:rPr>
          <w:rFonts w:ascii="Arial" w:cs="Arial" w:eastAsia="Arial" w:hAnsi="Arial"/>
          <w:b/>
          <w:bCs/>
        </w:rPr>
        <w:t xml:space="preserve">Precedence Order</w:t>
      </w:r>
    </w:p>
    <w:p>
      <w:pPr>
        <w:spacing w:after="120" w:line="276"/>
      </w:pPr>
      <w:r>
        <w:rPr>
          <w:rFonts w:ascii="Arial" w:cs="Arial" w:eastAsia="Arial" w:hAnsi="Arial"/>
        </w:rPr>
        <w:t xml:space="preserve">When rules conflict, arbitration applies this fixed precedence, highest first:</w:t>
      </w:r>
    </w:p>
    <w:p>
      <w:pPr>
        <w:pStyle w:val="ListParagraph"/>
        <w:numPr>
          <w:ilvl w:val="0"/>
          <w:numId w:val="3"/>
        </w:numPr>
        <w:spacing w:after="60" w:line="276"/>
      </w:pPr>
      <w:r>
        <w:rPr>
          <w:rFonts w:ascii="Arial" w:cs="Arial" w:eastAsia="Arial" w:hAnsi="Arial"/>
        </w:rPr>
        <w:t xml:space="preserve">Data validity (a suppressed class cannot be overridden).</w:t>
      </w:r>
    </w:p>
    <w:p>
      <w:pPr>
        <w:pStyle w:val="ListParagraph"/>
        <w:numPr>
          <w:ilvl w:val="0"/>
          <w:numId w:val="3"/>
        </w:numPr>
        <w:spacing w:after="60" w:line="276"/>
      </w:pPr>
      <w:r>
        <w:rPr>
          <w:rFonts w:ascii="Arial" w:cs="Arial" w:eastAsia="Arial" w:hAnsi="Arial"/>
        </w:rPr>
        <w:t xml:space="preserve">Tax protection (do-no-harm).</w:t>
      </w:r>
    </w:p>
    <w:p>
      <w:pPr>
        <w:pStyle w:val="ListParagraph"/>
        <w:numPr>
          <w:ilvl w:val="0"/>
          <w:numId w:val="3"/>
        </w:numPr>
        <w:spacing w:after="60" w:line="276"/>
      </w:pPr>
      <w:r>
        <w:rPr>
          <w:rFonts w:ascii="Arial" w:cs="Arial" w:eastAsia="Arial" w:hAnsi="Arial"/>
        </w:rPr>
        <w:t xml:space="preserve">Goal alignment.</w:t>
      </w:r>
    </w:p>
    <w:p>
      <w:pPr>
        <w:pStyle w:val="ListParagraph"/>
        <w:numPr>
          <w:ilvl w:val="0"/>
          <w:numId w:val="3"/>
        </w:numPr>
        <w:spacing w:after="60" w:line="276"/>
      </w:pPr>
      <w:r>
        <w:rPr>
          <w:rFonts w:ascii="Arial" w:cs="Arial" w:eastAsia="Arial" w:hAnsi="Arial"/>
        </w:rPr>
        <w:t xml:space="preserve">Risk suitability.</w:t>
      </w:r>
    </w:p>
    <w:p>
      <w:pPr>
        <w:pStyle w:val="ListParagraph"/>
        <w:numPr>
          <w:ilvl w:val="0"/>
          <w:numId w:val="3"/>
        </w:numPr>
        <w:spacing w:after="60" w:line="276"/>
      </w:pPr>
      <w:r>
        <w:rPr>
          <w:rFonts w:ascii="Arial" w:cs="Arial" w:eastAsia="Arial" w:hAnsi="Arial"/>
        </w:rPr>
        <w:t xml:space="preserve">Instrument optimisation.</w:t>
      </w:r>
    </w:p>
    <w:p>
      <w:pPr>
        <w:pStyle w:val="Heading4"/>
      </w:pPr>
      <w:r>
        <w:rPr>
          <w:rFonts w:ascii="Arial" w:cs="Arial" w:eastAsia="Arial" w:hAnsi="Arial"/>
          <w:b/>
          <w:bCs/>
        </w:rPr>
        <w:t xml:space="preserve">Priority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PRIORITY =</w:t>
            </w:r>
          </w:p>
          <w:p>
            <w:pPr>
              <w:spacing w:after="0" w:line="264"/>
            </w:pPr>
            <w:r>
              <w:rPr>
                <w:rFonts w:ascii="Consolas" w:cs="Consolas" w:eastAsia="Consolas" w:hAnsi="Consolas"/>
                <w:sz w:val="19"/>
                <w:szCs w:val="19"/>
              </w:rPr>
              <w:t xml:space="preserve">    0.30 * risk_reduction</w:t>
            </w:r>
          </w:p>
          <w:p>
            <w:pPr>
              <w:spacing w:after="0" w:line="264"/>
            </w:pPr>
            <w:r>
              <w:rPr>
                <w:rFonts w:ascii="Consolas" w:cs="Consolas" w:eastAsia="Consolas" w:hAnsi="Consolas"/>
                <w:sz w:val="19"/>
                <w:szCs w:val="19"/>
              </w:rPr>
              <w:t xml:space="preserve">  + 0.25 * diversification_gain</w:t>
            </w:r>
          </w:p>
          <w:p>
            <w:pPr>
              <w:spacing w:after="0" w:line="264"/>
            </w:pPr>
            <w:r>
              <w:rPr>
                <w:rFonts w:ascii="Consolas" w:cs="Consolas" w:eastAsia="Consolas" w:hAnsi="Consolas"/>
                <w:sz w:val="19"/>
                <w:szCs w:val="19"/>
              </w:rPr>
              <w:t xml:space="preserve">  + 0.20 * goal_impact</w:t>
            </w:r>
          </w:p>
          <w:p>
            <w:pPr>
              <w:spacing w:after="0" w:line="264"/>
            </w:pPr>
            <w:r>
              <w:rPr>
                <w:rFonts w:ascii="Consolas" w:cs="Consolas" w:eastAsia="Consolas" w:hAnsi="Consolas"/>
                <w:sz w:val="19"/>
                <w:szCs w:val="19"/>
              </w:rPr>
              <w:t xml:space="preserve">  + 0.15 * urgency</w:t>
            </w:r>
          </w:p>
          <w:p>
            <w:pPr>
              <w:spacing w:after="0" w:line="264"/>
            </w:pPr>
            <w:r>
              <w:rPr>
                <w:rFonts w:ascii="Consolas" w:cs="Consolas" w:eastAsia="Consolas" w:hAnsi="Consolas"/>
                <w:sz w:val="19"/>
                <w:szCs w:val="19"/>
              </w:rPr>
              <w:t xml:space="preserve">  + 0.10 * implementation_ease</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Each term is normalised to 0-1. PRIORITY is scaled to 0-100</w:t>
            </w:r>
          </w:p>
          <w:p>
            <w:pPr>
              <w:spacing w:after="0" w:line="264"/>
            </w:pPr>
            <w:r>
              <w:rPr>
                <w:rFonts w:ascii="Consolas" w:cs="Consolas" w:eastAsia="Consolas" w:hAnsi="Consolas"/>
                <w:sz w:val="19"/>
                <w:szCs w:val="19"/>
              </w:rPr>
              <w:t xml:space="preserve">  and mapped to HIGH / MEDIUM / LOW priority bands.</w:t>
            </w:r>
          </w:p>
        </w:tc>
      </w:tr>
    </w:tbl>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Prioritised, conflict-resolved, deduplicated recommendation set, each as a standard recommendation object.</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10.12 Impact Simulation Engine</w:t>
      </w:r>
    </w:p>
    <w:p>
      <w:pPr>
        <w:spacing w:after="120" w:line="276"/>
      </w:pPr>
      <w:r>
        <w:rPr>
          <w:rFonts w:ascii="Arial" w:cs="Arial" w:eastAsia="Arial" w:hAnsi="Arial"/>
          <w:b/>
          <w:bCs/>
        </w:rPr>
        <w:t xml:space="preserve">Purpose. </w:t>
      </w:r>
      <w:r>
        <w:rPr>
          <w:rFonts w:ascii="Arial" w:cs="Arial" w:eastAsia="Arial" w:hAnsi="Arial"/>
        </w:rPr>
        <w:t xml:space="preserve">Quantify the expected portfolio improvement from each surviving recommendation by modelling the post-action portfolio.</w:t>
      </w:r>
    </w:p>
    <w:p>
      <w:pPr>
        <w:pStyle w:val="Heading4"/>
      </w:pPr>
      <w:r>
        <w:rPr>
          <w:rFonts w:ascii="Arial" w:cs="Arial" w:eastAsia="Arial" w:hAnsi="Arial"/>
          <w:b/>
          <w:bCs/>
        </w:rPr>
        <w:t xml:space="preserve">Rules</w:t>
      </w:r>
    </w:p>
    <w:p>
      <w:pPr>
        <w:spacing w:after="120" w:line="276"/>
      </w:pPr>
      <w:r>
        <w:rPr>
          <w:rFonts w:ascii="Arial" w:cs="Arial" w:eastAsia="Arial" w:hAnsi="Arial"/>
          <w:b/>
          <w:bCs/>
        </w:rPr>
        <w:t xml:space="preserve">IS-1  </w:t>
      </w:r>
      <w:r>
        <w:rPr>
          <w:rFonts w:ascii="Arial" w:cs="Arial" w:eastAsia="Arial" w:hAnsi="Arial"/>
        </w:rPr>
        <w:t xml:space="preserve">For every recommendation, simulate the post-action portfolio and report the delta for: overlap, volatility, diversification, goal probability, and drawdown.</w:t>
      </w:r>
    </w:p>
    <w:p>
      <w:pPr>
        <w:spacing w:after="120" w:line="276"/>
      </w:pPr>
      <w:r>
        <w:rPr>
          <w:rFonts w:ascii="Arial" w:cs="Arial" w:eastAsia="Arial" w:hAnsi="Arial"/>
          <w:b/>
          <w:bCs/>
        </w:rPr>
        <w:t xml:space="preserve">IS-2  </w:t>
      </w:r>
      <w:r>
        <w:rPr>
          <w:rFonts w:ascii="Arial" w:cs="Arial" w:eastAsia="Arial" w:hAnsi="Arial"/>
        </w:rPr>
        <w:t xml:space="preserve">IF the modelled improvement across all key metrics is marginal (below the materiality threshold) THEN suppress the recommendation — even if engine scores triggered it.</w:t>
      </w:r>
    </w:p>
    <w:p>
      <w:pPr>
        <w:spacing w:after="120" w:line="276"/>
      </w:pPr>
      <w:r>
        <w:rPr>
          <w:rFonts w:ascii="Arial" w:cs="Arial" w:eastAsia="Arial" w:hAnsi="Arial"/>
          <w:b/>
          <w:bCs/>
        </w:rPr>
        <w:t xml:space="preserve">Method. </w:t>
      </w:r>
      <w:r>
        <w:rPr>
          <w:rFonts w:ascii="Arial" w:cs="Arial" w:eastAsia="Arial" w:hAnsi="Arial"/>
        </w:rPr>
        <w:t xml:space="preserve">Simulation constructs the hypothetical portfolio that would result from applying the action, then re-runs the analytics, goal, and risk engines on it. The before and after metric sets are attached to the recommendation object’s simulation field.</w:t>
      </w:r>
    </w:p>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Before/after metric snapshot per recommendation; materiality verdict.</w:t>
      </w:r>
    </w:p>
    <w:p>
      <w:pPr>
        <w:pBdr>
          <w:bottom w:val="single" w:color="1B5299" w:sz="6" w:space="1"/>
        </w:pBdr>
        <w:spacing w:after="160" w:before="80"/>
      </w:pPr>
      <w:r>
        <w:rPr>
          <w:rFonts w:ascii="Arial" w:cs="Arial" w:eastAsia="Arial" w:hAnsi="Arial"/>
        </w:rPr>
        <w:t xml:space="preserve"/>
      </w:r>
    </w:p>
    <w:p>
      <w:pPr>
        <w:pStyle w:val="Heading2"/>
      </w:pPr>
      <w:r>
        <w:rPr>
          <w:rFonts w:ascii="Arial" w:cs="Arial" w:eastAsia="Arial" w:hAnsi="Arial"/>
          <w:b/>
          <w:bCs/>
        </w:rPr>
        <w:t xml:space="preserve">10.13 Copilot Engine</w:t>
      </w:r>
    </w:p>
    <w:p>
      <w:pPr>
        <w:spacing w:after="120" w:line="276"/>
      </w:pPr>
      <w:r>
        <w:rPr>
          <w:rFonts w:ascii="Arial" w:cs="Arial" w:eastAsia="Arial" w:hAnsi="Arial"/>
          <w:b/>
          <w:bCs/>
        </w:rPr>
        <w:t xml:space="preserve">Purpose. </w:t>
      </w:r>
      <w:r>
        <w:rPr>
          <w:rFonts w:ascii="Arial" w:cs="Arial" w:eastAsia="Arial" w:hAnsi="Arial"/>
        </w:rPr>
        <w:t xml:space="preserve">Provide a conversational explanation layer over the structured recommendation set.</w:t>
      </w:r>
    </w:p>
    <w:p>
      <w:pPr>
        <w:pStyle w:val="Heading4"/>
      </w:pPr>
      <w:r>
        <w:rPr>
          <w:rFonts w:ascii="Arial" w:cs="Arial" w:eastAsia="Arial" w:hAnsi="Arial"/>
          <w:b/>
          <w:bCs/>
        </w:rPr>
        <w:t xml:space="preserve">Rules</w:t>
      </w:r>
    </w:p>
    <w:p>
      <w:pPr>
        <w:spacing w:after="120" w:line="276"/>
      </w:pPr>
      <w:r>
        <w:rPr>
          <w:rFonts w:ascii="Arial" w:cs="Arial" w:eastAsia="Arial" w:hAnsi="Arial"/>
          <w:b/>
          <w:bCs/>
        </w:rPr>
        <w:t xml:space="preserve">CP-1  </w:t>
      </w:r>
      <w:r>
        <w:rPr>
          <w:rFonts w:ascii="Arial" w:cs="Arial" w:eastAsia="Arial" w:hAnsi="Arial"/>
        </w:rPr>
        <w:t xml:space="preserve">The copilot cannot invent, alter, or contradict a recommendation. It narrates only what the engines produced.</w:t>
      </w:r>
    </w:p>
    <w:p>
      <w:pPr>
        <w:spacing w:after="120" w:line="276"/>
      </w:pPr>
      <w:r>
        <w:rPr>
          <w:rFonts w:ascii="Arial" w:cs="Arial" w:eastAsia="Arial" w:hAnsi="Arial"/>
          <w:b/>
          <w:bCs/>
        </w:rPr>
        <w:t xml:space="preserve">CP-2  </w:t>
      </w:r>
      <w:r>
        <w:rPr>
          <w:rFonts w:ascii="Arial" w:cs="Arial" w:eastAsia="Arial" w:hAnsi="Arial"/>
        </w:rPr>
        <w:t xml:space="preserve">Technical and valuation overlays are presented as tactical context only, never as the basis of a recommendation.</w:t>
      </w:r>
    </w:p>
    <w:p>
      <w:pPr>
        <w:spacing w:after="120" w:line="276"/>
      </w:pPr>
      <w:r>
        <w:rPr>
          <w:rFonts w:ascii="Arial" w:cs="Arial" w:eastAsia="Arial" w:hAnsi="Arial"/>
          <w:b/>
          <w:bCs/>
        </w:rPr>
        <w:t xml:space="preserve">CP-3  </w:t>
      </w:r>
      <w:r>
        <w:rPr>
          <w:rFonts w:ascii="Arial" w:cs="Arial" w:eastAsia="Arial" w:hAnsi="Arial"/>
        </w:rPr>
        <w:t xml:space="preserve">For every recommendation, the copilot must be able to answer five questions: Why is this recommended? What improves? What are the trade-offs? How confident is the system? What is the tax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  —  </w:t>
            </w:r>
            <w:r>
              <w:rPr>
                <w:rFonts w:ascii="Arial" w:cs="Arial" w:eastAsia="Arial" w:hAnsi="Arial"/>
                <w:b/>
                <w:bCs/>
                <w:color w:val="1A1A2E"/>
                <w:sz w:val="18"/>
                <w:szCs w:val="18"/>
              </w:rPr>
              <w:t xml:space="preserve">Hard boundary</w:t>
            </w:r>
          </w:p>
          <w:p>
            <w:pPr>
              <w:spacing w:after="120" w:line="276"/>
            </w:pPr>
            <w:r>
              <w:rPr>
                <w:rFonts w:ascii="Arial" w:cs="Arial" w:eastAsia="Arial" w:hAnsi="Arial"/>
                <w:b/>
                <w:bCs/>
              </w:rPr>
              <w:t xml:space="preserve">The LLM explains; it never decides. </w:t>
            </w:r>
            <w:r>
              <w:rPr>
                <w:rFonts w:ascii="Arial" w:cs="Arial" w:eastAsia="Arial" w:hAnsi="Arial"/>
              </w:rPr>
              <w:t xml:space="preserve">If a user asks the copilot to act outside the recommendation set — “just tell me what to buy” — it explains the platform’s analysis-only positioning rather than improvising advice. See Section 14.</w:t>
            </w:r>
          </w:p>
        </w:tc>
      </w:tr>
    </w:tbl>
    <w:p>
      <w:pPr>
        <w:pStyle w:val="Heading4"/>
      </w:pPr>
      <w:r>
        <w:rPr>
          <w:rFonts w:ascii="Arial" w:cs="Arial" w:eastAsia="Arial" w:hAnsi="Arial"/>
          <w:b/>
          <w:bCs/>
        </w:rPr>
        <w:t xml:space="preserve">Outputs</w:t>
      </w:r>
    </w:p>
    <w:p>
      <w:pPr>
        <w:pStyle w:val="ListParagraph"/>
        <w:numPr>
          <w:ilvl w:val="0"/>
          <w:numId w:val="2"/>
        </w:numPr>
        <w:spacing w:after="60" w:line="276"/>
      </w:pPr>
      <w:r>
        <w:rPr>
          <w:rFonts w:ascii="Arial" w:cs="Arial" w:eastAsia="Arial" w:hAnsi="Arial"/>
        </w:rPr>
        <w:t xml:space="preserve">Conversational explanations, portfolio Q&amp;A grounded in engine facts, and trade-off narration.</w:t>
      </w:r>
    </w:p>
    <w:p>
      <w:r>
        <w:br w:type="page"/>
      </w:r>
    </w:p>
    <w:p>
      <w:pPr>
        <w:pStyle w:val="Heading1"/>
      </w:pPr>
      <w:r>
        <w:rPr>
          <w:rFonts w:ascii="Arial" w:cs="Arial" w:eastAsia="Arial" w:hAnsi="Arial"/>
          <w:b/>
          <w:bCs/>
        </w:rPr>
        <w:t xml:space="preserve">11. End-to-End Workflow</w:t>
      </w:r>
    </w:p>
    <w:p>
      <w:pPr>
        <w:spacing w:after="120" w:line="276"/>
      </w:pPr>
      <w:r>
        <w:rPr>
          <w:rFonts w:ascii="Arial" w:cs="Arial" w:eastAsia="Arial" w:hAnsi="Arial"/>
        </w:rPr>
        <w:t xml:space="preserve">A complete portfolio analysis runs as a ten-step pipeline. Each step has a clear input, a clear output, and a clear owner engine. The workflow is deterministic up to the final explanation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060"/>
        <w:gridCol w:w="2800"/>
      </w:tblGrid>
      <w:tr>
        <w:trPr>
          <w:tblHeader/>
        </w:trPr>
        <w:tc>
          <w:tcPr>
            <w:tcW w:type="dxa" w:w="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Step</w:t>
            </w:r>
          </w:p>
        </w:tc>
        <w:tc>
          <w:tcPr>
            <w:tcW w:type="dxa" w:w="1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Stage</w:t>
            </w:r>
          </w:p>
        </w:tc>
        <w:tc>
          <w:tcPr>
            <w:tcW w:type="dxa" w:w="40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What happens</w:t>
            </w:r>
          </w:p>
        </w:tc>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Produces</w:t>
            </w:r>
          </w:p>
        </w:tc>
      </w:tr>
      <w:tr>
        <w:tc>
          <w:tcPr>
            <w:tcW w:type="dxa" w:w="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w:t>
            </w:r>
          </w:p>
        </w:tc>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ingestion</w:t>
            </w:r>
          </w:p>
        </w:tc>
        <w:tc>
          <w:tcPr>
            <w:tcW w:type="dxa" w:w="4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Collect holdings from CAS, broker APIs, or manual entry</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Raw holdings payload</w:t>
            </w:r>
          </w:p>
        </w:tc>
      </w:tr>
      <w:tr>
        <w:tc>
          <w:tcPr>
            <w:tcW w:type="dxa" w:w="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w:t>
            </w:r>
          </w:p>
        </w:tc>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Normalisation</w:t>
            </w:r>
          </w:p>
        </w:tc>
        <w:tc>
          <w:tcPr>
            <w:tcW w:type="dxa" w:w="4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Resolve ISIN, category, AMC, sector, geography</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Canonical holdings</w:t>
            </w:r>
          </w:p>
        </w:tc>
      </w:tr>
      <w:tr>
        <w:tc>
          <w:tcPr>
            <w:tcW w:type="dxa" w:w="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w:t>
            </w:r>
          </w:p>
        </w:tc>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Instrument scoring</w:t>
            </w:r>
          </w:p>
        </w:tc>
        <w:tc>
          <w:tcPr>
            <w:tcW w:type="dxa" w:w="4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MF and stock scores plus tactical overlays</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Instrument scores</w:t>
            </w:r>
          </w:p>
        </w:tc>
      </w:tr>
      <w:tr>
        <w:tc>
          <w:tcPr>
            <w:tcW w:type="dxa" w:w="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4</w:t>
            </w:r>
          </w:p>
        </w:tc>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analytics</w:t>
            </w:r>
          </w:p>
        </w:tc>
        <w:tc>
          <w:tcPr>
            <w:tcW w:type="dxa" w:w="4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overlap, concentration, diversification, correlation</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metrics</w:t>
            </w:r>
          </w:p>
        </w:tc>
      </w:tr>
      <w:tr>
        <w:tc>
          <w:tcPr>
            <w:tcW w:type="dxa" w:w="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w:t>
            </w:r>
          </w:p>
        </w:tc>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&amp; risk alignment</w:t>
            </w:r>
          </w:p>
        </w:tc>
        <w:tc>
          <w:tcPr>
            <w:tcW w:type="dxa" w:w="4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Compute target allocation, volatility mismatch, goal probability</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Alignment scores</w:t>
            </w:r>
          </w:p>
        </w:tc>
      </w:tr>
      <w:tr>
        <w:tc>
          <w:tcPr>
            <w:tcW w:type="dxa" w:w="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6</w:t>
            </w:r>
          </w:p>
        </w:tc>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 generation</w:t>
            </w:r>
          </w:p>
        </w:tc>
        <w:tc>
          <w:tcPr>
            <w:tcW w:type="dxa" w:w="4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Each engine emits deterministic signals</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Raw signals</w:t>
            </w:r>
          </w:p>
        </w:tc>
      </w:tr>
      <w:tr>
        <w:tc>
          <w:tcPr>
            <w:tcW w:type="dxa" w:w="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7</w:t>
            </w:r>
          </w:p>
        </w:tc>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Arbitration</w:t>
            </w:r>
          </w:p>
        </w:tc>
        <w:tc>
          <w:tcPr>
            <w:tcW w:type="dxa" w:w="4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Resolve conflicts, suppress low-confidence actions, prioritise</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Resolved action set</w:t>
            </w:r>
          </w:p>
        </w:tc>
      </w:tr>
      <w:tr>
        <w:tc>
          <w:tcPr>
            <w:tcW w:type="dxa" w:w="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8</w:t>
            </w:r>
          </w:p>
        </w:tc>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Simulation</w:t>
            </w:r>
          </w:p>
        </w:tc>
        <w:tc>
          <w:tcPr>
            <w:tcW w:type="dxa" w:w="4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 before vs. after portfolio state per action</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Impact deltas</w:t>
            </w:r>
          </w:p>
        </w:tc>
      </w:tr>
      <w:tr>
        <w:tc>
          <w:tcPr>
            <w:tcW w:type="dxa" w:w="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9</w:t>
            </w:r>
          </w:p>
        </w:tc>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Packaging</w:t>
            </w:r>
          </w:p>
        </w:tc>
        <w:tc>
          <w:tcPr>
            <w:tcW w:type="dxa" w:w="40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Assemble confidence, trade-offs, tax impact, action plan</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 objects</w:t>
            </w:r>
          </w:p>
        </w:tc>
      </w:tr>
      <w:tr>
        <w:tc>
          <w:tcPr>
            <w:tcW w:type="dxa" w:w="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Explanation</w:t>
            </w:r>
          </w:p>
        </w:tc>
        <w:tc>
          <w:tcPr>
            <w:tcW w:type="dxa" w:w="40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Translate structured objects into conversational guidance</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Investor-facing narrative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Failure handling</w:t>
            </w:r>
          </w:p>
          <w:p>
            <w:pPr>
              <w:spacing w:after="120" w:line="276"/>
            </w:pPr>
            <w:r>
              <w:rPr>
                <w:rFonts w:ascii="Arial" w:cs="Arial" w:eastAsia="Arial" w:hAnsi="Arial"/>
              </w:rPr>
              <w:t xml:space="preserve">If any step fails, the pipeline degrades gracefully: it returns the results computed so far with an explicit data_quality flag, rather than producing nothing. Steps 7–10 never run on inputs that failed data validation in step 2.</w:t>
            </w:r>
          </w:p>
        </w:tc>
      </w:tr>
    </w:tbl>
    <w:p>
      <w:r>
        <w:br w:type="page"/>
      </w:r>
    </w:p>
    <w:p>
      <w:pPr>
        <w:pStyle w:val="Heading1"/>
      </w:pPr>
      <w:r>
        <w:rPr>
          <w:rFonts w:ascii="Arial" w:cs="Arial" w:eastAsia="Arial" w:hAnsi="Arial"/>
          <w:b/>
          <w:bCs/>
        </w:rPr>
        <w:t xml:space="preserve">12. Data Model &amp; Contracts</w:t>
      </w:r>
    </w:p>
    <w:p>
      <w:pPr>
        <w:spacing w:after="120" w:line="276"/>
      </w:pPr>
      <w:r>
        <w:rPr>
          <w:rFonts w:ascii="Arial" w:cs="Arial" w:eastAsia="Arial" w:hAnsi="Arial"/>
        </w:rPr>
        <w:t xml:space="preserve">This section defines the canonical data entities. Every engine reads and writes these structures; no engine invents its own representation of a holding, score, or recommendation.</w:t>
      </w:r>
    </w:p>
    <w:p>
      <w:pPr>
        <w:pStyle w:val="Heading3"/>
      </w:pPr>
      <w:r>
        <w:rPr>
          <w:rFonts w:ascii="Arial" w:cs="Arial" w:eastAsia="Arial" w:hAnsi="Arial"/>
          <w:b/>
          <w:bCs/>
        </w:rPr>
        <w:t xml:space="preserve">12.1 Canonical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Holding {</w:t>
            </w:r>
          </w:p>
          <w:p>
            <w:pPr>
              <w:spacing w:after="0" w:line="264"/>
            </w:pPr>
            <w:r>
              <w:rPr>
                <w:rFonts w:ascii="Consolas" w:cs="Consolas" w:eastAsia="Consolas" w:hAnsi="Consolas"/>
                <w:sz w:val="19"/>
                <w:szCs w:val="19"/>
              </w:rPr>
              <w:t xml:space="preserve">  holding_id      : uuid</w:t>
            </w:r>
          </w:p>
          <w:p>
            <w:pPr>
              <w:spacing w:after="0" w:line="264"/>
            </w:pPr>
            <w:r>
              <w:rPr>
                <w:rFonts w:ascii="Consolas" w:cs="Consolas" w:eastAsia="Consolas" w:hAnsi="Consolas"/>
                <w:sz w:val="19"/>
                <w:szCs w:val="19"/>
              </w:rPr>
              <w:t xml:space="preserve">  portfolio_id    : uuid</w:t>
            </w:r>
          </w:p>
          <w:p>
            <w:pPr>
              <w:spacing w:after="0" w:line="264"/>
            </w:pPr>
            <w:r>
              <w:rPr>
                <w:rFonts w:ascii="Consolas" w:cs="Consolas" w:eastAsia="Consolas" w:hAnsi="Consolas"/>
                <w:sz w:val="19"/>
                <w:szCs w:val="19"/>
              </w:rPr>
              <w:t xml:space="preserve">  isin            : string            // canonical instrument key</w:t>
            </w:r>
          </w:p>
          <w:p>
            <w:pPr>
              <w:spacing w:after="0" w:line="264"/>
            </w:pPr>
            <w:r>
              <w:rPr>
                <w:rFonts w:ascii="Consolas" w:cs="Consolas" w:eastAsia="Consolas" w:hAnsi="Consolas"/>
                <w:sz w:val="19"/>
                <w:szCs w:val="19"/>
              </w:rPr>
              <w:t xml:space="preserve">  name            : string</w:t>
            </w:r>
          </w:p>
          <w:p>
            <w:pPr>
              <w:spacing w:after="0" w:line="264"/>
            </w:pPr>
            <w:r>
              <w:rPr>
                <w:rFonts w:ascii="Consolas" w:cs="Consolas" w:eastAsia="Consolas" w:hAnsi="Consolas"/>
                <w:sz w:val="19"/>
                <w:szCs w:val="19"/>
              </w:rPr>
              <w:t xml:space="preserve">  asset_class     : EQUITY_MF | DEBT_MF | HYBRID_MF | STOCK | OTHER</w:t>
            </w:r>
          </w:p>
          <w:p>
            <w:pPr>
              <w:spacing w:after="0" w:line="264"/>
            </w:pPr>
            <w:r>
              <w:rPr>
                <w:rFonts w:ascii="Consolas" w:cs="Consolas" w:eastAsia="Consolas" w:hAnsi="Consolas"/>
                <w:sz w:val="19"/>
                <w:szCs w:val="19"/>
              </w:rPr>
              <w:t xml:space="preserve">  category        : string            // e.g. Largecap, Midcap, Sectoral</w:t>
            </w:r>
          </w:p>
          <w:p>
            <w:pPr>
              <w:spacing w:after="0" w:line="264"/>
            </w:pPr>
            <w:r>
              <w:rPr>
                <w:rFonts w:ascii="Consolas" w:cs="Consolas" w:eastAsia="Consolas" w:hAnsi="Consolas"/>
                <w:sz w:val="19"/>
                <w:szCs w:val="19"/>
              </w:rPr>
              <w:t xml:space="preserve">  amc             : string            // null for direct stocks</w:t>
            </w:r>
          </w:p>
          <w:p>
            <w:pPr>
              <w:spacing w:after="0" w:line="264"/>
            </w:pPr>
            <w:r>
              <w:rPr>
                <w:rFonts w:ascii="Consolas" w:cs="Consolas" w:eastAsia="Consolas" w:hAnsi="Consolas"/>
                <w:sz w:val="19"/>
                <w:szCs w:val="19"/>
              </w:rPr>
              <w:t xml:space="preserve">  sector          : string</w:t>
            </w:r>
          </w:p>
          <w:p>
            <w:pPr>
              <w:spacing w:after="0" w:line="264"/>
            </w:pPr>
            <w:r>
              <w:rPr>
                <w:rFonts w:ascii="Consolas" w:cs="Consolas" w:eastAsia="Consolas" w:hAnsi="Consolas"/>
                <w:sz w:val="19"/>
                <w:szCs w:val="19"/>
              </w:rPr>
              <w:t xml:space="preserve">  geography       : string</w:t>
            </w:r>
          </w:p>
          <w:p>
            <w:pPr>
              <w:spacing w:after="0" w:line="264"/>
            </w:pPr>
            <w:r>
              <w:rPr>
                <w:rFonts w:ascii="Consolas" w:cs="Consolas" w:eastAsia="Consolas" w:hAnsi="Consolas"/>
                <w:sz w:val="19"/>
                <w:szCs w:val="19"/>
              </w:rPr>
              <w:t xml:space="preserve">  units           : number</w:t>
            </w:r>
          </w:p>
          <w:p>
            <w:pPr>
              <w:spacing w:after="0" w:line="264"/>
            </w:pPr>
            <w:r>
              <w:rPr>
                <w:rFonts w:ascii="Consolas" w:cs="Consolas" w:eastAsia="Consolas" w:hAnsi="Consolas"/>
                <w:sz w:val="19"/>
                <w:szCs w:val="19"/>
              </w:rPr>
              <w:t xml:space="preserve">  current_value   : number</w:t>
            </w:r>
          </w:p>
          <w:p>
            <w:pPr>
              <w:spacing w:after="0" w:line="264"/>
            </w:pPr>
            <w:r>
              <w:rPr>
                <w:rFonts w:ascii="Consolas" w:cs="Consolas" w:eastAsia="Consolas" w:hAnsi="Consolas"/>
                <w:sz w:val="19"/>
                <w:szCs w:val="19"/>
              </w:rPr>
              <w:t xml:space="preserve">  weight          : number            // fraction of portfolio, 0-1</w:t>
            </w:r>
          </w:p>
          <w:p>
            <w:pPr>
              <w:spacing w:after="0" w:line="264"/>
            </w:pPr>
            <w:r>
              <w:rPr>
                <w:rFonts w:ascii="Consolas" w:cs="Consolas" w:eastAsia="Consolas" w:hAnsi="Consolas"/>
                <w:sz w:val="19"/>
                <w:szCs w:val="19"/>
              </w:rPr>
              <w:t xml:space="preserve">  acquisition     : { date, price }   // null if unknown -&gt; see DV-3</w:t>
            </w:r>
          </w:p>
          <w:p>
            <w:pPr>
              <w:spacing w:after="0" w:line="264"/>
            </w:pPr>
            <w:r>
              <w:rPr>
                <w:rFonts w:ascii="Consolas" w:cs="Consolas" w:eastAsia="Consolas" w:hAnsi="Consolas"/>
                <w:sz w:val="19"/>
                <w:szCs w:val="19"/>
              </w:rPr>
              <w:t xml:space="preserve">  source          : CAS | BROKER | MANUAL</w:t>
            </w:r>
          </w:p>
          <w:p>
            <w:pPr>
              <w:spacing w:after="0" w:line="264"/>
            </w:pPr>
            <w:r>
              <w:rPr>
                <w:rFonts w:ascii="Consolas" w:cs="Consolas" w:eastAsia="Consolas" w:hAnsi="Consolas"/>
                <w:sz w:val="19"/>
                <w:szCs w:val="19"/>
              </w:rPr>
              <w:t xml:space="preserve">  data_quality    : FULL | PARTIAL | DEGRADED</w:t>
            </w:r>
          </w:p>
          <w:p>
            <w:pPr>
              <w:spacing w:after="0" w:line="264"/>
            </w:pPr>
            <w:r>
              <w:rPr>
                <w:rFonts w:ascii="Consolas" w:cs="Consolas" w:eastAsia="Consolas" w:hAnsi="Consolas"/>
                <w:sz w:val="19"/>
                <w:szCs w:val="19"/>
              </w:rPr>
              <w:t xml:space="preserve">}</w:t>
            </w:r>
          </w:p>
        </w:tc>
      </w:tr>
    </w:tbl>
    <w:p>
      <w:pPr>
        <w:pStyle w:val="Heading3"/>
      </w:pPr>
      <w:r>
        <w:rPr>
          <w:rFonts w:ascii="Arial" w:cs="Arial" w:eastAsia="Arial" w:hAnsi="Arial"/>
          <w:b/>
          <w:bCs/>
        </w:rPr>
        <w:t xml:space="preserve">12.2 Portfolio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PortfolioMetrics {</w:t>
            </w:r>
          </w:p>
          <w:p>
            <w:pPr>
              <w:spacing w:after="0" w:line="264"/>
            </w:pPr>
            <w:r>
              <w:rPr>
                <w:rFonts w:ascii="Consolas" w:cs="Consolas" w:eastAsia="Consolas" w:hAnsi="Consolas"/>
                <w:sz w:val="19"/>
                <w:szCs w:val="19"/>
              </w:rPr>
              <w:t xml:space="preserve">  portfolio_id          : uuid</w:t>
            </w:r>
          </w:p>
          <w:p>
            <w:pPr>
              <w:spacing w:after="0" w:line="264"/>
            </w:pPr>
            <w:r>
              <w:rPr>
                <w:rFonts w:ascii="Consolas" w:cs="Consolas" w:eastAsia="Consolas" w:hAnsi="Consolas"/>
                <w:sz w:val="19"/>
                <w:szCs w:val="19"/>
              </w:rPr>
              <w:t xml:space="preserve">  diversification_score : number      // 0-100</w:t>
            </w:r>
          </w:p>
          <w:p>
            <w:pPr>
              <w:spacing w:after="0" w:line="264"/>
            </w:pPr>
            <w:r>
              <w:rPr>
                <w:rFonts w:ascii="Consolas" w:cs="Consolas" w:eastAsia="Consolas" w:hAnsi="Consolas"/>
                <w:sz w:val="19"/>
                <w:szCs w:val="19"/>
              </w:rPr>
              <w:t xml:space="preserve">  concentration_score   : number      // 0-100</w:t>
            </w:r>
          </w:p>
          <w:p>
            <w:pPr>
              <w:spacing w:after="0" w:line="264"/>
            </w:pPr>
            <w:r>
              <w:rPr>
                <w:rFonts w:ascii="Consolas" w:cs="Consolas" w:eastAsia="Consolas" w:hAnsi="Consolas"/>
                <w:sz w:val="19"/>
                <w:szCs w:val="19"/>
              </w:rPr>
              <w:t xml:space="preserve">  complexity_score      : number      // 0-100</w:t>
            </w:r>
          </w:p>
          <w:p>
            <w:pPr>
              <w:spacing w:after="0" w:line="264"/>
            </w:pPr>
            <w:r>
              <w:rPr>
                <w:rFonts w:ascii="Consolas" w:cs="Consolas" w:eastAsia="Consolas" w:hAnsi="Consolas"/>
                <w:sz w:val="19"/>
                <w:szCs w:val="19"/>
              </w:rPr>
              <w:t xml:space="preserve">  effective_holdings    : number</w:t>
            </w:r>
          </w:p>
          <w:p>
            <w:pPr>
              <w:spacing w:after="0" w:line="264"/>
            </w:pPr>
            <w:r>
              <w:rPr>
                <w:rFonts w:ascii="Consolas" w:cs="Consolas" w:eastAsia="Consolas" w:hAnsi="Consolas"/>
                <w:sz w:val="19"/>
                <w:szCs w:val="19"/>
              </w:rPr>
              <w:t xml:space="preserve">  overlap_matrix        : [[number]]</w:t>
            </w:r>
          </w:p>
          <w:p>
            <w:pPr>
              <w:spacing w:after="0" w:line="264"/>
            </w:pPr>
            <w:r>
              <w:rPr>
                <w:rFonts w:ascii="Consolas" w:cs="Consolas" w:eastAsia="Consolas" w:hAnsi="Consolas"/>
                <w:sz w:val="19"/>
                <w:szCs w:val="19"/>
              </w:rPr>
              <w:t xml:space="preserve">  correlation_matrix    : [[number]]</w:t>
            </w:r>
          </w:p>
          <w:p>
            <w:pPr>
              <w:spacing w:after="0" w:line="264"/>
            </w:pPr>
            <w:r>
              <w:rPr>
                <w:rFonts w:ascii="Consolas" w:cs="Consolas" w:eastAsia="Consolas" w:hAnsi="Consolas"/>
                <w:sz w:val="19"/>
                <w:szCs w:val="19"/>
              </w:rPr>
              <w:t xml:space="preserve">  amc_concentration     : { amc -&gt; weight }</w:t>
            </w:r>
          </w:p>
          <w:p>
            <w:pPr>
              <w:spacing w:after="0" w:line="264"/>
            </w:pPr>
            <w:r>
              <w:rPr>
                <w:rFonts w:ascii="Consolas" w:cs="Consolas" w:eastAsia="Consolas" w:hAnsi="Consolas"/>
                <w:sz w:val="19"/>
                <w:szCs w:val="19"/>
              </w:rPr>
              <w:t xml:space="preserve">  sector_concentration  : { sector -&gt; weight }</w:t>
            </w:r>
          </w:p>
          <w:p>
            <w:pPr>
              <w:spacing w:after="0" w:line="264"/>
            </w:pPr>
            <w:r>
              <w:rPr>
                <w:rFonts w:ascii="Consolas" w:cs="Consolas" w:eastAsia="Consolas" w:hAnsi="Consolas"/>
                <w:sz w:val="19"/>
                <w:szCs w:val="19"/>
              </w:rPr>
              <w:t xml:space="preserve">  factor_exposure       : { factor -&gt; exposure }</w:t>
            </w:r>
          </w:p>
          <w:p>
            <w:pPr>
              <w:spacing w:after="0" w:line="264"/>
            </w:pPr>
            <w:r>
              <w:rPr>
                <w:rFonts w:ascii="Consolas" w:cs="Consolas" w:eastAsia="Consolas" w:hAnsi="Consolas"/>
                <w:sz w:val="19"/>
                <w:szCs w:val="19"/>
              </w:rPr>
              <w:t xml:space="preserve">  computed_at           : timestamp</w:t>
            </w:r>
          </w:p>
          <w:p>
            <w:pPr>
              <w:spacing w:after="0" w:line="264"/>
            </w:pPr>
            <w:r>
              <w:rPr>
                <w:rFonts w:ascii="Consolas" w:cs="Consolas" w:eastAsia="Consolas" w:hAnsi="Consolas"/>
                <w:sz w:val="19"/>
                <w:szCs w:val="19"/>
              </w:rPr>
              <w:t xml:space="preserve">  engine_versions       : { engine -&gt; version }</w:t>
            </w:r>
          </w:p>
          <w:p>
            <w:pPr>
              <w:spacing w:after="0" w:line="264"/>
            </w:pPr>
            <w:r>
              <w:rPr>
                <w:rFonts w:ascii="Consolas" w:cs="Consolas" w:eastAsia="Consolas" w:hAnsi="Consolas"/>
                <w:sz w:val="19"/>
                <w:szCs w:val="19"/>
              </w:rPr>
              <w:t xml:space="preserve">}</w:t>
            </w:r>
          </w:p>
        </w:tc>
      </w:tr>
    </w:tbl>
    <w:p>
      <w:pPr>
        <w:pStyle w:val="Heading3"/>
      </w:pPr>
      <w:r>
        <w:rPr>
          <w:rFonts w:ascii="Arial" w:cs="Arial" w:eastAsia="Arial" w:hAnsi="Arial"/>
          <w:b/>
          <w:bCs/>
        </w:rPr>
        <w:t xml:space="preserve">12.3 Data Storage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Store</w:t>
            </w:r>
          </w:p>
        </w:tc>
        <w:tc>
          <w:tcPr>
            <w:tcW w:type="dxa" w:w="46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Holds</w:t>
            </w:r>
          </w:p>
        </w:tc>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Why</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PostgreSQL</w:t>
            </w:r>
          </w:p>
        </w:tc>
        <w:tc>
          <w:tcPr>
            <w:tcW w:type="dxa" w:w="4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Normalised holdings, scores, recommendations, transactions</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Strong consistency, relational queries, joins</w:t>
            </w:r>
          </w:p>
        </w:tc>
      </w:tr>
      <w:tr>
        <w:tc>
          <w:tcPr>
            <w:tcW w:type="dxa" w:w="1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MongoDB</w:t>
            </w:r>
          </w:p>
        </w:tc>
        <w:tc>
          <w:tcPr>
            <w:tcW w:type="dxa" w:w="4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Raw CAS payloads, AI explanations, recommendation traces</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Flexible schema for varied raw inputs and free-text traces</w:t>
            </w:r>
          </w:p>
        </w:tc>
      </w:tr>
      <w:tr>
        <w:tc>
          <w:tcPr>
            <w:tcW w:type="dxa" w:w="1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Time-series DB</w:t>
            </w:r>
          </w:p>
        </w:tc>
        <w:tc>
          <w:tcPr>
            <w:tcW w:type="dxa" w:w="4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NAV history, stock prices, factor history, correlation history</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Efficient time-indexed reads for analytics and simulation</w:t>
            </w:r>
          </w:p>
        </w:tc>
      </w:tr>
    </w:tbl>
    <w:p>
      <w:pPr>
        <w:pStyle w:val="Heading3"/>
      </w:pPr>
      <w:r>
        <w:rPr>
          <w:rFonts w:ascii="Arial" w:cs="Arial" w:eastAsia="Arial" w:hAnsi="Arial"/>
          <w:b/>
          <w:bCs/>
        </w:rPr>
        <w:t xml:space="preserve">12.4 Data Freshness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Data feed</w:t>
            </w:r>
          </w:p>
        </w:tc>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Freshness target</w:t>
            </w:r>
          </w:p>
        </w:tc>
        <w:tc>
          <w:tcPr>
            <w:tcW w:type="dxa" w:w="3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On breach</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Mutual fund NAV</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Within 1 market day</w:t>
            </w:r>
          </w:p>
        </w:tc>
        <w:tc>
          <w:tcPr>
            <w:tcW w:type="dxa" w:w="3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DV-2 suppresses valuation-sensitive actions</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Stock prices</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Intraday / end of day</w:t>
            </w:r>
          </w:p>
        </w:tc>
        <w:tc>
          <w:tcPr>
            <w:tcW w:type="dxa" w:w="3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Valuation overlays marked stale</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Fund holdings disclosure</w:t>
            </w:r>
          </w:p>
        </w:tc>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Latest available disclosure</w:t>
            </w:r>
          </w:p>
        </w:tc>
        <w:tc>
          <w:tcPr>
            <w:tcW w:type="dxa" w:w="3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flagged data_quality PARTIAL</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Fundamentals</w:t>
            </w:r>
          </w:p>
        </w:tc>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Latest reported period</w:t>
            </w:r>
          </w:p>
        </w:tc>
        <w:tc>
          <w:tcPr>
            <w:tcW w:type="dxa" w:w="3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Affected quality components renormalised (DV-4)</w:t>
            </w:r>
          </w:p>
        </w:tc>
      </w:tr>
    </w:tbl>
    <w:p>
      <w:pPr>
        <w:pStyle w:val="Heading3"/>
      </w:pPr>
      <w:r>
        <w:rPr>
          <w:rFonts w:ascii="Arial" w:cs="Arial" w:eastAsia="Arial" w:hAnsi="Arial"/>
          <w:b/>
          <w:bCs/>
        </w:rPr>
        <w:t xml:space="preserve">12.5 Audit &amp; Traceability Store</w:t>
      </w:r>
    </w:p>
    <w:p>
      <w:pPr>
        <w:spacing w:after="120" w:line="276"/>
      </w:pPr>
      <w:r>
        <w:rPr>
          <w:rFonts w:ascii="Arial" w:cs="Arial" w:eastAsia="Arial" w:hAnsi="Arial"/>
        </w:rPr>
        <w:t xml:space="preserve">Every recommendation surfaced to a user generates an immutable audit record containing: the input portfolio snapshot, engine versions, every rule that triggered or blocked, the priority computation, the simulation result, and the final object. Audit records are append-only and retained per the policy in Section 14. This store is what makes any recommendation defensible after the fact.</w:t>
      </w:r>
    </w:p>
    <w:p>
      <w:r>
        <w:br w:type="page"/>
      </w:r>
    </w:p>
    <w:p>
      <w:pPr>
        <w:pStyle w:val="Heading1"/>
      </w:pPr>
      <w:r>
        <w:rPr>
          <w:rFonts w:ascii="Arial" w:cs="Arial" w:eastAsia="Arial" w:hAnsi="Arial"/>
          <w:b/>
          <w:bCs/>
        </w:rPr>
        <w:t xml:space="preserve">13. API Specification</w:t>
      </w:r>
    </w:p>
    <w:p>
      <w:pPr>
        <w:spacing w:after="120" w:line="276"/>
      </w:pPr>
      <w:r>
        <w:rPr>
          <w:rFonts w:ascii="Arial" w:cs="Arial" w:eastAsia="Arial" w:hAnsi="Arial"/>
        </w:rPr>
        <w:t xml:space="preserve">Nivesh exposes a versioned REST API. All endpoints are authenticated, all payloads are JSON, and all timestamps are ISO-8601 UTC. The contract below is indicative; the OpenAPI document is the build-time source of truth and must stay consistent with this PRD.</w:t>
      </w:r>
    </w:p>
    <w:p>
      <w:pPr>
        <w:pStyle w:val="Heading3"/>
      </w:pPr>
      <w:r>
        <w:rPr>
          <w:rFonts w:ascii="Arial" w:cs="Arial" w:eastAsia="Arial" w:hAnsi="Arial"/>
          <w:b/>
          <w:bCs/>
        </w:rPr>
        <w:t xml:space="preserve">13.1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Method &amp; path</w:t>
            </w:r>
          </w:p>
        </w:tc>
        <w:tc>
          <w:tcPr>
            <w:tcW w:type="dxa" w:w="57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Purpose</w:t>
            </w:r>
          </w:p>
        </w:tc>
      </w:tr>
      <w:tr>
        <w:tc>
          <w:tcPr>
            <w:tcW w:type="dxa" w:w="3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POST /v1/portfolios/import</w:t>
            </w:r>
          </w:p>
        </w:tc>
        <w:tc>
          <w:tcPr>
            <w:tcW w:type="dxa" w:w="5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Submit a CAS file or broker link; starts an ingestion job</w:t>
            </w:r>
          </w:p>
        </w:tc>
      </w:tr>
      <w:tr>
        <w:tc>
          <w:tcPr>
            <w:tcW w:type="dxa" w:w="3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GET /v1/portfolios/{id}</w:t>
            </w:r>
          </w:p>
        </w:tc>
        <w:tc>
          <w:tcPr>
            <w:tcW w:type="dxa" w:w="5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Retrieve normalised holdings and coverage status</w:t>
            </w:r>
          </w:p>
        </w:tc>
      </w:tr>
      <w:tr>
        <w:tc>
          <w:tcPr>
            <w:tcW w:type="dxa" w:w="3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POST /v1/portfolios/{id}/analyze</w:t>
            </w:r>
          </w:p>
        </w:tc>
        <w:tc>
          <w:tcPr>
            <w:tcW w:type="dxa" w:w="5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Trigger a full analysis pipeline run</w:t>
            </w:r>
          </w:p>
        </w:tc>
      </w:tr>
      <w:tr>
        <w:tc>
          <w:tcPr>
            <w:tcW w:type="dxa" w:w="3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GET /v1/portfolios/{id}/metrics</w:t>
            </w:r>
          </w:p>
        </w:tc>
        <w:tc>
          <w:tcPr>
            <w:tcW w:type="dxa" w:w="5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Retrieve current portfolio metrics</w:t>
            </w:r>
          </w:p>
        </w:tc>
      </w:tr>
      <w:tr>
        <w:tc>
          <w:tcPr>
            <w:tcW w:type="dxa" w:w="3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GET /v1/portfolios/{id}/recommendations</w:t>
            </w:r>
          </w:p>
        </w:tc>
        <w:tc>
          <w:tcPr>
            <w:tcW w:type="dxa" w:w="5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Retrieve the prioritised recommendation set</w:t>
            </w:r>
          </w:p>
        </w:tc>
      </w:tr>
      <w:tr>
        <w:tc>
          <w:tcPr>
            <w:tcW w:type="dxa" w:w="3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GET /v1/recommendations/{id}/trace</w:t>
            </w:r>
          </w:p>
        </w:tc>
        <w:tc>
          <w:tcPr>
            <w:tcW w:type="dxa" w:w="5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Retrieve the full audit trace for one recommendation</w:t>
            </w:r>
          </w:p>
        </w:tc>
      </w:tr>
      <w:tr>
        <w:tc>
          <w:tcPr>
            <w:tcW w:type="dxa" w:w="3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POST /v1/recommendations/{id}/feedback</w:t>
            </w:r>
          </w:p>
        </w:tc>
        <w:tc>
          <w:tcPr>
            <w:tcW w:type="dxa" w:w="5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Record accept / dismiss / snooze and outcome</w:t>
            </w:r>
          </w:p>
        </w:tc>
      </w:tr>
      <w:tr>
        <w:tc>
          <w:tcPr>
            <w:tcW w:type="dxa" w:w="3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POST /v1/portfolios/{id}/copilot</w:t>
            </w:r>
          </w:p>
        </w:tc>
        <w:tc>
          <w:tcPr>
            <w:tcW w:type="dxa" w:w="5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Ask the copilot a grounded question about the portfolio</w:t>
            </w:r>
          </w:p>
        </w:tc>
      </w:tr>
    </w:tbl>
    <w:p>
      <w:pPr>
        <w:pStyle w:val="Heading3"/>
      </w:pPr>
      <w:r>
        <w:rPr>
          <w:rFonts w:ascii="Arial" w:cs="Arial" w:eastAsia="Arial" w:hAnsi="Arial"/>
          <w:b/>
          <w:bCs/>
        </w:rPr>
        <w:t xml:space="preserve">13.2 Asynchronous Jobs</w:t>
      </w:r>
    </w:p>
    <w:p>
      <w:pPr>
        <w:spacing w:after="120" w:line="276"/>
      </w:pPr>
      <w:r>
        <w:rPr>
          <w:rFonts w:ascii="Arial" w:cs="Arial" w:eastAsia="Arial" w:hAnsi="Arial"/>
        </w:rPr>
        <w:t xml:space="preserve">Import and analyze are long-running. They return a job handle immediately; the client polls job status or subscribes to completion. This keeps the API responsive under the latency SLOs in Section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POST /v1/portfolios/{id}/analyze   -&gt;   202 Accepted</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"job_id": "uuid",</w:t>
            </w:r>
          </w:p>
          <w:p>
            <w:pPr>
              <w:spacing w:after="0" w:line="264"/>
            </w:pPr>
            <w:r>
              <w:rPr>
                <w:rFonts w:ascii="Consolas" w:cs="Consolas" w:eastAsia="Consolas" w:hAnsi="Consolas"/>
                <w:sz w:val="19"/>
                <w:szCs w:val="19"/>
              </w:rPr>
              <w:t xml:space="preserve">  "status": "QUEUED",</w:t>
            </w:r>
          </w:p>
          <w:p>
            <w:pPr>
              <w:spacing w:after="0" w:line="264"/>
            </w:pPr>
            <w:r>
              <w:rPr>
                <w:rFonts w:ascii="Consolas" w:cs="Consolas" w:eastAsia="Consolas" w:hAnsi="Consolas"/>
                <w:sz w:val="19"/>
                <w:szCs w:val="19"/>
              </w:rPr>
              <w:t xml:space="preserve">  "poll_url": "/v1/jobs/{job_id}"</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GET /v1/jobs/{job_id}              -&gt;   200 OK</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"job_id": "uuid",</w:t>
            </w:r>
          </w:p>
          <w:p>
            <w:pPr>
              <w:spacing w:after="0" w:line="264"/>
            </w:pPr>
            <w:r>
              <w:rPr>
                <w:rFonts w:ascii="Consolas" w:cs="Consolas" w:eastAsia="Consolas" w:hAnsi="Consolas"/>
                <w:sz w:val="19"/>
                <w:szCs w:val="19"/>
              </w:rPr>
              <w:t xml:space="preserve">  "status": "QUEUED | RUNNING | COMPLETE | FAILED",</w:t>
            </w:r>
          </w:p>
          <w:p>
            <w:pPr>
              <w:spacing w:after="0" w:line="264"/>
            </w:pPr>
            <w:r>
              <w:rPr>
                <w:rFonts w:ascii="Consolas" w:cs="Consolas" w:eastAsia="Consolas" w:hAnsi="Consolas"/>
                <w:sz w:val="19"/>
                <w:szCs w:val="19"/>
              </w:rPr>
              <w:t xml:space="preserve">  "progress": 0.0,                 // 0-1</w:t>
            </w:r>
          </w:p>
          <w:p>
            <w:pPr>
              <w:spacing w:after="0" w:line="264"/>
            </w:pPr>
            <w:r>
              <w:rPr>
                <w:rFonts w:ascii="Consolas" w:cs="Consolas" w:eastAsia="Consolas" w:hAnsi="Consolas"/>
                <w:sz w:val="19"/>
                <w:szCs w:val="19"/>
              </w:rPr>
              <w:t xml:space="preserve">  "result_url": "/v1/portfolios/{id}/recommendations"</w:t>
            </w:r>
          </w:p>
          <w:p>
            <w:pPr>
              <w:spacing w:after="0" w:line="264"/>
            </w:pPr>
            <w:r>
              <w:rPr>
                <w:rFonts w:ascii="Consolas" w:cs="Consolas" w:eastAsia="Consolas" w:hAnsi="Consolas"/>
                <w:sz w:val="19"/>
                <w:szCs w:val="19"/>
              </w:rPr>
              <w:t xml:space="preserve">}</w:t>
            </w:r>
          </w:p>
        </w:tc>
      </w:tr>
    </w:tbl>
    <w:p>
      <w:pPr>
        <w:pStyle w:val="Heading3"/>
      </w:pPr>
      <w:r>
        <w:rPr>
          <w:rFonts w:ascii="Arial" w:cs="Arial" w:eastAsia="Arial" w:hAnsi="Arial"/>
          <w:b/>
          <w:bCs/>
        </w:rPr>
        <w:t xml:space="preserve">13.3 Error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HTTP status</w:t>
            </w:r>
          </w:p>
        </w:tc>
        <w:tc>
          <w:tcPr>
            <w:tcW w:type="dxa" w:w="45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Meaning</w:t>
            </w:r>
          </w:p>
        </w:tc>
        <w:tc>
          <w:tcPr>
            <w:tcW w:type="dxa" w:w="3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Client action</w:t>
            </w:r>
          </w:p>
        </w:tc>
      </w:tr>
      <w:tr>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400</w:t>
            </w:r>
          </w:p>
        </w:tc>
        <w:tc>
          <w:tcPr>
            <w:tcW w:type="dxa" w:w="4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Malformed request payload</w:t>
            </w:r>
          </w:p>
        </w:tc>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Fix the request</w:t>
            </w:r>
          </w:p>
        </w:tc>
      </w:tr>
      <w:tr>
        <w:tc>
          <w:tcPr>
            <w:tcW w:type="dxa" w:w="1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401 / 403</w:t>
            </w:r>
          </w:p>
        </w:tc>
        <w:tc>
          <w:tcPr>
            <w:tcW w:type="dxa" w:w="4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Authentication or authorisation failure</w:t>
            </w:r>
          </w:p>
        </w:tc>
        <w:tc>
          <w:tcPr>
            <w:tcW w:type="dxa" w:w="3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Re-authenticate</w:t>
            </w:r>
          </w:p>
        </w:tc>
      </w:tr>
      <w:tr>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409</w:t>
            </w:r>
          </w:p>
        </w:tc>
        <w:tc>
          <w:tcPr>
            <w:tcW w:type="dxa" w:w="4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Conflicting state (e.g. analysis already running)</w:t>
            </w:r>
          </w:p>
        </w:tc>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Wait or reconcile</w:t>
            </w:r>
          </w:p>
        </w:tc>
      </w:tr>
      <w:tr>
        <w:tc>
          <w:tcPr>
            <w:tcW w:type="dxa" w:w="1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422</w:t>
            </w:r>
          </w:p>
        </w:tc>
        <w:tc>
          <w:tcPr>
            <w:tcW w:type="dxa" w:w="4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Valid request, but data fails validation (e.g. coverage too low)</w:t>
            </w:r>
          </w:p>
        </w:tc>
        <w:tc>
          <w:tcPr>
            <w:tcW w:type="dxa" w:w="3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Surface data-quality message to user</w:t>
            </w:r>
          </w:p>
        </w:tc>
      </w:tr>
      <w:tr>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429</w:t>
            </w:r>
          </w:p>
        </w:tc>
        <w:tc>
          <w:tcPr>
            <w:tcW w:type="dxa" w:w="4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Rate limit exceeded</w:t>
            </w:r>
          </w:p>
        </w:tc>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Back off and retry</w:t>
            </w:r>
          </w:p>
        </w:tc>
      </w:tr>
      <w:tr>
        <w:tc>
          <w:tcPr>
            <w:tcW w:type="dxa" w:w="1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503</w:t>
            </w:r>
          </w:p>
        </w:tc>
        <w:tc>
          <w:tcPr>
            <w:tcW w:type="dxa" w:w="4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Downstream data feed unavailable</w:t>
            </w:r>
          </w:p>
        </w:tc>
        <w:tc>
          <w:tcPr>
            <w:tcW w:type="dxa" w:w="3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Retry with backoff</w:t>
            </w:r>
          </w:p>
        </w:tc>
      </w:tr>
    </w:tbl>
    <w:p>
      <w:pPr>
        <w:spacing w:after="80"/>
      </w:pPr>
      <w:r>
        <w:rPr>
          <w:rFonts w:ascii="Arial" w:cs="Arial" w:eastAsia="Arial" w:hAnsi="Arial"/>
        </w:rPr>
        <w:t xml:space="preserve"/>
      </w:r>
    </w:p>
    <w:p>
      <w:pPr>
        <w:spacing w:after="120" w:line="276"/>
      </w:pPr>
      <w:r>
        <w:rPr>
          <w:rFonts w:ascii="Arial" w:cs="Arial" w:eastAsia="Arial" w:hAnsi="Arial"/>
        </w:rPr>
        <w:t xml:space="preserve">Error responses carry a stable machine-readable code, a human-readable message, and a correlation ID that ties the failure to the observability trace in Section 18.</w:t>
      </w:r>
    </w:p>
    <w:p>
      <w:r>
        <w:br w:type="page"/>
      </w:r>
    </w:p>
    <w:p>
      <w:pPr>
        <w:pStyle w:val="Heading1"/>
      </w:pPr>
      <w:r>
        <w:rPr>
          <w:rFonts w:ascii="Arial" w:cs="Arial" w:eastAsia="Arial" w:hAnsi="Arial"/>
          <w:b/>
          <w:bCs/>
        </w:rPr>
        <w:t xml:space="preserve">14. Non-Functional Requirements</w:t>
      </w:r>
    </w:p>
    <w:p>
      <w:pPr>
        <w:spacing w:after="120" w:line="276"/>
      </w:pPr>
      <w:r>
        <w:rPr>
          <w:rFonts w:ascii="Arial" w:cs="Arial" w:eastAsia="Arial" w:hAnsi="Arial"/>
        </w:rPr>
        <w:t xml:space="preserve">Non-functional requirements (NFRs) define how well the system must behave. They are testable and tied to the operational metrics in Section 4.</w:t>
      </w:r>
    </w:p>
    <w:p>
      <w:pPr>
        <w:pStyle w:val="Heading3"/>
      </w:pPr>
      <w:r>
        <w:rPr>
          <w:rFonts w:ascii="Arial" w:cs="Arial" w:eastAsia="Arial" w:hAnsi="Arial"/>
          <w:b/>
          <w:bCs/>
        </w:rPr>
        <w:t xml:space="preserve">14.1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8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NFR-1</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End-to-end analysis pipeline completes within 45 seconds at p95 for a typical portfolio.</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NFR-2</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Copilot begins streaming a response within 3 seconds at p95.</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NFR-3</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platform scales horizontally to millions of portfolios without architectural change.</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NFR-4</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Heavy computation runs on async workers; the user-facing API stays responsive under load.</w:t>
            </w:r>
          </w:p>
        </w:tc>
      </w:tr>
    </w:tbl>
    <w:p>
      <w:pPr>
        <w:spacing w:after="80"/>
      </w:pPr>
      <w:r>
        <w:rPr>
          <w:rFonts w:ascii="Arial" w:cs="Arial" w:eastAsia="Arial" w:hAnsi="Arial"/>
        </w:rPr>
        <w:t xml:space="preserve"/>
      </w:r>
    </w:p>
    <w:p>
      <w:pPr>
        <w:pStyle w:val="Heading3"/>
      </w:pPr>
      <w:r>
        <w:rPr>
          <w:rFonts w:ascii="Arial" w:cs="Arial" w:eastAsia="Arial" w:hAnsi="Arial"/>
          <w:b/>
          <w:bCs/>
        </w:rPr>
        <w:t xml:space="preserve">14.2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8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NFR-5</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Core API availability target of 99.9% monthly.</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NFR-6</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Pipeline success rate of at least 99.5%; failures degrade gracefully (Section 11).</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NFR-7</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 data loss on worker failure; jobs are idempotent and retryable.</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NFR-8</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Recovery point and recovery time objectives are defined and tested for the data stores.</w:t>
            </w:r>
          </w:p>
        </w:tc>
      </w:tr>
    </w:tbl>
    <w:p>
      <w:pPr>
        <w:spacing w:after="80"/>
      </w:pPr>
      <w:r>
        <w:rPr>
          <w:rFonts w:ascii="Arial" w:cs="Arial" w:eastAsia="Arial" w:hAnsi="Arial"/>
        </w:rPr>
        <w:t xml:space="preserve"/>
      </w:r>
    </w:p>
    <w:p>
      <w:pPr>
        <w:pStyle w:val="Heading3"/>
      </w:pPr>
      <w:r>
        <w:rPr>
          <w:rFonts w:ascii="Arial" w:cs="Arial" w:eastAsia="Arial" w:hAnsi="Arial"/>
          <w:b/>
          <w:bCs/>
        </w:rPr>
        <w:t xml:space="preserve">14.3 Correctness &amp;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8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NFR-9</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 outputs are fully reproducible for identical inputs and engine versions.</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NFR-10</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surfaced recommendation has a complete, immutable audit trace.</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NFR-11</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 version changes are recorded and any output can be attributed to specific versions.</w:t>
            </w:r>
          </w:p>
        </w:tc>
      </w:tr>
    </w:tbl>
    <w:p>
      <w:pPr>
        <w:spacing w:after="80"/>
      </w:pPr>
      <w:r>
        <w:rPr>
          <w:rFonts w:ascii="Arial" w:cs="Arial" w:eastAsia="Arial" w:hAnsi="Arial"/>
        </w:rPr>
        <w:t xml:space="preserve"/>
      </w:r>
    </w:p>
    <w:p>
      <w:pPr>
        <w:pStyle w:val="Heading3"/>
      </w:pPr>
      <w:r>
        <w:rPr>
          <w:rFonts w:ascii="Arial" w:cs="Arial" w:eastAsia="Arial" w:hAnsi="Arial"/>
          <w:b/>
          <w:bCs/>
        </w:rPr>
        <w:t xml:space="preserve">14.4 Usability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8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NFR-12</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recommendation is explainable in plain language without financial jargon.</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NFR-13</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Interfaces meet recognised accessibility guidelines for contrast, navigation, and screen readers.</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NFR-14</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Data-quality limitations are always visible to the user, never silently hidden.</w:t>
            </w:r>
          </w:p>
        </w:tc>
      </w:tr>
    </w:tbl>
    <w:p>
      <w:r>
        <w:br w:type="page"/>
      </w:r>
    </w:p>
    <w:p>
      <w:pPr>
        <w:pStyle w:val="Heading1"/>
      </w:pPr>
      <w:r>
        <w:rPr>
          <w:rFonts w:ascii="Arial" w:cs="Arial" w:eastAsia="Arial" w:hAnsi="Arial"/>
          <w:b/>
          <w:bCs/>
        </w:rPr>
        <w:t xml:space="preserve">15. Simulation Accuracy &amp; Calibration</w:t>
      </w:r>
    </w:p>
    <w:p>
      <w:pPr>
        <w:spacing w:after="120" w:line="276"/>
      </w:pPr>
      <w:r>
        <w:rPr>
          <w:rFonts w:ascii="Arial" w:cs="Arial" w:eastAsia="Arial" w:hAnsi="Arial"/>
        </w:rPr>
        <w:t xml:space="preserve">Because the platform makes quantified claims — “volatility falls from 19% to 14%” — the models behind those claims must be governed. This section defines how thresholds and models are calibrated and validated.</w:t>
      </w:r>
    </w:p>
    <w:p>
      <w:pPr>
        <w:pStyle w:val="Heading3"/>
      </w:pPr>
      <w:r>
        <w:rPr>
          <w:rFonts w:ascii="Arial" w:cs="Arial" w:eastAsia="Arial" w:hAnsi="Arial"/>
          <w:b/>
          <w:bCs/>
        </w:rPr>
        <w:t xml:space="preserve">15.1 Configuration vs. Code</w:t>
      </w:r>
    </w:p>
    <w:p>
      <w:pPr>
        <w:spacing w:after="120" w:line="276"/>
      </w:pPr>
      <w:r>
        <w:rPr>
          <w:rFonts w:ascii="Arial" w:cs="Arial" w:eastAsia="Arial" w:hAnsi="Arial"/>
        </w:rPr>
        <w:t xml:space="preserve">All thresholds in the rule book — coverage minimum, NAV staleness window, overlap bands, allocation multipliers, correlation cut-off, priority weights — are configuration, not code constants. They are versioned, reviewed by Data Science and, where they affect investor-facing outcomes, Compliance, before any change ships.</w:t>
      </w:r>
    </w:p>
    <w:p>
      <w:pPr>
        <w:pStyle w:val="Heading3"/>
      </w:pPr>
      <w:r>
        <w:rPr>
          <w:rFonts w:ascii="Arial" w:cs="Arial" w:eastAsia="Arial" w:hAnsi="Arial"/>
          <w:b/>
          <w:bCs/>
        </w:rPr>
        <w:t xml:space="preserve">15.2 Calibration Process</w:t>
      </w:r>
    </w:p>
    <w:p>
      <w:pPr>
        <w:pStyle w:val="ListParagraph"/>
        <w:numPr>
          <w:ilvl w:val="0"/>
          <w:numId w:val="4"/>
        </w:numPr>
        <w:spacing w:after="60" w:line="276"/>
      </w:pPr>
      <w:r>
        <w:rPr>
          <w:rFonts w:ascii="Arial" w:cs="Arial" w:eastAsia="Arial" w:hAnsi="Arial"/>
        </w:rPr>
        <w:t xml:space="preserve">Propose a threshold or model change with the hypothesis it improves.</w:t>
      </w:r>
    </w:p>
    <w:p>
      <w:pPr>
        <w:pStyle w:val="ListParagraph"/>
        <w:numPr>
          <w:ilvl w:val="0"/>
          <w:numId w:val="4"/>
        </w:numPr>
        <w:spacing w:after="60" w:line="276"/>
      </w:pPr>
      <w:r>
        <w:rPr>
          <w:rFonts w:ascii="Arial" w:cs="Arial" w:eastAsia="Arial" w:hAnsi="Arial"/>
        </w:rPr>
        <w:t xml:space="preserve">Back-test against a held-out set of historical portfolios.</w:t>
      </w:r>
    </w:p>
    <w:p>
      <w:pPr>
        <w:pStyle w:val="ListParagraph"/>
        <w:numPr>
          <w:ilvl w:val="0"/>
          <w:numId w:val="4"/>
        </w:numPr>
        <w:spacing w:after="60" w:line="276"/>
      </w:pPr>
      <w:r>
        <w:rPr>
          <w:rFonts w:ascii="Arial" w:cs="Arial" w:eastAsia="Arial" w:hAnsi="Arial"/>
        </w:rPr>
        <w:t xml:space="preserve">Review the effect on the engine-quality metrics in Section 4.3.</w:t>
      </w:r>
    </w:p>
    <w:p>
      <w:pPr>
        <w:pStyle w:val="ListParagraph"/>
        <w:numPr>
          <w:ilvl w:val="0"/>
          <w:numId w:val="4"/>
        </w:numPr>
        <w:spacing w:after="60" w:line="276"/>
      </w:pPr>
      <w:r>
        <w:rPr>
          <w:rFonts w:ascii="Arial" w:cs="Arial" w:eastAsia="Arial" w:hAnsi="Arial"/>
        </w:rPr>
        <w:t xml:space="preserve">Sign-off by Data Science; Compliance co-sign if investor outcomes change.</w:t>
      </w:r>
    </w:p>
    <w:p>
      <w:pPr>
        <w:pStyle w:val="ListParagraph"/>
        <w:numPr>
          <w:ilvl w:val="0"/>
          <w:numId w:val="4"/>
        </w:numPr>
        <w:spacing w:after="60" w:line="276"/>
      </w:pPr>
      <w:r>
        <w:rPr>
          <w:rFonts w:ascii="Arial" w:cs="Arial" w:eastAsia="Arial" w:hAnsi="Arial"/>
        </w:rPr>
        <w:t xml:space="preserve">Ship behind a version bump so the change is auditable.</w:t>
      </w:r>
    </w:p>
    <w:p>
      <w:pPr>
        <w:pStyle w:val="Heading3"/>
      </w:pPr>
      <w:r>
        <w:rPr>
          <w:rFonts w:ascii="Arial" w:cs="Arial" w:eastAsia="Arial" w:hAnsi="Arial"/>
          <w:b/>
          <w:bCs/>
        </w:rPr>
        <w:t xml:space="preserve">15.3 Goal Probability Modelling</w:t>
      </w:r>
    </w:p>
    <w:p>
      <w:pPr>
        <w:spacing w:after="120" w:line="276"/>
      </w:pPr>
      <w:r>
        <w:rPr>
          <w:rFonts w:ascii="Arial" w:cs="Arial" w:eastAsia="Arial" w:hAnsi="Arial"/>
        </w:rPr>
        <w:t xml:space="preserve">Goal Success Probability is a modelled estimate, not a guarantee. It is computed from the projected corpus distribution at the goal date given current allocation, contribution schedule, and modelled return and volatility assumptions. The assumptions are documented, versioned, and shown to the user on request.</w:t>
      </w:r>
    </w:p>
    <w:p>
      <w:pPr>
        <w:pStyle w:val="Heading3"/>
      </w:pPr>
      <w:r>
        <w:rPr>
          <w:rFonts w:ascii="Arial" w:cs="Arial" w:eastAsia="Arial" w:hAnsi="Arial"/>
          <w:b/>
          <w:bCs/>
        </w:rPr>
        <w:t xml:space="preserve">15.4 Simulation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Accuracy tolerance</w:t>
            </w:r>
          </w:p>
          <w:p>
            <w:pPr>
              <w:spacing w:after="120" w:line="276"/>
            </w:pPr>
            <w:r>
              <w:rPr>
                <w:rFonts w:ascii="Arial" w:cs="Arial" w:eastAsia="Arial" w:hAnsi="Arial"/>
              </w:rPr>
              <w:t xml:space="preserve">For recommendations whose simulated metrics can later be observed, the modelled delta is compared against the realised delta. At least 90% of observations must fall within the defined tolerance band. Persistent drift outside the band triggers recalibration of the simulation model.</w:t>
            </w:r>
          </w:p>
        </w:tc>
      </w:tr>
    </w:tbl>
    <w:p>
      <w:r>
        <w:br w:type="page"/>
      </w:r>
    </w:p>
    <w:p>
      <w:pPr>
        <w:pStyle w:val="Heading1"/>
      </w:pPr>
      <w:r>
        <w:rPr>
          <w:rFonts w:ascii="Arial" w:cs="Arial" w:eastAsia="Arial" w:hAnsi="Arial"/>
          <w:b/>
          <w:bCs/>
        </w:rPr>
        <w:t xml:space="preserve">16. Compliance &amp; Advisory Boundaries</w:t>
      </w:r>
    </w:p>
    <w:p>
      <w:pPr>
        <w:spacing w:after="120" w:line="276"/>
      </w:pPr>
      <w:r>
        <w:rPr>
          <w:rFonts w:ascii="Arial" w:cs="Arial" w:eastAsia="Arial" w:hAnsi="Arial"/>
        </w:rPr>
        <w:t xml:space="preserve">Nivesh operates close to a regulated activity. This section defines the boundary the product must not cross and the controls that keep it on the right side of that line. Compliance sign-off (Section 0) is a launch gate.</w:t>
      </w:r>
    </w:p>
    <w:p>
      <w:pPr>
        <w:pStyle w:val="Heading3"/>
      </w:pPr>
      <w:r>
        <w:rPr>
          <w:rFonts w:ascii="Arial" w:cs="Arial" w:eastAsia="Arial" w:hAnsi="Arial"/>
          <w:b/>
          <w:bCs/>
        </w:rPr>
        <w:t xml:space="preserve">16.1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  —  </w:t>
            </w:r>
            <w:r>
              <w:rPr>
                <w:rFonts w:ascii="Arial" w:cs="Arial" w:eastAsia="Arial" w:hAnsi="Arial"/>
                <w:b/>
                <w:bCs/>
                <w:color w:val="1A1A2E"/>
                <w:sz w:val="18"/>
                <w:szCs w:val="18"/>
              </w:rPr>
              <w:t xml:space="preserve">Advisory boundary</w:t>
            </w:r>
          </w:p>
          <w:p>
            <w:pPr>
              <w:spacing w:after="120" w:line="276"/>
            </w:pPr>
            <w:r>
              <w:rPr>
                <w:rFonts w:ascii="Arial" w:cs="Arial" w:eastAsia="Arial" w:hAnsi="Arial"/>
                <w:b/>
                <w:bCs/>
              </w:rPr>
              <w:t xml:space="preserve">Nivesh provides portfolio analysis and education, not personalised regulated investment advice. </w:t>
            </w:r>
            <w:r>
              <w:rPr>
                <w:rFonts w:ascii="Arial" w:cs="Arial" w:eastAsia="Arial" w:hAnsi="Arial"/>
              </w:rPr>
              <w:t xml:space="preserve">It surfaces objective, rule-derived observations about an investor’s own portfolio. It does not solicit transactions, does not earn issuer-linked commissions, and does not present its output as a regulated advisory recommendation. Final investment decisions rest with the investor.</w:t>
            </w:r>
          </w:p>
        </w:tc>
      </w:tr>
    </w:tbl>
    <w:p>
      <w:pPr>
        <w:pStyle w:val="Heading3"/>
      </w:pPr>
      <w:r>
        <w:rPr>
          <w:rFonts w:ascii="Arial" w:cs="Arial" w:eastAsia="Arial" w:hAnsi="Arial"/>
          <w:b/>
          <w:bCs/>
        </w:rPr>
        <w:t xml:space="preserve">16.2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8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Control</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CP-C1</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All recommendations are issuer-agnostic and revenue-neutral; no fund house can influence output.</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CP-C2</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recommendation carries its rationale, trade-offs, confidence, and an explicit data-quality flag.</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CP-C3</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platform displays appropriate disclaimers framing output as analysis, not regulated advice.</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CP-C4</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immutable audit trace lets any recommendation be reconstructed and reviewed by a regulator.</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CP-C5</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copilot is constrained from improvising advice beyond the engine-produced recommendation set.</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CP-C6</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Marketing and in-product copy are reviewed by Compliance for advisory-boundary language.</w:t>
            </w:r>
          </w:p>
        </w:tc>
      </w:tr>
    </w:tbl>
    <w:p>
      <w:pPr>
        <w:pStyle w:val="Heading3"/>
      </w:pPr>
      <w:r>
        <w:rPr>
          <w:rFonts w:ascii="Arial" w:cs="Arial" w:eastAsia="Arial" w:hAnsi="Arial"/>
          <w:b/>
          <w:bCs/>
        </w:rPr>
        <w:t xml:space="preserve">16.3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Data class</w:t>
            </w:r>
          </w:p>
        </w:tc>
        <w:tc>
          <w:tcPr>
            <w:tcW w:type="dxa" w:w="67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Retention approach</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Audit traces</w:t>
            </w:r>
          </w:p>
        </w:tc>
        <w:tc>
          <w:tcPr>
            <w:tcW w:type="dxa" w:w="6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Retained for the regulatory minimum; append-only and immutable.</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Raw CAS payloads</w:t>
            </w:r>
          </w:p>
        </w:tc>
        <w:tc>
          <w:tcPr>
            <w:tcW w:type="dxa" w:w="6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Retained only as long as needed for analysis and dispute resolution.</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Derived metrics &amp; scores</w:t>
            </w:r>
          </w:p>
        </w:tc>
        <w:tc>
          <w:tcPr>
            <w:tcW w:type="dxa" w:w="6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Versioned; superseded versions retained for reproducibility.</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User account data</w:t>
            </w:r>
          </w:p>
        </w:tc>
        <w:tc>
          <w:tcPr>
            <w:tcW w:type="dxa" w:w="6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Retained per privacy policy; deletable on verified user request.</w:t>
            </w:r>
          </w:p>
        </w:tc>
      </w:tr>
    </w:tbl>
    <w:p>
      <w:r>
        <w:br w:type="page"/>
      </w:r>
    </w:p>
    <w:p>
      <w:pPr>
        <w:pStyle w:val="Heading1"/>
      </w:pPr>
      <w:r>
        <w:rPr>
          <w:rFonts w:ascii="Arial" w:cs="Arial" w:eastAsia="Arial" w:hAnsi="Arial"/>
          <w:b/>
          <w:bCs/>
        </w:rPr>
        <w:t xml:space="preserve">17. Security &amp; Privacy</w:t>
      </w:r>
    </w:p>
    <w:p>
      <w:pPr>
        <w:spacing w:after="120" w:line="276"/>
      </w:pPr>
      <w:r>
        <w:rPr>
          <w:rFonts w:ascii="Arial" w:cs="Arial" w:eastAsia="Arial" w:hAnsi="Arial"/>
        </w:rPr>
        <w:t xml:space="preserve">Nivesh holds a complete picture of an investor’s wealth. That makes security and privacy first-order requirements, not afterthoughts.</w:t>
      </w:r>
    </w:p>
    <w:p>
      <w:pPr>
        <w:pStyle w:val="Heading3"/>
      </w:pPr>
      <w:r>
        <w:rPr>
          <w:rFonts w:ascii="Arial" w:cs="Arial" w:eastAsia="Arial" w:hAnsi="Arial"/>
          <w:b/>
          <w:bCs/>
        </w:rPr>
        <w:t xml:space="preserve">17.1 Data Protection</w:t>
      </w:r>
    </w:p>
    <w:p>
      <w:pPr>
        <w:pStyle w:val="ListParagraph"/>
        <w:numPr>
          <w:ilvl w:val="0"/>
          <w:numId w:val="2"/>
        </w:numPr>
        <w:spacing w:after="60" w:line="276"/>
      </w:pPr>
      <w:r>
        <w:rPr>
          <w:rFonts w:ascii="Arial" w:cs="Arial" w:eastAsia="Arial" w:hAnsi="Arial"/>
          <w:b/>
          <w:bCs/>
        </w:rPr>
        <w:t xml:space="preserve">Encryption everywhere. </w:t>
      </w:r>
      <w:r>
        <w:rPr>
          <w:rFonts w:ascii="Arial" w:cs="Arial" w:eastAsia="Arial" w:hAnsi="Arial"/>
        </w:rPr>
        <w:t xml:space="preserve">All data is encrypted in transit and at rest across every store.</w:t>
      </w:r>
    </w:p>
    <w:p>
      <w:pPr>
        <w:pStyle w:val="ListParagraph"/>
        <w:numPr>
          <w:ilvl w:val="0"/>
          <w:numId w:val="2"/>
        </w:numPr>
        <w:spacing w:after="60" w:line="276"/>
      </w:pPr>
      <w:r>
        <w:rPr>
          <w:rFonts w:ascii="Arial" w:cs="Arial" w:eastAsia="Arial" w:hAnsi="Arial"/>
          <w:b/>
          <w:bCs/>
        </w:rPr>
        <w:t xml:space="preserve">Least privilege. </w:t>
      </w:r>
      <w:r>
        <w:rPr>
          <w:rFonts w:ascii="Arial" w:cs="Arial" w:eastAsia="Arial" w:hAnsi="Arial"/>
        </w:rPr>
        <w:t xml:space="preserve">Access to portfolio data is role-scoped; engines and services receive only the data they need.</w:t>
      </w:r>
    </w:p>
    <w:p>
      <w:pPr>
        <w:pStyle w:val="ListParagraph"/>
        <w:numPr>
          <w:ilvl w:val="0"/>
          <w:numId w:val="2"/>
        </w:numPr>
        <w:spacing w:after="60" w:line="276"/>
      </w:pPr>
      <w:r>
        <w:rPr>
          <w:rFonts w:ascii="Arial" w:cs="Arial" w:eastAsia="Arial" w:hAnsi="Arial"/>
          <w:b/>
          <w:bCs/>
        </w:rPr>
        <w:t xml:space="preserve">Sensitive-data minimisation. </w:t>
      </w:r>
      <w:r>
        <w:rPr>
          <w:rFonts w:ascii="Arial" w:cs="Arial" w:eastAsia="Arial" w:hAnsi="Arial"/>
        </w:rPr>
        <w:t xml:space="preserve">The platform collects only the financial data required for analysis and avoids storing payment instruments or government identifiers beyond what aggregation strictly requires.</w:t>
      </w:r>
    </w:p>
    <w:p>
      <w:pPr>
        <w:pStyle w:val="ListParagraph"/>
        <w:numPr>
          <w:ilvl w:val="0"/>
          <w:numId w:val="2"/>
        </w:numPr>
        <w:spacing w:after="60" w:line="276"/>
      </w:pPr>
      <w:r>
        <w:rPr>
          <w:rFonts w:ascii="Arial" w:cs="Arial" w:eastAsia="Arial" w:hAnsi="Arial"/>
          <w:b/>
          <w:bCs/>
        </w:rPr>
        <w:t xml:space="preserve">Secrets management. </w:t>
      </w:r>
      <w:r>
        <w:rPr>
          <w:rFonts w:ascii="Arial" w:cs="Arial" w:eastAsia="Arial" w:hAnsi="Arial"/>
        </w:rPr>
        <w:t xml:space="preserve">Credentials for data feeds and the LLM provider are held in a managed secrets store, never in code or configuration files.</w:t>
      </w:r>
    </w:p>
    <w:p>
      <w:pPr>
        <w:pStyle w:val="Heading3"/>
      </w:pPr>
      <w:r>
        <w:rPr>
          <w:rFonts w:ascii="Arial" w:cs="Arial" w:eastAsia="Arial" w:hAnsi="Arial"/>
          <w:b/>
          <w:bCs/>
        </w:rPr>
        <w:t xml:space="preserve">17.2 Access &amp; Authentication</w:t>
      </w:r>
    </w:p>
    <w:p>
      <w:pPr>
        <w:pStyle w:val="ListParagraph"/>
        <w:numPr>
          <w:ilvl w:val="0"/>
          <w:numId w:val="2"/>
        </w:numPr>
        <w:spacing w:after="60" w:line="276"/>
      </w:pPr>
      <w:r>
        <w:rPr>
          <w:rFonts w:ascii="Arial" w:cs="Arial" w:eastAsia="Arial" w:hAnsi="Arial"/>
        </w:rPr>
        <w:t xml:space="preserve">User authentication uses industry-standard mechanisms with support for multi-factor authentication.</w:t>
      </w:r>
    </w:p>
    <w:p>
      <w:pPr>
        <w:pStyle w:val="ListParagraph"/>
        <w:numPr>
          <w:ilvl w:val="0"/>
          <w:numId w:val="2"/>
        </w:numPr>
        <w:spacing w:after="60" w:line="276"/>
      </w:pPr>
      <w:r>
        <w:rPr>
          <w:rFonts w:ascii="Arial" w:cs="Arial" w:eastAsia="Arial" w:hAnsi="Arial"/>
        </w:rPr>
        <w:t xml:space="preserve">Service-to-service calls are mutually authenticated.</w:t>
      </w:r>
    </w:p>
    <w:p>
      <w:pPr>
        <w:pStyle w:val="ListParagraph"/>
        <w:numPr>
          <w:ilvl w:val="0"/>
          <w:numId w:val="2"/>
        </w:numPr>
        <w:spacing w:after="60" w:line="276"/>
      </w:pPr>
      <w:r>
        <w:rPr>
          <w:rFonts w:ascii="Arial" w:cs="Arial" w:eastAsia="Arial" w:hAnsi="Arial"/>
        </w:rPr>
        <w:t xml:space="preserve">Administrative access is logged and reviewed; privileged actions require a second approver.</w:t>
      </w:r>
    </w:p>
    <w:p>
      <w:pPr>
        <w:pStyle w:val="Heading3"/>
      </w:pPr>
      <w:r>
        <w:rPr>
          <w:rFonts w:ascii="Arial" w:cs="Arial" w:eastAsia="Arial" w:hAnsi="Arial"/>
          <w:b/>
          <w:bCs/>
        </w:rPr>
        <w:t xml:space="preserve">17.3 Privacy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8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Commitment</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PR-1</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data is never sold or shared with fund houses or third-party advertisers.</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PR-2</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sent to the LLM provider is limited to the structured fields needed for explanation.</w:t>
            </w:r>
          </w:p>
        </w:tc>
      </w:tr>
      <w:tr>
        <w:tc>
          <w:tcPr>
            <w:tcW w:type="dxa" w:w="9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PR-3</w:t>
            </w:r>
          </w:p>
        </w:tc>
        <w:tc>
          <w:tcPr>
            <w:tcW w:type="dxa" w:w="8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Users can export and delete their data subject to regulatory retention obligations.</w:t>
            </w:r>
          </w:p>
        </w:tc>
      </w:tr>
      <w:tr>
        <w:tc>
          <w:tcPr>
            <w:tcW w:type="dxa" w:w="9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PR-4</w:t>
            </w:r>
          </w:p>
        </w:tc>
        <w:tc>
          <w:tcPr>
            <w:tcW w:type="dxa" w:w="8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Aggregate analytics use de-identified data; individual portfolios are not re-identifiable.</w:t>
            </w:r>
          </w:p>
        </w:tc>
      </w:tr>
    </w:tbl>
    <w:p>
      <w:pPr>
        <w:spacing w:after="80"/>
      </w:pPr>
      <w:r>
        <w:rPr>
          <w:rFonts w:ascii="Arial" w:cs="Arial" w:eastAsia="Arial" w:hAnsi="Arial"/>
        </w:rPr>
        <w:t xml:space="preserve"/>
      </w:r>
    </w:p>
    <w:p>
      <w:pPr>
        <w:pStyle w:val="Heading3"/>
      </w:pPr>
      <w:r>
        <w:rPr>
          <w:rFonts w:ascii="Arial" w:cs="Arial" w:eastAsia="Arial" w:hAnsi="Arial"/>
          <w:b/>
          <w:bCs/>
        </w:rPr>
        <w:t xml:space="preserve">17.4 LLM-Specific Safeguards</w:t>
      </w:r>
    </w:p>
    <w:p>
      <w:pPr>
        <w:pStyle w:val="ListParagraph"/>
        <w:numPr>
          <w:ilvl w:val="0"/>
          <w:numId w:val="2"/>
        </w:numPr>
        <w:spacing w:after="60" w:line="276"/>
      </w:pPr>
      <w:r>
        <w:rPr>
          <w:rFonts w:ascii="Arial" w:cs="Arial" w:eastAsia="Arial" w:hAnsi="Arial"/>
          <w:b/>
          <w:bCs/>
        </w:rPr>
        <w:t xml:space="preserve">No decision authority. </w:t>
      </w:r>
      <w:r>
        <w:rPr>
          <w:rFonts w:ascii="Arial" w:cs="Arial" w:eastAsia="Arial" w:hAnsi="Arial"/>
        </w:rPr>
        <w:t xml:space="preserve">The LLM cannot originate or change a recommendation; it only narrates structured output.</w:t>
      </w:r>
    </w:p>
    <w:p>
      <w:pPr>
        <w:pStyle w:val="ListParagraph"/>
        <w:numPr>
          <w:ilvl w:val="0"/>
          <w:numId w:val="2"/>
        </w:numPr>
        <w:spacing w:after="60" w:line="276"/>
      </w:pPr>
      <w:r>
        <w:rPr>
          <w:rFonts w:ascii="Arial" w:cs="Arial" w:eastAsia="Arial" w:hAnsi="Arial"/>
          <w:b/>
          <w:bCs/>
        </w:rPr>
        <w:t xml:space="preserve">Grounded responses. </w:t>
      </w:r>
      <w:r>
        <w:rPr>
          <w:rFonts w:ascii="Arial" w:cs="Arial" w:eastAsia="Arial" w:hAnsi="Arial"/>
        </w:rPr>
        <w:t xml:space="preserve">Copilot answers are constrained to engine-produced facts; ungrounded generation is rejected.</w:t>
      </w:r>
    </w:p>
    <w:p>
      <w:pPr>
        <w:pStyle w:val="ListParagraph"/>
        <w:numPr>
          <w:ilvl w:val="0"/>
          <w:numId w:val="2"/>
        </w:numPr>
        <w:spacing w:after="60" w:line="276"/>
      </w:pPr>
      <w:r>
        <w:rPr>
          <w:rFonts w:ascii="Arial" w:cs="Arial" w:eastAsia="Arial" w:hAnsi="Arial"/>
          <w:b/>
          <w:bCs/>
        </w:rPr>
        <w:t xml:space="preserve">Prompt-injection resistance. </w:t>
      </w:r>
      <w:r>
        <w:rPr>
          <w:rFonts w:ascii="Arial" w:cs="Arial" w:eastAsia="Arial" w:hAnsi="Arial"/>
        </w:rPr>
        <w:t xml:space="preserve">User-supplied text and document content are treated as untrusted and cannot redirect the copilot’s behaviour.</w:t>
      </w:r>
    </w:p>
    <w:p>
      <w:pPr>
        <w:pStyle w:val="ListParagraph"/>
        <w:numPr>
          <w:ilvl w:val="0"/>
          <w:numId w:val="2"/>
        </w:numPr>
        <w:spacing w:after="60" w:line="276"/>
      </w:pPr>
      <w:r>
        <w:rPr>
          <w:rFonts w:ascii="Arial" w:cs="Arial" w:eastAsia="Arial" w:hAnsi="Arial"/>
          <w:b/>
          <w:bCs/>
        </w:rPr>
        <w:t xml:space="preserve">Minimal data exposure. </w:t>
      </w:r>
      <w:r>
        <w:rPr>
          <w:rFonts w:ascii="Arial" w:cs="Arial" w:eastAsia="Arial" w:hAnsi="Arial"/>
        </w:rPr>
        <w:t xml:space="preserve">Only the fields required for a given explanation are sent to the provider, per PR-2.</w:t>
      </w:r>
    </w:p>
    <w:p>
      <w:r>
        <w:br w:type="page"/>
      </w:r>
    </w:p>
    <w:p>
      <w:pPr>
        <w:pStyle w:val="Heading1"/>
      </w:pPr>
      <w:r>
        <w:rPr>
          <w:rFonts w:ascii="Arial" w:cs="Arial" w:eastAsia="Arial" w:hAnsi="Arial"/>
          <w:b/>
          <w:bCs/>
        </w:rPr>
        <w:t xml:space="preserve">18. Testing &amp; Quality Strategy</w:t>
      </w:r>
    </w:p>
    <w:p>
      <w:pPr>
        <w:spacing w:after="120" w:line="276"/>
      </w:pPr>
      <w:r>
        <w:rPr>
          <w:rFonts w:ascii="Arial" w:cs="Arial" w:eastAsia="Arial" w:hAnsi="Arial"/>
        </w:rPr>
        <w:t xml:space="preserve">Because recommendations affect real money, correctness is verified at every layer. Testing is not a final phase — it is built into engine design through the determinism principle, which makes engines straightforward to test exhaustively.</w:t>
      </w:r>
    </w:p>
    <w:p>
      <w:pPr>
        <w:pStyle w:val="Heading3"/>
      </w:pPr>
      <w:r>
        <w:rPr>
          <w:rFonts w:ascii="Arial" w:cs="Arial" w:eastAsia="Arial" w:hAnsi="Arial"/>
          <w:b/>
          <w:bCs/>
        </w:rPr>
        <w:t xml:space="preserve">18.1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Layer</w:t>
            </w:r>
          </w:p>
        </w:tc>
        <w:tc>
          <w:tcPr>
            <w:tcW w:type="dxa" w:w="3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Scope</w:t>
            </w:r>
          </w:p>
        </w:tc>
        <w:tc>
          <w:tcPr>
            <w:tcW w:type="dxa" w:w="42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What it proves</w:t>
            </w:r>
          </w:p>
        </w:tc>
      </w:tr>
      <w:tr>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Unit</w:t>
            </w:r>
          </w:p>
        </w:tc>
        <w:tc>
          <w:tcPr>
            <w:tcW w:type="dxa" w:w="3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Single rule or formula in isolation</w:t>
            </w:r>
          </w:p>
        </w:tc>
        <w:tc>
          <w:tcPr>
            <w:tcW w:type="dxa" w:w="42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Each rule fires exactly when its condition holds</w:t>
            </w:r>
          </w:p>
        </w:tc>
      </w:tr>
      <w:tr>
        <w:tc>
          <w:tcPr>
            <w:tcW w:type="dxa" w:w="1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w:t>
            </w:r>
          </w:p>
        </w:tc>
        <w:tc>
          <w:tcPr>
            <w:tcW w:type="dxa" w:w="3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One engine end to end</w:t>
            </w:r>
          </w:p>
        </w:tc>
        <w:tc>
          <w:tcPr>
            <w:tcW w:type="dxa" w:w="42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 produces correct scores and signals for known inputs</w:t>
            </w:r>
          </w:p>
        </w:tc>
      </w:tr>
      <w:tr>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Integration</w:t>
            </w:r>
          </w:p>
        </w:tc>
        <w:tc>
          <w:tcPr>
            <w:tcW w:type="dxa" w:w="3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Engine-to-engine handoffs</w:t>
            </w:r>
          </w:p>
        </w:tc>
        <w:tc>
          <w:tcPr>
            <w:tcW w:type="dxa" w:w="42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Outputs of one engine are valid inputs to the next</w:t>
            </w:r>
          </w:p>
        </w:tc>
      </w:tr>
      <w:tr>
        <w:tc>
          <w:tcPr>
            <w:tcW w:type="dxa" w:w="1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Pipeline</w:t>
            </w:r>
          </w:p>
        </w:tc>
        <w:tc>
          <w:tcPr>
            <w:tcW w:type="dxa" w:w="3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Full analysis on a fixture portfolio</w:t>
            </w:r>
          </w:p>
        </w:tc>
        <w:tc>
          <w:tcPr>
            <w:tcW w:type="dxa" w:w="42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ten-step workflow yields the expected recommendation set</w:t>
            </w:r>
          </w:p>
        </w:tc>
      </w:tr>
      <w:tr>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Regression</w:t>
            </w:r>
          </w:p>
        </w:tc>
        <w:tc>
          <w:tcPr>
            <w:tcW w:type="dxa" w:w="3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Golden portfolios with locked expected output</w:t>
            </w:r>
          </w:p>
        </w:tc>
        <w:tc>
          <w:tcPr>
            <w:tcW w:type="dxa" w:w="42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 changes do not silently alter past behaviour</w:t>
            </w:r>
          </w:p>
        </w:tc>
      </w:tr>
      <w:tr>
        <w:tc>
          <w:tcPr>
            <w:tcW w:type="dxa" w:w="1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Explanation</w:t>
            </w:r>
          </w:p>
        </w:tc>
        <w:tc>
          <w:tcPr>
            <w:tcW w:type="dxa" w:w="3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LLM narration of fixed objects</w:t>
            </w:r>
          </w:p>
        </w:tc>
        <w:tc>
          <w:tcPr>
            <w:tcW w:type="dxa" w:w="42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Explanations introduce no claim absent from the object</w:t>
            </w:r>
          </w:p>
        </w:tc>
      </w:tr>
    </w:tbl>
    <w:p>
      <w:pPr>
        <w:pStyle w:val="Heading3"/>
      </w:pPr>
      <w:r>
        <w:rPr>
          <w:rFonts w:ascii="Arial" w:cs="Arial" w:eastAsia="Arial" w:hAnsi="Arial"/>
          <w:b/>
          <w:bCs/>
        </w:rPr>
        <w:t xml:space="preserve">18.2 Golden-Portfolio Suite</w:t>
      </w:r>
    </w:p>
    <w:p>
      <w:pPr>
        <w:spacing w:after="120" w:line="276"/>
      </w:pPr>
      <w:r>
        <w:rPr>
          <w:rFonts w:ascii="Arial" w:cs="Arial" w:eastAsia="Arial" w:hAnsi="Arial"/>
        </w:rPr>
        <w:t xml:space="preserve">A curated set of fixture portfolios with hand-verified expected outputs is the backbone of regression testing. Each fixture targets a specific situation — a high-overlap pair, an AMC-concentrated portfolio, a goal-misaligned allocation, a tax-trap exit, a marginal-benefit suppression. Every engine change is run against the full suite; any diff must be reviewed and either accepted as intended or treated as a defect.</w:t>
      </w:r>
    </w:p>
    <w:p>
      <w:pPr>
        <w:pStyle w:val="Heading3"/>
      </w:pPr>
      <w:r>
        <w:rPr>
          <w:rFonts w:ascii="Arial" w:cs="Arial" w:eastAsia="Arial" w:hAnsi="Arial"/>
          <w:b/>
          <w:bCs/>
        </w:rPr>
        <w:t xml:space="preserve">18.3 Guardrail &amp; Conflict Testing</w:t>
      </w:r>
    </w:p>
    <w:p>
      <w:pPr>
        <w:pStyle w:val="ListParagraph"/>
        <w:numPr>
          <w:ilvl w:val="0"/>
          <w:numId w:val="2"/>
        </w:numPr>
        <w:spacing w:after="60" w:line="276"/>
      </w:pPr>
      <w:r>
        <w:rPr>
          <w:rFonts w:ascii="Arial" w:cs="Arial" w:eastAsia="Arial" w:hAnsi="Arial"/>
        </w:rPr>
        <w:t xml:space="preserve">Every guardrail (DV-*, MF-EX-*, TX-*) has explicit positive and negative test cases.</w:t>
      </w:r>
    </w:p>
    <w:p>
      <w:pPr>
        <w:pStyle w:val="ListParagraph"/>
        <w:numPr>
          <w:ilvl w:val="0"/>
          <w:numId w:val="2"/>
        </w:numPr>
        <w:spacing w:after="60" w:line="276"/>
      </w:pPr>
      <w:r>
        <w:rPr>
          <w:rFonts w:ascii="Arial" w:cs="Arial" w:eastAsia="Arial" w:hAnsi="Arial"/>
        </w:rPr>
        <w:t xml:space="preserve">Every arbitration precedence rule is tested with a constructed conflict that exercises it.</w:t>
      </w:r>
    </w:p>
    <w:p>
      <w:pPr>
        <w:pStyle w:val="ListParagraph"/>
        <w:numPr>
          <w:ilvl w:val="0"/>
          <w:numId w:val="2"/>
        </w:numPr>
        <w:spacing w:after="60" w:line="276"/>
      </w:pPr>
      <w:r>
        <w:rPr>
          <w:rFonts w:ascii="Arial" w:cs="Arial" w:eastAsia="Arial" w:hAnsi="Arial"/>
        </w:rPr>
        <w:t xml:space="preserve">Confidence-downgrade behaviour (AR-3) is verified to downgrade rather than silently drop.</w:t>
      </w:r>
    </w:p>
    <w:p>
      <w:pPr>
        <w:pStyle w:val="Heading3"/>
      </w:pPr>
      <w:r>
        <w:rPr>
          <w:rFonts w:ascii="Arial" w:cs="Arial" w:eastAsia="Arial" w:hAnsi="Arial"/>
          <w:b/>
          <w:bCs/>
        </w:rPr>
        <w:t xml:space="preserve">18.4 Acceptance Criteria</w:t>
      </w:r>
    </w:p>
    <w:p>
      <w:pPr>
        <w:spacing w:after="120" w:line="276"/>
      </w:pPr>
      <w:r>
        <w:rPr>
          <w:rFonts w:ascii="Arial" w:cs="Arial" w:eastAsia="Arial" w:hAnsi="Arial"/>
        </w:rPr>
        <w:t xml:space="preserve">A requirement from Section 7 is considered done only when its acceptance criteria pass. Illustrative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Requirement</w:t>
            </w:r>
          </w:p>
        </w:tc>
        <w:tc>
          <w:tcPr>
            <w:tcW w:type="dxa" w:w="67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Sample acceptance criterion</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FR-14 (overlap matrix)</w:t>
            </w:r>
          </w:p>
        </w:tc>
        <w:tc>
          <w:tcPr>
            <w:tcW w:type="dxa" w:w="6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For a known fund pair with 72% overlap, the pair is flagged as a consolidation candidate.</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FR-23 (arbitration)</w:t>
            </w:r>
          </w:p>
        </w:tc>
        <w:tc>
          <w:tcPr>
            <w:tcW w:type="dxa" w:w="6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Given EXIT/HOLD/avoid-exit conflict, output is a single coherent action per AR precedence.</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FR-24 (suppression)</w:t>
            </w:r>
          </w:p>
        </w:tc>
        <w:tc>
          <w:tcPr>
            <w:tcW w:type="dxa" w:w="6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recommendation with marginal simulated benefit does not appear in the final set.</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FR-32 (copilot bounds)</w:t>
            </w:r>
          </w:p>
        </w:tc>
        <w:tc>
          <w:tcPr>
            <w:tcW w:type="dxa" w:w="6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copilot, asked to add a recommendation, declines and explains the analysis-only positioning.</w:t>
            </w:r>
          </w:p>
        </w:tc>
      </w:tr>
    </w:tbl>
    <w:p>
      <w:pPr>
        <w:pStyle w:val="Heading3"/>
      </w:pPr>
      <w:r>
        <w:rPr>
          <w:rFonts w:ascii="Arial" w:cs="Arial" w:eastAsia="Arial" w:hAnsi="Arial"/>
          <w:b/>
          <w:bCs/>
        </w:rPr>
        <w:t xml:space="preserve">18.5 Release Gates</w:t>
      </w:r>
    </w:p>
    <w:p>
      <w:pPr>
        <w:spacing w:after="120" w:line="276"/>
      </w:pPr>
      <w:r>
        <w:rPr>
          <w:rFonts w:ascii="Arial" w:cs="Arial" w:eastAsia="Arial" w:hAnsi="Arial"/>
        </w:rPr>
        <w:t xml:space="preserve">No release ships unless: the golden-portfolio suite passes, all Must requirements meet acceptance criteria, engine-quality metrics meet their targets, security review is clear, and Compliance has signed off.</w:t>
      </w:r>
    </w:p>
    <w:p>
      <w:r>
        <w:br w:type="page"/>
      </w:r>
    </w:p>
    <w:p>
      <w:pPr>
        <w:pStyle w:val="Heading1"/>
      </w:pPr>
      <w:r>
        <w:rPr>
          <w:rFonts w:ascii="Arial" w:cs="Arial" w:eastAsia="Arial" w:hAnsi="Arial"/>
          <w:b/>
          <w:bCs/>
        </w:rPr>
        <w:t xml:space="preserve">19. Observability &amp; Operations</w:t>
      </w:r>
    </w:p>
    <w:p>
      <w:pPr>
        <w:spacing w:after="120" w:line="276"/>
      </w:pPr>
      <w:r>
        <w:rPr>
          <w:rFonts w:ascii="Arial" w:cs="Arial" w:eastAsia="Arial" w:hAnsi="Arial"/>
        </w:rPr>
        <w:t xml:space="preserve">Operating the platform requires visibility into both system health and recommendation quality.</w:t>
      </w:r>
    </w:p>
    <w:p>
      <w:pPr>
        <w:pStyle w:val="Heading3"/>
      </w:pPr>
      <w:r>
        <w:rPr>
          <w:rFonts w:ascii="Arial" w:cs="Arial" w:eastAsia="Arial" w:hAnsi="Arial"/>
          <w:b/>
          <w:bCs/>
        </w:rPr>
        <w:t xml:space="preserve">19.1 What Is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Domain</w:t>
            </w:r>
          </w:p>
        </w:tc>
        <w:tc>
          <w:tcPr>
            <w:tcW w:type="dxa" w:w="6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Signals</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Pipeline health</w:t>
            </w:r>
          </w:p>
        </w:tc>
        <w:tc>
          <w:tcPr>
            <w:tcW w:type="dxa" w:w="6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Job throughput, latency per stage, success and failure rates</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freshness</w:t>
            </w:r>
          </w:p>
        </w:tc>
        <w:tc>
          <w:tcPr>
            <w:tcW w:type="dxa" w:w="6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Feed lag against the SLAs in Section 12.4; staleness incidents</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 behaviour</w:t>
            </w:r>
          </w:p>
        </w:tc>
        <w:tc>
          <w:tcPr>
            <w:tcW w:type="dxa" w:w="6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Distribution of scores, guardrail trigger rates, suppression rates</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 quality</w:t>
            </w:r>
          </w:p>
        </w:tc>
        <w:tc>
          <w:tcPr>
            <w:tcW w:type="dxa" w:w="6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Acceptance rate, dismissal reasons, simulation-accuracy drift</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Copilot</w:t>
            </w:r>
          </w:p>
        </w:tc>
        <w:tc>
          <w:tcPr>
            <w:tcW w:type="dxa" w:w="6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Response latency, grounding-failure rate, escalations</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Security</w:t>
            </w:r>
          </w:p>
        </w:tc>
        <w:tc>
          <w:tcPr>
            <w:tcW w:type="dxa" w:w="6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Authentication anomalies, privileged-access events</w:t>
            </w:r>
          </w:p>
        </w:tc>
      </w:tr>
    </w:tbl>
    <w:p>
      <w:pPr>
        <w:pStyle w:val="Heading3"/>
      </w:pPr>
      <w:r>
        <w:rPr>
          <w:rFonts w:ascii="Arial" w:cs="Arial" w:eastAsia="Arial" w:hAnsi="Arial"/>
          <w:b/>
          <w:bCs/>
        </w:rPr>
        <w:t xml:space="preserve">19.2 Tracing &amp; Correlation</w:t>
      </w:r>
    </w:p>
    <w:p>
      <w:pPr>
        <w:spacing w:after="120" w:line="276"/>
      </w:pPr>
      <w:r>
        <w:rPr>
          <w:rFonts w:ascii="Arial" w:cs="Arial" w:eastAsia="Arial" w:hAnsi="Arial"/>
        </w:rPr>
        <w:t xml:space="preserve">Every analysis carries a correlation ID from import through to the displayed recommendation and the audit trace. An operator or reviewer can take any recommendation a user saw and reconstruct exactly which inputs, engine versions, rules, and computations produced it.</w:t>
      </w:r>
    </w:p>
    <w:p>
      <w:pPr>
        <w:pStyle w:val="Heading3"/>
      </w:pPr>
      <w:r>
        <w:rPr>
          <w:rFonts w:ascii="Arial" w:cs="Arial" w:eastAsia="Arial" w:hAnsi="Arial"/>
          <w:b/>
          <w:bCs/>
        </w:rPr>
        <w:t xml:space="preserve">19.3 Alerting</w:t>
      </w:r>
    </w:p>
    <w:p>
      <w:pPr>
        <w:pStyle w:val="ListParagraph"/>
        <w:numPr>
          <w:ilvl w:val="0"/>
          <w:numId w:val="2"/>
        </w:numPr>
        <w:spacing w:after="60" w:line="276"/>
      </w:pPr>
      <w:r>
        <w:rPr>
          <w:rFonts w:ascii="Arial" w:cs="Arial" w:eastAsia="Arial" w:hAnsi="Arial"/>
        </w:rPr>
        <w:t xml:space="preserve">Pipeline failure rate or latency breaching the SLOs in Section 4.4.</w:t>
      </w:r>
    </w:p>
    <w:p>
      <w:pPr>
        <w:pStyle w:val="ListParagraph"/>
        <w:numPr>
          <w:ilvl w:val="0"/>
          <w:numId w:val="2"/>
        </w:numPr>
        <w:spacing w:after="60" w:line="276"/>
      </w:pPr>
      <w:r>
        <w:rPr>
          <w:rFonts w:ascii="Arial" w:cs="Arial" w:eastAsia="Arial" w:hAnsi="Arial"/>
        </w:rPr>
        <w:t xml:space="preserve">Data feed staleness breaching freshness SLAs.</w:t>
      </w:r>
    </w:p>
    <w:p>
      <w:pPr>
        <w:pStyle w:val="ListParagraph"/>
        <w:numPr>
          <w:ilvl w:val="0"/>
          <w:numId w:val="2"/>
        </w:numPr>
        <w:spacing w:after="60" w:line="276"/>
      </w:pPr>
      <w:r>
        <w:rPr>
          <w:rFonts w:ascii="Arial" w:cs="Arial" w:eastAsia="Arial" w:hAnsi="Arial"/>
        </w:rPr>
        <w:t xml:space="preserve">Abnormal shifts in guardrail trigger or suppression rates, which may indicate data or model drift.</w:t>
      </w:r>
    </w:p>
    <w:p>
      <w:pPr>
        <w:pStyle w:val="ListParagraph"/>
        <w:numPr>
          <w:ilvl w:val="0"/>
          <w:numId w:val="2"/>
        </w:numPr>
        <w:spacing w:after="60" w:line="276"/>
      </w:pPr>
      <w:r>
        <w:rPr>
          <w:rFonts w:ascii="Arial" w:cs="Arial" w:eastAsia="Arial" w:hAnsi="Arial"/>
        </w:rPr>
        <w:t xml:space="preserve">Simulation-accuracy drift outside the tolerance band (Section 15.4).</w:t>
      </w:r>
    </w:p>
    <w:p>
      <w:pPr>
        <w:pStyle w:val="Heading3"/>
      </w:pPr>
      <w:r>
        <w:rPr>
          <w:rFonts w:ascii="Arial" w:cs="Arial" w:eastAsia="Arial" w:hAnsi="Arial"/>
          <w:b/>
          <w:bCs/>
        </w:rPr>
        <w:t xml:space="preserve">19.4 Incident Response</w:t>
      </w:r>
    </w:p>
    <w:p>
      <w:pPr>
        <w:spacing w:after="120" w:line="276"/>
      </w:pPr>
      <w:r>
        <w:rPr>
          <w:rFonts w:ascii="Arial" w:cs="Arial" w:eastAsia="Arial" w:hAnsi="Arial"/>
        </w:rPr>
        <w:t xml:space="preserve">Incidents that could cause incorrect recommendations are treated as highest severity. The first response is to suppress the affected recommendation class — the data-validation engine already supports class-level suppression — rather than to show investors output of uncertain quality.</w:t>
      </w:r>
    </w:p>
    <w:p>
      <w:r>
        <w:br w:type="page"/>
      </w:r>
    </w:p>
    <w:p>
      <w:pPr>
        <w:pStyle w:val="Heading1"/>
      </w:pPr>
      <w:r>
        <w:rPr>
          <w:rFonts w:ascii="Arial" w:cs="Arial" w:eastAsia="Arial" w:hAnsi="Arial"/>
          <w:b/>
          <w:bCs/>
        </w:rPr>
        <w:t xml:space="preserve">20. Phased Delivery &amp; Roadmap</w:t>
      </w:r>
    </w:p>
    <w:p>
      <w:pPr>
        <w:spacing w:after="120" w:line="276"/>
      </w:pPr>
      <w:r>
        <w:rPr>
          <w:rFonts w:ascii="Arial" w:cs="Arial" w:eastAsia="Arial" w:hAnsi="Arial"/>
        </w:rPr>
        <w:t xml:space="preserve">Delivery is phased so that each release is independently valuable and de-risks the next. Phase boundaries are capability milestones, not fixed dates.</w:t>
      </w:r>
    </w:p>
    <w:p>
      <w:pPr>
        <w:pStyle w:val="Heading3"/>
      </w:pPr>
      <w:r>
        <w:rPr>
          <w:rFonts w:ascii="Arial" w:cs="Arial" w:eastAsia="Arial" w:hAnsi="Arial"/>
          <w:b/>
          <w:bCs/>
        </w:rPr>
        <w:t xml:space="preserve">20.1 Phase 1 — Foundation</w:t>
      </w:r>
    </w:p>
    <w:p>
      <w:pPr>
        <w:pStyle w:val="ListParagraph"/>
        <w:numPr>
          <w:ilvl w:val="0"/>
          <w:numId w:val="2"/>
        </w:numPr>
        <w:spacing w:after="60" w:line="276"/>
      </w:pPr>
      <w:r>
        <w:rPr>
          <w:rFonts w:ascii="Arial" w:cs="Arial" w:eastAsia="Arial" w:hAnsi="Arial"/>
        </w:rPr>
        <w:t xml:space="preserve">Data ingestion and normalisation (FR-1 to FR-5).</w:t>
      </w:r>
    </w:p>
    <w:p>
      <w:pPr>
        <w:pStyle w:val="ListParagraph"/>
        <w:numPr>
          <w:ilvl w:val="0"/>
          <w:numId w:val="2"/>
        </w:numPr>
        <w:spacing w:after="60" w:line="276"/>
      </w:pPr>
      <w:r>
        <w:rPr>
          <w:rFonts w:ascii="Arial" w:cs="Arial" w:eastAsia="Arial" w:hAnsi="Arial"/>
        </w:rPr>
        <w:t xml:space="preserve">Instrument scoring for mutual funds and stocks (FR-8 to FR-11).</w:t>
      </w:r>
    </w:p>
    <w:p>
      <w:pPr>
        <w:pStyle w:val="ListParagraph"/>
        <w:numPr>
          <w:ilvl w:val="0"/>
          <w:numId w:val="2"/>
        </w:numPr>
        <w:spacing w:after="60" w:line="276"/>
      </w:pPr>
      <w:r>
        <w:rPr>
          <w:rFonts w:ascii="Arial" w:cs="Arial" w:eastAsia="Arial" w:hAnsi="Arial"/>
        </w:rPr>
        <w:t xml:space="preserve">Core portfolio analytics: overlap, concentration, diversification (FR-13, FR-14, FR-16, FR-17).</w:t>
      </w:r>
    </w:p>
    <w:p>
      <w:pPr>
        <w:pStyle w:val="ListParagraph"/>
        <w:numPr>
          <w:ilvl w:val="0"/>
          <w:numId w:val="2"/>
        </w:numPr>
        <w:spacing w:after="60" w:line="276"/>
      </w:pPr>
      <w:r>
        <w:rPr>
          <w:rFonts w:ascii="Arial" w:cs="Arial" w:eastAsia="Arial" w:hAnsi="Arial"/>
        </w:rPr>
        <w:t xml:space="preserve">Data-validation engine and audit store.</w:t>
      </w:r>
    </w:p>
    <w:p>
      <w:pPr>
        <w:spacing w:after="120" w:line="276"/>
      </w:pPr>
      <w:r>
        <w:rPr>
          <w:rFonts w:ascii="Arial" w:cs="Arial" w:eastAsia="Arial" w:hAnsi="Arial"/>
          <w:b/>
          <w:bCs/>
        </w:rPr>
        <w:t xml:space="preserve">Exit criterion. </w:t>
      </w:r>
      <w:r>
        <w:rPr>
          <w:rFonts w:ascii="Arial" w:cs="Arial" w:eastAsia="Arial" w:hAnsi="Arial"/>
        </w:rPr>
        <w:t xml:space="preserve">A user can import a portfolio and see a trustworthy diagnostic of overlap and concentration.</w:t>
      </w:r>
    </w:p>
    <w:p>
      <w:pPr>
        <w:pStyle w:val="Heading3"/>
      </w:pPr>
      <w:r>
        <w:rPr>
          <w:rFonts w:ascii="Arial" w:cs="Arial" w:eastAsia="Arial" w:hAnsi="Arial"/>
          <w:b/>
          <w:bCs/>
        </w:rPr>
        <w:t xml:space="preserve">20.2 Phase 2 — Intelligence</w:t>
      </w:r>
    </w:p>
    <w:p>
      <w:pPr>
        <w:pStyle w:val="ListParagraph"/>
        <w:numPr>
          <w:ilvl w:val="0"/>
          <w:numId w:val="2"/>
        </w:numPr>
        <w:spacing w:after="60" w:line="276"/>
      </w:pPr>
      <w:r>
        <w:rPr>
          <w:rFonts w:ascii="Arial" w:cs="Arial" w:eastAsia="Arial" w:hAnsi="Arial"/>
        </w:rPr>
        <w:t xml:space="preserve">Goal and risk alignment engines (FR-18 to FR-21).</w:t>
      </w:r>
    </w:p>
    <w:p>
      <w:pPr>
        <w:pStyle w:val="ListParagraph"/>
        <w:numPr>
          <w:ilvl w:val="0"/>
          <w:numId w:val="2"/>
        </w:numPr>
        <w:spacing w:after="60" w:line="276"/>
      </w:pPr>
      <w:r>
        <w:rPr>
          <w:rFonts w:ascii="Arial" w:cs="Arial" w:eastAsia="Arial" w:hAnsi="Arial"/>
        </w:rPr>
        <w:t xml:space="preserve">Portfolio Impact Engine — allocation-weighted severity (Section 10.7).</w:t>
      </w:r>
    </w:p>
    <w:p>
      <w:pPr>
        <w:pStyle w:val="ListParagraph"/>
        <w:numPr>
          <w:ilvl w:val="0"/>
          <w:numId w:val="2"/>
        </w:numPr>
        <w:spacing w:after="60" w:line="276"/>
      </w:pPr>
      <w:r>
        <w:rPr>
          <w:rFonts w:ascii="Arial" w:cs="Arial" w:eastAsia="Arial" w:hAnsi="Arial"/>
        </w:rPr>
        <w:t xml:space="preserve">Recommendation arbitration and prioritisation (FR-23, FR-24, FR-26).</w:t>
      </w:r>
    </w:p>
    <w:p>
      <w:pPr>
        <w:pStyle w:val="ListParagraph"/>
        <w:numPr>
          <w:ilvl w:val="0"/>
          <w:numId w:val="2"/>
        </w:numPr>
        <w:spacing w:after="60" w:line="276"/>
      </w:pPr>
      <w:r>
        <w:rPr>
          <w:rFonts w:ascii="Arial" w:cs="Arial" w:eastAsia="Arial" w:hAnsi="Arial"/>
        </w:rPr>
        <w:t xml:space="preserve">Recommendation object packaging and trace (FR-27, FR-28).</w:t>
      </w:r>
    </w:p>
    <w:p>
      <w:pPr>
        <w:spacing w:after="120" w:line="276"/>
      </w:pPr>
      <w:r>
        <w:rPr>
          <w:rFonts w:ascii="Arial" w:cs="Arial" w:eastAsia="Arial" w:hAnsi="Arial"/>
          <w:b/>
          <w:bCs/>
        </w:rPr>
        <w:t xml:space="preserve">Exit criterion. </w:t>
      </w:r>
      <w:r>
        <w:rPr>
          <w:rFonts w:ascii="Arial" w:cs="Arial" w:eastAsia="Arial" w:hAnsi="Arial"/>
        </w:rPr>
        <w:t xml:space="preserve">A user receives one coherent, conflict-free, prioritised action list.</w:t>
      </w:r>
    </w:p>
    <w:p>
      <w:pPr>
        <w:pStyle w:val="Heading3"/>
      </w:pPr>
      <w:r>
        <w:rPr>
          <w:rFonts w:ascii="Arial" w:cs="Arial" w:eastAsia="Arial" w:hAnsi="Arial"/>
          <w:b/>
          <w:bCs/>
        </w:rPr>
        <w:t xml:space="preserve">20.3 Phase 3 — Explanation &amp; Simulation</w:t>
      </w:r>
    </w:p>
    <w:p>
      <w:pPr>
        <w:pStyle w:val="ListParagraph"/>
        <w:numPr>
          <w:ilvl w:val="0"/>
          <w:numId w:val="2"/>
        </w:numPr>
        <w:spacing w:after="60" w:line="276"/>
      </w:pPr>
      <w:r>
        <w:rPr>
          <w:rFonts w:ascii="Arial" w:cs="Arial" w:eastAsia="Arial" w:hAnsi="Arial"/>
        </w:rPr>
        <w:t xml:space="preserve">Impact Simulation Engine and before/after modelling (FR-25).</w:t>
      </w:r>
    </w:p>
    <w:p>
      <w:pPr>
        <w:pStyle w:val="ListParagraph"/>
        <w:numPr>
          <w:ilvl w:val="0"/>
          <w:numId w:val="2"/>
        </w:numPr>
        <w:spacing w:after="60" w:line="276"/>
      </w:pPr>
      <w:r>
        <w:rPr>
          <w:rFonts w:ascii="Arial" w:cs="Arial" w:eastAsia="Arial" w:hAnsi="Arial"/>
        </w:rPr>
        <w:t xml:space="preserve">LLM explanation layer and the conversational copilot (FR-29 to FR-32).</w:t>
      </w:r>
    </w:p>
    <w:p>
      <w:pPr>
        <w:pStyle w:val="ListParagraph"/>
        <w:numPr>
          <w:ilvl w:val="0"/>
          <w:numId w:val="2"/>
        </w:numPr>
        <w:spacing w:after="60" w:line="276"/>
      </w:pPr>
      <w:r>
        <w:rPr>
          <w:rFonts w:ascii="Arial" w:cs="Arial" w:eastAsia="Arial" w:hAnsi="Arial"/>
        </w:rPr>
        <w:t xml:space="preserve">Portfolio dashboard and current-vs-simulated comparison (FR-34, FR-35).</w:t>
      </w:r>
    </w:p>
    <w:p>
      <w:pPr>
        <w:spacing w:after="120" w:line="276"/>
      </w:pPr>
      <w:r>
        <w:rPr>
          <w:rFonts w:ascii="Arial" w:cs="Arial" w:eastAsia="Arial" w:hAnsi="Arial"/>
          <w:b/>
          <w:bCs/>
        </w:rPr>
        <w:t xml:space="preserve">Exit criterion. </w:t>
      </w:r>
      <w:r>
        <w:rPr>
          <w:rFonts w:ascii="Arial" w:cs="Arial" w:eastAsia="Arial" w:hAnsi="Arial"/>
        </w:rPr>
        <w:t xml:space="preserve">Every recommendation is explained in plain language with a quantified, simulated impact.</w:t>
      </w:r>
    </w:p>
    <w:p>
      <w:pPr>
        <w:pStyle w:val="Heading3"/>
      </w:pPr>
      <w:r>
        <w:rPr>
          <w:rFonts w:ascii="Arial" w:cs="Arial" w:eastAsia="Arial" w:hAnsi="Arial"/>
          <w:b/>
          <w:bCs/>
        </w:rPr>
        <w:t xml:space="preserve">20.4 Phase 4 — Depth</w:t>
      </w:r>
    </w:p>
    <w:p>
      <w:pPr>
        <w:pStyle w:val="ListParagraph"/>
        <w:numPr>
          <w:ilvl w:val="0"/>
          <w:numId w:val="2"/>
        </w:numPr>
        <w:spacing w:after="60" w:line="276"/>
      </w:pPr>
      <w:r>
        <w:rPr>
          <w:rFonts w:ascii="Arial" w:cs="Arial" w:eastAsia="Arial" w:hAnsi="Arial"/>
        </w:rPr>
        <w:t xml:space="preserve">Correlation engine and behavioural-redundancy detection (FR-15).</w:t>
      </w:r>
    </w:p>
    <w:p>
      <w:pPr>
        <w:pStyle w:val="ListParagraph"/>
        <w:numPr>
          <w:ilvl w:val="0"/>
          <w:numId w:val="2"/>
        </w:numPr>
        <w:spacing w:after="60" w:line="276"/>
      </w:pPr>
      <w:r>
        <w:rPr>
          <w:rFonts w:ascii="Arial" w:cs="Arial" w:eastAsia="Arial" w:hAnsi="Arial"/>
        </w:rPr>
        <w:t xml:space="preserve">Allocation drift detection and glide-path rebalancing (FR-21, FR-22).</w:t>
      </w:r>
    </w:p>
    <w:p>
      <w:pPr>
        <w:pStyle w:val="ListParagraph"/>
        <w:numPr>
          <w:ilvl w:val="0"/>
          <w:numId w:val="2"/>
        </w:numPr>
        <w:spacing w:after="60" w:line="276"/>
      </w:pPr>
      <w:r>
        <w:rPr>
          <w:rFonts w:ascii="Arial" w:cs="Arial" w:eastAsia="Arial" w:hAnsi="Arial"/>
        </w:rPr>
        <w:t xml:space="preserve">Incremental re-import and richer feedback loops (FR-7, FR-33).</w:t>
      </w:r>
    </w:p>
    <w:p>
      <w:pPr>
        <w:spacing w:after="120" w:line="276"/>
      </w:pPr>
      <w:r>
        <w:rPr>
          <w:rFonts w:ascii="Arial" w:cs="Arial" w:eastAsia="Arial" w:hAnsi="Arial"/>
          <w:b/>
          <w:bCs/>
        </w:rPr>
        <w:t xml:space="preserve">Exit criterion. </w:t>
      </w:r>
      <w:r>
        <w:rPr>
          <w:rFonts w:ascii="Arial" w:cs="Arial" w:eastAsia="Arial" w:hAnsi="Arial"/>
        </w:rPr>
        <w:t xml:space="preserve">The platform supports ongoing portfolio stewardship, not just one-time analysis.</w:t>
      </w:r>
    </w:p>
    <w:p>
      <w:r>
        <w:br w:type="page"/>
      </w:r>
    </w:p>
    <w:p>
      <w:pPr>
        <w:pStyle w:val="Heading1"/>
      </w:pPr>
      <w:r>
        <w:rPr>
          <w:rFonts w:ascii="Arial" w:cs="Arial" w:eastAsia="Arial" w:hAnsi="Arial"/>
          <w:b/>
          <w:bCs/>
        </w:rPr>
        <w:t xml:space="preserve">21. Risks &amp; Mitigations</w:t>
      </w:r>
    </w:p>
    <w:p>
      <w:pPr>
        <w:spacing w:after="120" w:line="276"/>
      </w:pPr>
      <w:r>
        <w:rPr>
          <w:rFonts w:ascii="Arial" w:cs="Arial" w:eastAsia="Arial" w:hAnsi="Arial"/>
        </w:rPr>
        <w:t xml:space="preserve">Risks are tracked with a likelihood and impact rating and an owned mitigation. This register is reviewed at every phase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100"/>
        <w:gridCol w:w="4460"/>
      </w:tblGrid>
      <w:tr>
        <w:trPr>
          <w:tblHeader/>
        </w:trPr>
        <w:tc>
          <w:tcPr>
            <w:tcW w:type="dxa" w:w="7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31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Risk</w:t>
            </w:r>
          </w:p>
        </w:tc>
        <w:tc>
          <w:tcPr>
            <w:tcW w:type="dxa" w:w="11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Impact</w:t>
            </w:r>
          </w:p>
        </w:tc>
        <w:tc>
          <w:tcPr>
            <w:tcW w:type="dxa" w:w="4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Mitigation</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RK-1</w:t>
            </w:r>
          </w:p>
        </w:tc>
        <w:tc>
          <w:tcPr>
            <w:tcW w:type="dxa" w:w="3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Incomplete portfolio data produces misleading recommendations</w:t>
            </w:r>
          </w:p>
        </w:tc>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4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DV-1 coverage gate; explicit data-quality flags; suppression of allocation actions</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RK-2</w:t>
            </w:r>
          </w:p>
        </w:tc>
        <w:tc>
          <w:tcPr>
            <w:tcW w:type="dxa" w:w="3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Engines emit conflicting advice that erodes user trust</w:t>
            </w:r>
          </w:p>
        </w:tc>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4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Arbitration engine with fixed precedence; conflict test suite</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RK-3</w:t>
            </w:r>
          </w:p>
        </w:tc>
        <w:tc>
          <w:tcPr>
            <w:tcW w:type="dxa" w:w="3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Tax-destructive recommendations harm investors</w:t>
            </w:r>
          </w:p>
        </w:tc>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4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TX-* guardrails; net-of-tax benefit modelling; arbitration override</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RK-4</w:t>
            </w:r>
          </w:p>
        </w:tc>
        <w:tc>
          <w:tcPr>
            <w:tcW w:type="dxa" w:w="3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LLM hallucinates or invents advice</w:t>
            </w:r>
          </w:p>
        </w:tc>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4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Rules-decide principle; grounded copilot; explanation never adds claims</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RK-5</w:t>
            </w:r>
          </w:p>
        </w:tc>
        <w:tc>
          <w:tcPr>
            <w:tcW w:type="dxa" w:w="3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Simulation over-promises improvement</w:t>
            </w:r>
          </w:p>
        </w:tc>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c>
          <w:tcPr>
            <w:tcW w:type="dxa" w:w="4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Materiality threshold; accuracy validation against realised outcomes</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RK-6</w:t>
            </w:r>
          </w:p>
        </w:tc>
        <w:tc>
          <w:tcPr>
            <w:tcW w:type="dxa" w:w="3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Crossing the regulated-advice boundary</w:t>
            </w:r>
          </w:p>
        </w:tc>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4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Compliance sign-off gate; analysis-only positioning; copilot constraints</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RK-7</w:t>
            </w:r>
          </w:p>
        </w:tc>
        <w:tc>
          <w:tcPr>
            <w:tcW w:type="dxa" w:w="3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Stale market data drives wrong valuations</w:t>
            </w:r>
          </w:p>
        </w:tc>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c>
          <w:tcPr>
            <w:tcW w:type="dxa" w:w="4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Freshness SLAs; DV-2 suppression; staleness alerting</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RK-8</w:t>
            </w:r>
          </w:p>
        </w:tc>
        <w:tc>
          <w:tcPr>
            <w:tcW w:type="dxa" w:w="3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Sensitive financial data exposure</w:t>
            </w:r>
          </w:p>
        </w:tc>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w:t>
            </w:r>
          </w:p>
        </w:tc>
        <w:tc>
          <w:tcPr>
            <w:tcW w:type="dxa" w:w="4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Encryption everywhere; least privilege; minimal LLM data exposure</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RK-9</w:t>
            </w:r>
          </w:p>
        </w:tc>
        <w:tc>
          <w:tcPr>
            <w:tcW w:type="dxa" w:w="3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Recommendation volume overwhelms users</w:t>
            </w:r>
          </w:p>
        </w:tc>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c>
          <w:tcPr>
            <w:tcW w:type="dxa" w:w="4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Calm-by-default principle; marginal-benefit suppression; prioritisation</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RK-10</w:t>
            </w:r>
          </w:p>
        </w:tc>
        <w:tc>
          <w:tcPr>
            <w:tcW w:type="dxa" w:w="3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Threshold drift degrades quality silently</w:t>
            </w:r>
          </w:p>
        </w:tc>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Medium</w:t>
            </w:r>
          </w:p>
        </w:tc>
        <w:tc>
          <w:tcPr>
            <w:tcW w:type="dxa" w:w="4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Versioned configuration; calibration review; guardrail-rate monitoring</w:t>
            </w:r>
          </w:p>
        </w:tc>
      </w:tr>
    </w:tbl>
    <w:p>
      <w:r>
        <w:br w:type="page"/>
      </w:r>
    </w:p>
    <w:p>
      <w:pPr>
        <w:pStyle w:val="Heading1"/>
      </w:pPr>
      <w:r>
        <w:rPr>
          <w:rFonts w:ascii="Arial" w:cs="Arial" w:eastAsia="Arial" w:hAnsi="Arial"/>
          <w:b/>
          <w:bCs/>
        </w:rPr>
        <w:t xml:space="preserve">22. Open Questions</w:t>
      </w:r>
    </w:p>
    <w:p>
      <w:pPr>
        <w:spacing w:after="120" w:line="276"/>
      </w:pPr>
      <w:r>
        <w:rPr>
          <w:rFonts w:ascii="Arial" w:cs="Arial" w:eastAsia="Arial" w:hAnsi="Arial"/>
        </w:rPr>
        <w:t xml:space="preserve">These items need a decision before or during the phase that depends on them. Each has an owner and a needed-by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60"/>
        <w:gridCol w:w="1700"/>
        <w:gridCol w:w="2200"/>
      </w:tblGrid>
      <w:tr>
        <w:trPr>
          <w:tblHeader/>
        </w:trPr>
        <w:tc>
          <w:tcPr>
            <w:tcW w:type="dxa" w:w="7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ID</w:t>
            </w:r>
          </w:p>
        </w:tc>
        <w:tc>
          <w:tcPr>
            <w:tcW w:type="dxa" w:w="47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Open question</w:t>
            </w:r>
          </w:p>
        </w:tc>
        <w:tc>
          <w:tcPr>
            <w:tcW w:type="dxa" w:w="17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Owner</w:t>
            </w:r>
          </w:p>
        </w:tc>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Needed by</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OQ-1</w:t>
            </w:r>
          </w:p>
        </w:tc>
        <w:tc>
          <w:tcPr>
            <w:tcW w:type="dxa" w:w="4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Which broker integrations are in the launch set, and in what priority?</w:t>
            </w:r>
          </w:p>
        </w:tc>
        <w:tc>
          <w:tcPr>
            <w:tcW w:type="dxa" w:w="1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Product</w:t>
            </w:r>
          </w:p>
        </w:tc>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Phase 1</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OQ-2</w:t>
            </w:r>
          </w:p>
        </w:tc>
        <w:tc>
          <w:tcPr>
            <w:tcW w:type="dxa" w:w="4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What are the exact cap tables for Moderate and Aggressive risk profiles?</w:t>
            </w:r>
          </w:p>
        </w:tc>
        <w:tc>
          <w:tcPr>
            <w:tcW w:type="dxa" w:w="1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Science</w:t>
            </w:r>
          </w:p>
        </w:tc>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Phase 2</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OQ-3</w:t>
            </w:r>
          </w:p>
        </w:tc>
        <w:tc>
          <w:tcPr>
            <w:tcW w:type="dxa" w:w="4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What return and volatility assumptions underlie goal probability modelling?</w:t>
            </w:r>
          </w:p>
        </w:tc>
        <w:tc>
          <w:tcPr>
            <w:tcW w:type="dxa" w:w="1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Science</w:t>
            </w:r>
          </w:p>
        </w:tc>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Phase 2</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OQ-4</w:t>
            </w:r>
          </w:p>
        </w:tc>
        <w:tc>
          <w:tcPr>
            <w:tcW w:type="dxa" w:w="4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What is the materiality threshold for marginal-benefit suppression?</w:t>
            </w:r>
          </w:p>
        </w:tc>
        <w:tc>
          <w:tcPr>
            <w:tcW w:type="dxa" w:w="1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Science</w:t>
            </w:r>
          </w:p>
        </w:tc>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Phase 3</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OQ-5</w:t>
            </w:r>
          </w:p>
        </w:tc>
        <w:tc>
          <w:tcPr>
            <w:tcW w:type="dxa" w:w="4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Which LLM provider and deployment model meet the privacy commitments?</w:t>
            </w:r>
          </w:p>
        </w:tc>
        <w:tc>
          <w:tcPr>
            <w:tcW w:type="dxa" w:w="1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Engineering</w:t>
            </w:r>
          </w:p>
        </w:tc>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Phase 3</w:t>
            </w:r>
          </w:p>
        </w:tc>
      </w:tr>
      <w:tr>
        <w:tc>
          <w:tcPr>
            <w:tcW w:type="dxa" w:w="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OQ-6</w:t>
            </w:r>
          </w:p>
        </w:tc>
        <w:tc>
          <w:tcPr>
            <w:tcW w:type="dxa" w:w="4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What disclaimer language satisfies the advisory-boundary position?</w:t>
            </w:r>
          </w:p>
        </w:tc>
        <w:tc>
          <w:tcPr>
            <w:tcW w:type="dxa" w:w="1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Compliance</w:t>
            </w:r>
          </w:p>
        </w:tc>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Phase 1</w:t>
            </w:r>
          </w:p>
        </w:tc>
      </w:tr>
      <w:tr>
        <w:tc>
          <w:tcPr>
            <w:tcW w:type="dxa" w:w="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OQ-7</w:t>
            </w:r>
          </w:p>
        </w:tc>
        <w:tc>
          <w:tcPr>
            <w:tcW w:type="dxa" w:w="4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What is the regulatory minimum retention period for audit traces?</w:t>
            </w:r>
          </w:p>
        </w:tc>
        <w:tc>
          <w:tcPr>
            <w:tcW w:type="dxa" w:w="1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Compliance</w:t>
            </w:r>
          </w:p>
        </w:tc>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Phase 1</w:t>
            </w:r>
          </w:p>
        </w:tc>
      </w:tr>
    </w:tbl>
    <w:p>
      <w:r>
        <w:br w:type="page"/>
      </w:r>
    </w:p>
    <w:p>
      <w:pPr>
        <w:pStyle w:val="Heading1"/>
      </w:pPr>
      <w:r>
        <w:rPr>
          <w:rFonts w:ascii="Arial" w:cs="Arial" w:eastAsia="Arial" w:hAnsi="Arial"/>
          <w:b/>
          <w:bCs/>
        </w:rPr>
        <w:t xml:space="preserve">23. Glossary</w:t>
      </w:r>
    </w:p>
    <w:p>
      <w:pPr>
        <w:spacing w:after="120" w:line="276"/>
      </w:pPr>
      <w:r>
        <w:rPr>
          <w:rFonts w:ascii="Arial" w:cs="Arial" w:eastAsia="Arial" w:hAnsi="Arial"/>
        </w:rPr>
        <w:t xml:space="preserve">Definitions of domain and platform terms used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Term</w:t>
            </w:r>
          </w:p>
        </w:tc>
        <w:tc>
          <w:tcPr>
            <w:tcW w:type="dxa" w:w="7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AMC</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Asset Management Company — the firm that manages a mutual fund.</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Arbitration</w:t>
            </w:r>
          </w:p>
        </w:tc>
        <w:tc>
          <w:tcPr>
            <w:tcW w:type="dxa" w:w="7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process of merging engine outputs and resolving conflicts into one action set.</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CAS</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Consolidated Account Statement — a statement listing an investor’s mutual fund holdings.</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Concentration</w:t>
            </w:r>
          </w:p>
        </w:tc>
        <w:tc>
          <w:tcPr>
            <w:tcW w:type="dxa" w:w="7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degree to which a portfolio is dominated by a few holdings, AMCs, or sectors.</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Correlation</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measure of how similarly two holdings’ returns move over time.</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Drawdown</w:t>
            </w:r>
          </w:p>
        </w:tc>
        <w:tc>
          <w:tcPr>
            <w:tcW w:type="dxa" w:w="7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decline from a portfolio’s peak value to a subsequent trough.</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Effective holdings</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inverse Herfindahl index of weights — how many holdings a portfolio behaves like.</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Glide path</w:t>
            </w:r>
          </w:p>
        </w:tc>
        <w:tc>
          <w:tcPr>
            <w:tcW w:type="dxa" w:w="7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gradual shift toward lower risk as a goal date approaches.</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Guardrail</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rule that blocks or downgrades a recommendation to prevent harm.</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ISIN</w:t>
            </w:r>
          </w:p>
        </w:tc>
        <w:tc>
          <w:tcPr>
            <w:tcW w:type="dxa" w:w="7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International Securities Identification Number — the canonical key for an instrument.</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LTCG / STCG</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Long-term / short-term capital gains — tax categories based on holding period.</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NAV</w:t>
            </w:r>
          </w:p>
        </w:tc>
        <w:tc>
          <w:tcPr>
            <w:tcW w:type="dxa" w:w="7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Net Asset Value — the per-unit value of a mutual fund.</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NIDP</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Net Investor-Disclosed Performance — a component of the Keep-Fund Score.</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w:t>
            </w:r>
          </w:p>
        </w:tc>
        <w:tc>
          <w:tcPr>
            <w:tcW w:type="dxa" w:w="7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fraction of underlying securities two holdings share.</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Weighted overlap</w:t>
            </w:r>
          </w:p>
        </w:tc>
        <w:tc>
          <w:tcPr>
            <w:tcW w:type="dxa" w:w="7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scaled by the smaller of the two holdings’ portfolio weights.</w:t>
            </w:r>
          </w:p>
        </w:tc>
      </w:tr>
    </w:tbl>
    <w:p>
      <w:r>
        <w:br w:type="page"/>
      </w:r>
    </w:p>
    <w:p>
      <w:pPr>
        <w:pStyle w:val="Heading1"/>
      </w:pPr>
      <w:r>
        <w:rPr>
          <w:rFonts w:ascii="Arial" w:cs="Arial" w:eastAsia="Arial" w:hAnsi="Arial"/>
          <w:b/>
          <w:bCs/>
        </w:rPr>
        <w:t xml:space="preserve">24. Strategic Direction</w:t>
      </w:r>
    </w:p>
    <w:p>
      <w:pPr>
        <w:spacing w:after="120" w:line="276"/>
      </w:pPr>
      <w:r>
        <w:rPr>
          <w:rFonts w:ascii="Arial" w:cs="Arial" w:eastAsia="Arial" w:hAnsi="Arial"/>
        </w:rPr>
        <w:t xml:space="preserve">This PRD specifies a buildable platform. Its longer-term purpose is to evolve Nivesh into an Intelligent Wealth Operating System — a system that does not merely analyse a portfolio once, but continuously stewards it.</w:t>
      </w:r>
    </w:p>
    <w:p>
      <w:pPr>
        <w:pStyle w:val="Heading3"/>
      </w:pPr>
      <w:r>
        <w:rPr>
          <w:rFonts w:ascii="Arial" w:cs="Arial" w:eastAsia="Arial" w:hAnsi="Arial"/>
          <w:b/>
          <w:bCs/>
        </w:rPr>
        <w:t xml:space="preserve">24.1 The Operating Loop</w:t>
      </w:r>
    </w:p>
    <w:p>
      <w:pPr>
        <w:spacing w:after="120" w:line="276"/>
      </w:pPr>
      <w:r>
        <w:rPr>
          <w:rFonts w:ascii="Arial" w:cs="Arial" w:eastAsia="Arial" w:hAnsi="Arial"/>
        </w:rPr>
        <w:t xml:space="preserve">Mature, Nivesh runs a continuous loop:</w:t>
      </w:r>
    </w:p>
    <w:p>
      <w:pPr>
        <w:pStyle w:val="ListParagraph"/>
        <w:numPr>
          <w:ilvl w:val="0"/>
          <w:numId w:val="5"/>
        </w:numPr>
        <w:spacing w:after="60" w:line="276"/>
      </w:pPr>
      <w:r>
        <w:rPr>
          <w:rFonts w:ascii="Arial" w:cs="Arial" w:eastAsia="Arial" w:hAnsi="Arial"/>
        </w:rPr>
        <w:t xml:space="preserve">Understand the investor — goals, risk capacity, life stage.</w:t>
      </w:r>
    </w:p>
    <w:p>
      <w:pPr>
        <w:pStyle w:val="ListParagraph"/>
        <w:numPr>
          <w:ilvl w:val="0"/>
          <w:numId w:val="5"/>
        </w:numPr>
        <w:spacing w:after="60" w:line="276"/>
      </w:pPr>
      <w:r>
        <w:rPr>
          <w:rFonts w:ascii="Arial" w:cs="Arial" w:eastAsia="Arial" w:hAnsi="Arial"/>
        </w:rPr>
        <w:t xml:space="preserve">Understand the portfolio — structure, concentration, redundancy, drift.</w:t>
      </w:r>
    </w:p>
    <w:p>
      <w:pPr>
        <w:pStyle w:val="ListParagraph"/>
        <w:numPr>
          <w:ilvl w:val="0"/>
          <w:numId w:val="5"/>
        </w:numPr>
        <w:spacing w:after="60" w:line="276"/>
      </w:pPr>
      <w:r>
        <w:rPr>
          <w:rFonts w:ascii="Arial" w:cs="Arial" w:eastAsia="Arial" w:hAnsi="Arial"/>
        </w:rPr>
        <w:t xml:space="preserve">Understand the goals — funding probability and the gap to target.</w:t>
      </w:r>
    </w:p>
    <w:p>
      <w:pPr>
        <w:pStyle w:val="ListParagraph"/>
        <w:numPr>
          <w:ilvl w:val="0"/>
          <w:numId w:val="5"/>
        </w:numPr>
        <w:spacing w:after="60" w:line="276"/>
      </w:pPr>
      <w:r>
        <w:rPr>
          <w:rFonts w:ascii="Arial" w:cs="Arial" w:eastAsia="Arial" w:hAnsi="Arial"/>
        </w:rPr>
        <w:t xml:space="preserve">Optimise intelligently — deterministic, explainable, do-no-harm recommendations.</w:t>
      </w:r>
    </w:p>
    <w:p>
      <w:pPr>
        <w:pStyle w:val="ListParagraph"/>
        <w:numPr>
          <w:ilvl w:val="0"/>
          <w:numId w:val="5"/>
        </w:numPr>
        <w:spacing w:after="60" w:line="276"/>
      </w:pPr>
      <w:r>
        <w:rPr>
          <w:rFonts w:ascii="Arial" w:cs="Arial" w:eastAsia="Arial" w:hAnsi="Arial"/>
        </w:rPr>
        <w:t xml:space="preserve">Explain and learn — narrate the why, then incorporate the investor’s response.</w:t>
      </w:r>
    </w:p>
    <w:p>
      <w:pPr>
        <w:pStyle w:val="Heading3"/>
      </w:pPr>
      <w:r>
        <w:rPr>
          <w:rFonts w:ascii="Arial" w:cs="Arial" w:eastAsia="Arial" w:hAnsi="Arial"/>
          <w:b/>
          <w:bCs/>
        </w:rPr>
        <w:t xml:space="preserve">24.2 Guiding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w:t>
            </w:r>
          </w:p>
          <w:p>
            <w:pPr>
              <w:spacing w:after="120" w:line="276"/>
            </w:pPr>
            <w:r>
              <w:rPr>
                <w:rFonts w:ascii="Arial" w:cs="Arial" w:eastAsia="Arial" w:hAnsi="Arial"/>
                <w:b/>
                <w:bCs/>
              </w:rPr>
              <w:t xml:space="preserve">Understand the investor. Understand the portfolio. Understand the goals. Then optimise intelligently. </w:t>
            </w:r>
            <w:r>
              <w:rPr>
                <w:rFonts w:ascii="Arial" w:cs="Arial" w:eastAsia="Arial" w:hAnsi="Arial"/>
              </w:rPr>
              <w:t xml:space="preserve">Every future capability is measured against this commitment. If a feature does not make the platform a better steward of the investor’s wealth — more accurate, more explainable, more disciplined — it does not belong in Nivesh.</w:t>
            </w:r>
          </w:p>
        </w:tc>
      </w:tr>
    </w:tbl>
    <w:p>
      <w:pPr>
        <w:spacing w:after="160"/>
      </w:pPr>
      <w:r>
        <w:rPr>
          <w:rFonts w:ascii="Arial" w:cs="Arial" w:eastAsia="Arial" w:hAnsi="Arial"/>
        </w:rPr>
        <w:t xml:space="preserve"/>
      </w:r>
    </w:p>
    <w:p>
      <w:pPr>
        <w:spacing w:before="240"/>
      </w:pPr>
      <w:r>
        <w:rPr>
          <w:rFonts w:ascii="Arial" w:cs="Arial" w:eastAsia="Arial" w:hAnsi="Arial"/>
          <w:i/>
          <w:iCs/>
          <w:color w:val="5B6473"/>
          <w:sz w:val="18"/>
          <w:szCs w:val="18"/>
        </w:rPr>
        <w:t xml:space="preserve">End of Document  —  Nivesh AI Wealth Intelligence Platform, Product Requirements Document, Version 2.0</w:t>
      </w:r>
    </w:p>
    <w:p>
      <w:pPr>
        <w:pStyle w:val="Heading1"/>
      </w:pPr>
      <w:r>
        <w:rPr>
          <w:rFonts w:ascii="Arial" w:cs="Arial" w:eastAsia="Arial" w:hAnsi="Arial"/>
          <w:b/>
          <w:bCs/>
        </w:rPr>
        <w:t xml:space="preserve">Appendix A. System Architecture Overview</w:t>
      </w:r>
    </w:p>
    <w:p>
      <w:pPr>
        <w:spacing w:after="120" w:line="276"/>
      </w:pPr>
      <w:r>
        <w:rPr>
          <w:rFonts w:ascii="Arial" w:cs="Arial" w:eastAsia="Arial" w:hAnsi="Arial"/>
        </w:rPr>
        <w:t xml:space="preserve">Nivesh is a staged pipeline. Data flows in one direction through a sequence of independently testable engines. Each engine consumes the normalised portfolio state plus the outputs of upstream engines, and emits structured signals. The LLM layer sits strictly at the end and only translates structured output.</w:t>
      </w:r>
    </w:p>
    <w:p>
      <w:pPr>
        <w:pStyle w:val="Heading3"/>
      </w:pPr>
      <w:r>
        <w:rPr>
          <w:rFonts w:ascii="Arial" w:cs="Arial" w:eastAsia="Arial" w:hAnsi="Arial"/>
          <w:b/>
          <w:bCs/>
        </w:rPr>
        <w:t xml:space="preserve">A.1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  CAS / Broker Uploads / Manual Entry</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Normalisation Layer            -&gt; canonical instrument model</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Portfolio Data Lake            -&gt; persistent holdings, scores, traces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Holdings Engine                -&gt; resolved positions &amp; weights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Instrument Scoring Engine      -&gt; MF &amp; stock scores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Portfolio Analytics Engine     -&gt; diversification, concentration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Goal Alignment Engine          -&gt; goal scores &amp; probabilities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Risk Alignment Engine          -&gt; volatility &amp; suitability</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Correlation &amp; Overlap Engine   -&gt; redundancy detection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Portfolio Impact Engine        -&gt; allocation-weighted severity</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Allocation Drift Engine        -&gt; drift from target allocation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Recommendation Arbitration     -&gt; conflict-resolved action set</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Impact Simulation Engine       -&gt; before/after modelling</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Priority Engine                -&gt; ranked recommendations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LLM Explanation Layer          -&gt; conversational narration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v</w:t>
            </w:r>
          </w:p>
          <w:p>
            <w:pPr>
              <w:spacing w:after="0" w:line="264"/>
            </w:pPr>
            <w:r>
              <w:rPr>
                <w:rFonts w:ascii="Consolas" w:cs="Consolas" w:eastAsia="Consolas" w:hAnsi="Consolas"/>
                <w:sz w:val="19"/>
                <w:szCs w:val="19"/>
              </w:rPr>
              <w:t xml:space="preserve">  Copilot UX                     -&gt; investor-facing surface</w:t>
            </w:r>
          </w:p>
        </w:tc>
      </w:tr>
    </w:tbl>
    <w:p>
      <w:pPr>
        <w:pStyle w:val="Heading3"/>
      </w:pPr>
      <w:r>
        <w:rPr>
          <w:rFonts w:ascii="Arial" w:cs="Arial" w:eastAsia="Arial" w:hAnsi="Arial"/>
          <w:b/>
          <w:bCs/>
        </w:rPr>
        <w:t xml:space="preserve">A.2 Architectural Principles</w:t>
      </w:r>
    </w:p>
    <w:p>
      <w:pPr>
        <w:pStyle w:val="ListParagraph"/>
        <w:numPr>
          <w:ilvl w:val="0"/>
          <w:numId w:val="2"/>
        </w:numPr>
        <w:spacing w:after="60" w:line="276"/>
      </w:pPr>
      <w:r>
        <w:rPr>
          <w:rFonts w:ascii="Arial" w:cs="Arial" w:eastAsia="Arial" w:hAnsi="Arial"/>
          <w:b/>
          <w:bCs/>
        </w:rPr>
        <w:t xml:space="preserve">Unidirectional flow. </w:t>
      </w:r>
      <w:r>
        <w:rPr>
          <w:rFonts w:ascii="Arial" w:cs="Arial" w:eastAsia="Arial" w:hAnsi="Arial"/>
        </w:rPr>
        <w:t xml:space="preserve">No engine calls a downstream engine. This keeps the pipeline acyclic, testable, and easy to reason about.</w:t>
      </w:r>
    </w:p>
    <w:p>
      <w:pPr>
        <w:pStyle w:val="ListParagraph"/>
        <w:numPr>
          <w:ilvl w:val="0"/>
          <w:numId w:val="2"/>
        </w:numPr>
        <w:spacing w:after="60" w:line="276"/>
      </w:pPr>
      <w:r>
        <w:rPr>
          <w:rFonts w:ascii="Arial" w:cs="Arial" w:eastAsia="Arial" w:hAnsi="Arial"/>
          <w:b/>
          <w:bCs/>
        </w:rPr>
        <w:t xml:space="preserve">Deterministic core, probabilistic edge. </w:t>
      </w:r>
      <w:r>
        <w:rPr>
          <w:rFonts w:ascii="Arial" w:cs="Arial" w:eastAsia="Arial" w:hAnsi="Arial"/>
        </w:rPr>
        <w:t xml:space="preserve">Engines are deterministic. Only the explanation layer uses an LLM, and it cannot alter decisions.</w:t>
      </w:r>
    </w:p>
    <w:p>
      <w:pPr>
        <w:pStyle w:val="ListParagraph"/>
        <w:numPr>
          <w:ilvl w:val="0"/>
          <w:numId w:val="2"/>
        </w:numPr>
        <w:spacing w:after="60" w:line="276"/>
      </w:pPr>
      <w:r>
        <w:rPr>
          <w:rFonts w:ascii="Arial" w:cs="Arial" w:eastAsia="Arial" w:hAnsi="Arial"/>
          <w:b/>
          <w:bCs/>
        </w:rPr>
        <w:t xml:space="preserve">Stateless engines, stateful store. </w:t>
      </w:r>
      <w:r>
        <w:rPr>
          <w:rFonts w:ascii="Arial" w:cs="Arial" w:eastAsia="Arial" w:hAnsi="Arial"/>
        </w:rPr>
        <w:t xml:space="preserve">Engines hold no state between runs; all state lives in the data layer, making horizontal scaling straightforward.</w:t>
      </w:r>
    </w:p>
    <w:p>
      <w:pPr>
        <w:pStyle w:val="ListParagraph"/>
        <w:numPr>
          <w:ilvl w:val="0"/>
          <w:numId w:val="2"/>
        </w:numPr>
        <w:spacing w:after="60" w:line="276"/>
      </w:pPr>
      <w:r>
        <w:rPr>
          <w:rFonts w:ascii="Arial" w:cs="Arial" w:eastAsia="Arial" w:hAnsi="Arial"/>
          <w:b/>
          <w:bCs/>
        </w:rPr>
        <w:t xml:space="preserve">Versioned engines. </w:t>
      </w:r>
      <w:r>
        <w:rPr>
          <w:rFonts w:ascii="Arial" w:cs="Arial" w:eastAsia="Arial" w:hAnsi="Arial"/>
        </w:rPr>
        <w:t xml:space="preserve">Each engine is independently versioned; the recommendation object records the exact versions used so any output is reproducible.</w:t>
      </w:r>
    </w:p>
    <w:p>
      <w:pPr>
        <w:pStyle w:val="Heading3"/>
      </w:pPr>
      <w:r>
        <w:rPr>
          <w:rFonts w:ascii="Arial" w:cs="Arial" w:eastAsia="Arial" w:hAnsi="Arial"/>
          <w:b/>
          <w:bCs/>
        </w:rPr>
        <w:t xml:space="preserve">A.3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Layer</w:t>
            </w:r>
          </w:p>
        </w:tc>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Technology</w:t>
            </w:r>
          </w:p>
        </w:tc>
        <w:tc>
          <w:tcPr>
            <w:tcW w:type="dxa" w:w="4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Stores / Handles</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Relational store</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PostgreSQL</w:t>
            </w:r>
          </w:p>
        </w:tc>
        <w:tc>
          <w:tcPr>
            <w:tcW w:type="dxa" w:w="4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Normalised holdings, scores, recommendations, transactions</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Document store</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MongoDB</w:t>
            </w:r>
          </w:p>
        </w:tc>
        <w:tc>
          <w:tcPr>
            <w:tcW w:type="dxa" w:w="4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Raw CAS payloads, AI explanations, recommendation traces</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Time-series store</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Time-series DB</w:t>
            </w:r>
          </w:p>
        </w:tc>
        <w:tc>
          <w:tcPr>
            <w:tcW w:type="dxa" w:w="4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NAV history, stock prices, factor history, correlation history</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Async compute</w:t>
            </w:r>
          </w:p>
        </w:tc>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Worker queue + workers</w:t>
            </w:r>
          </w:p>
        </w:tc>
        <w:tc>
          <w:tcPr>
            <w:tcW w:type="dxa" w:w="4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Scoring, overlap, correlation, simulation, recommendation generation</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Explanation</w:t>
            </w:r>
          </w:p>
        </w:tc>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LLM provider</w:t>
            </w:r>
          </w:p>
        </w:tc>
        <w:tc>
          <w:tcPr>
            <w:tcW w:type="dxa" w:w="4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Natural-language narration of structured engine output</w:t>
            </w:r>
          </w:p>
        </w:tc>
      </w:tr>
    </w:tbl>
    <w:p>
      <w:pPr>
        <w:pStyle w:val="Heading3"/>
      </w:pPr>
      <w:r>
        <w:rPr>
          <w:rFonts w:ascii="Arial" w:cs="Arial" w:eastAsia="Arial" w:hAnsi="Arial"/>
          <w:b/>
          <w:bCs/>
        </w:rPr>
        <w:t xml:space="preserve">A.4 Asynchronous Processing</w:t>
      </w:r>
    </w:p>
    <w:p>
      <w:pPr>
        <w:spacing w:after="120" w:line="276"/>
      </w:pPr>
      <w:r>
        <w:rPr>
          <w:rFonts w:ascii="Arial" w:cs="Arial" w:eastAsia="Arial" w:hAnsi="Arial"/>
        </w:rPr>
        <w:t xml:space="preserve">Heavy computation runs on asynchronous workers so the user-facing API stays responsive. A portfolio analysis is a job that fans out into scoring, overlap, correlation, and simulation sub-tasks, then fans back in for arbitration and packaging. Job status is observable (Section 18) and surfaced to the user as analysis progress.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4" w:space="4"/>
      </w:pBdr>
      <w:tabs>
        <w:tab w:val="right" w:pos="9360"/>
      </w:tabs>
    </w:pPr>
    <w:r>
      <w:rPr>
        <w:rFonts w:ascii="Arial" w:cs="Arial" w:eastAsia="Arial" w:hAnsi="Arial"/>
        <w:color w:val="5B6473"/>
        <w:sz w:val="16"/>
        <w:szCs w:val="16"/>
      </w:rPr>
      <w:t xml:space="preserve">Confidential — Internal Distribution Only</w:t>
    </w:r>
    <w:r>
      <w:rPr>
        <w:rFonts w:ascii="Arial" w:cs="Arial" w:eastAsia="Arial" w:hAnsi="Arial"/>
        <w:color w:val="5B6473"/>
        <w:sz w:val="16"/>
        <w:szCs w:val="16"/>
      </w:rPr>
      <w:t xml:space="preserve">	Page </w:t>
    </w:r>
    <w:r>
      <w:rPr>
        <w:rFonts w:ascii="Arial" w:cs="Arial" w:eastAsia="Arial" w:hAnsi="Arial"/>
        <w:color w:val="5B6473"/>
        <w:sz w:val="16"/>
        <w:szCs w:val="16"/>
      </w:rPr>
      <w:fldChar w:fldCharType="begin"/>
      <w:instrText xml:space="preserve">PAGE</w:instrText>
      <w:fldChar w:fldCharType="separate"/>
      <w:fldChar w:fldCharType="end"/>
    </w:r>
    <w:r>
      <w:rPr>
        <w:rFonts w:ascii="Arial" w:cs="Arial" w:eastAsia="Arial" w:hAnsi="Arial"/>
        <w:color w:val="5B6473"/>
        <w:sz w:val="16"/>
        <w:szCs w:val="16"/>
      </w:rPr>
      <w:t xml:space="preserve"> of </w:t>
    </w:r>
    <w:r>
      <w:rPr>
        <w:rFonts w:ascii="Arial" w:cs="Arial" w:eastAsia="Arial" w:hAnsi="Arial"/>
        <w:color w:val="5B64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tabs>
        <w:tab w:val="right" w:pos="9360"/>
      </w:tabs>
    </w:pPr>
    <w:r>
      <w:rPr>
        <w:rFonts w:ascii="Arial" w:cs="Arial" w:eastAsia="Arial" w:hAnsi="Arial"/>
        <w:b/>
        <w:bCs/>
        <w:color w:val="0F3460"/>
        <w:sz w:val="16"/>
        <w:szCs w:val="16"/>
      </w:rPr>
      <w:t xml:space="preserve">NIVESH</w:t>
    </w:r>
    <w:r>
      <w:rPr>
        <w:rFonts w:ascii="Arial" w:cs="Arial" w:eastAsia="Arial" w:hAnsi="Arial"/>
        <w:color w:val="5B6473"/>
        <w:sz w:val="16"/>
        <w:szCs w:val="16"/>
      </w:rPr>
      <w:t xml:space="preserve">	AI Wealth Intelligence Platform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B5299"/>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1B5299"/>
      </w:rPr>
    </w:lvl>
  </w:abstractNum>
  <w:abstractNum w:abstractNumId="4" w15:restartNumberingAfterBreak="0">
    <w:multiLevelType w:val="hybridMultilevel"/>
    <w:lvl w:ilvl="0" w15:tentative="1">
      <w:start w:val="1"/>
      <w:numFmt w:val="decimal"/>
      <w:lvlText w:val="%1."/>
      <w:lvlJc w:val="left"/>
      <w:pPr>
        <w:ind w:left="540" w:hanging="320"/>
      </w:pPr>
      <w:rPr>
        <w:b/>
        <w:bCs/>
        <w:color w:val="1B5299"/>
      </w:rPr>
    </w:lvl>
  </w:abstractNum>
  <w:abstractNum w:abstractNumId="5" w15:restartNumberingAfterBreak="0">
    <w:multiLevelType w:val="hybridMultilevel"/>
    <w:lvl w:ilvl="0" w15:tentative="1">
      <w:start w:val="1"/>
      <w:numFmt w:val="decimal"/>
      <w:lvlText w:val="%1."/>
      <w:lvlJc w:val="left"/>
      <w:pPr>
        <w:ind w:left="540" w:hanging="320"/>
      </w:pPr>
      <w:rPr>
        <w:b/>
        <w:bCs/>
        <w:color w:val="1B5299"/>
      </w:rPr>
    </w:lvl>
  </w:abstractNum>
  <w:abstractNum w:abstractNumId="6" w15:restartNumberingAfterBreak="0">
    <w:multiLevelType w:val="hybridMultilevel"/>
    <w:lvl w:ilvl="0" w15:tentative="1">
      <w:start w:val="1"/>
      <w:numFmt w:val="decimal"/>
      <w:lvlText w:val="%1."/>
      <w:lvlJc w:val="left"/>
      <w:pPr>
        <w:ind w:left="540" w:hanging="320"/>
      </w:pPr>
      <w:rPr>
        <w:b/>
        <w:bCs/>
        <w:color w:val="1B5299"/>
      </w:rPr>
    </w:lvl>
  </w:abstractNum>
  <w:abstractNum w:abstractNumId="7" w15:restartNumberingAfterBreak="0">
    <w:multiLevelType w:val="hybridMultilevel"/>
    <w:lvl w:ilvl="0" w15:tentative="1">
      <w:start w:val="1"/>
      <w:numFmt w:val="decimal"/>
      <w:lvlText w:val="%1."/>
      <w:lvlJc w:val="left"/>
      <w:pPr>
        <w:ind w:left="540" w:hanging="320"/>
      </w:pPr>
      <w:rPr>
        <w:b/>
        <w:bCs/>
        <w:color w:val="1B5299"/>
      </w:rPr>
    </w:lvl>
  </w:abstractNum>
  <w:abstractNum w:abstractNumId="8" w15:restartNumberingAfterBreak="0">
    <w:multiLevelType w:val="hybridMultilevel"/>
    <w:lvl w:ilvl="0" w15:tentative="1">
      <w:start w:val="1"/>
      <w:numFmt w:val="decimal"/>
      <w:lvlText w:val="%1."/>
      <w:lvlJc w:val="left"/>
      <w:pPr>
        <w:ind w:left="540" w:hanging="320"/>
      </w:pPr>
      <w:rPr>
        <w:b/>
        <w:bCs/>
        <w:color w:val="1B5299"/>
      </w:rPr>
    </w:lvl>
  </w:abstractNum>
  <w:abstractNum w:abstractNumId="9" w15:restartNumberingAfterBreak="0">
    <w:multiLevelType w:val="hybridMultilevel"/>
    <w:lvl w:ilvl="0" w15:tentative="1">
      <w:start w:val="1"/>
      <w:numFmt w:val="decimal"/>
      <w:lvlText w:val="%1."/>
      <w:lvlJc w:val="left"/>
      <w:pPr>
        <w:ind w:left="540" w:hanging="320"/>
      </w:pPr>
      <w:rPr>
        <w:b/>
        <w:bCs/>
        <w:color w:val="1B5299"/>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299" w:sz="8" w:space="4"/>
      </w:pBdr>
      <w:spacing w:after="200" w:before="320"/>
      <w:outlineLvl w:val="0"/>
    </w:pPr>
    <w:rPr>
      <w:rFonts w:ascii="Arial" w:cs="Arial" w:eastAsia="Arial" w:hAnsi="Arial"/>
      <w:b/>
      <w:bCs/>
      <w:color w:val="0F3460"/>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6213E"/>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1B5299"/>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Nivesh AI Wealth Intelligence Platform - PRD</dc:title>
  <dc:creator>Product Management</dc:creator>
  <dc:description>Production-grade Product Requirements Document</dc:description>
  <cp:lastModifiedBy>Un-named</cp:lastModifiedBy>
  <cp:revision>1</cp:revision>
  <dcterms:created xsi:type="dcterms:W3CDTF">2026-05-25T06:06:27.200Z</dcterms:created>
  <dcterms:modified xsi:type="dcterms:W3CDTF">2026-05-25T06:06:27.201Z</dcterms:modified>
</cp:coreProperties>
</file>

<file path=docProps/custom.xml><?xml version="1.0" encoding="utf-8"?>
<Properties xmlns="http://schemas.openxmlformats.org/officeDocument/2006/custom-properties" xmlns:vt="http://schemas.openxmlformats.org/officeDocument/2006/docPropsVTypes"/>
</file>