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0F3460"/>
          <w:sz w:val="56"/>
          <w:szCs w:val="56"/>
        </w:rPr>
        <w:t xml:space="preserve">NIVESH</w:t>
      </w:r>
    </w:p>
    <w:p>
      <w:pPr>
        <w:spacing w:after="0" w:before="80"/>
        <w:jc w:val="center"/>
      </w:pPr>
      <w:r>
        <w:rPr>
          <w:rFonts w:ascii="Arial" w:cs="Arial" w:eastAsia="Arial" w:hAnsi="Arial"/>
          <w:color w:val="5B6473"/>
          <w:sz w:val="28"/>
          <w:szCs w:val="28"/>
        </w:rPr>
        <w:t xml:space="preserve">AI Wealth Intelligence Platform</w:t>
      </w:r>
    </w:p>
    <w:p>
      <w:pPr>
        <w:spacing w:after="0" w:before="520"/>
        <w:jc w:val="center"/>
      </w:pPr>
      <w:r>
        <w:rPr>
          <w:rFonts w:ascii="Arial" w:cs="Arial" w:eastAsia="Arial" w:hAnsi="Arial"/>
          <w:b/>
          <w:bCs/>
          <w:color w:val="16213E"/>
          <w:sz w:val="44"/>
          <w:szCs w:val="44"/>
        </w:rPr>
        <w:t xml:space="preserve">ENGINE RULE BOOK</w:t>
      </w:r>
    </w:p>
    <w:p>
      <w:pPr>
        <w:spacing w:after="0" w:before="120"/>
        <w:jc w:val="center"/>
      </w:pPr>
      <w:r>
        <w:rPr>
          <w:rFonts w:ascii="Arial" w:cs="Arial" w:eastAsia="Arial" w:hAnsi="Arial"/>
          <w:color w:val="5B6473"/>
          <w:sz w:val="24"/>
          <w:szCs w:val="24"/>
        </w:rPr>
        <w:t xml:space="preserve">Elaborated Technical Reference — All Engines, All Rules</w:t>
      </w:r>
    </w:p>
    <w:p>
      <w:pPr>
        <w:spacing w:after="0" w:before="720"/>
        <w:jc w:val="center"/>
      </w:pPr>
      <w:r>
        <w:rPr>
          <w:rFonts w:ascii="Arial" w:cs="Arial" w:eastAsia="Arial" w:hAnsi="Arial"/>
          <w:color w:val="5B6473"/>
          <w:sz w:val="20"/>
          <w:szCs w:val="20"/>
        </w:rPr>
        <w:t xml:space="preserve">Companion to Product Requirements Document v2.0  ·  Section 10</w:t>
      </w:r>
    </w:p>
    <w:p>
      <w:pPr>
        <w:spacing w:after="0" w:before="60"/>
        <w:jc w:val="center"/>
      </w:pPr>
      <w:r>
        <w:rPr>
          <w:rFonts w:ascii="Arial" w:cs="Arial" w:eastAsia="Arial" w:hAnsi="Arial"/>
          <w:color w:val="5B6473"/>
          <w:sz w:val="18"/>
          <w:szCs w:val="18"/>
        </w:rPr>
        <w:t xml:space="preserve">Confidential — Internal Distribution Only</w:t>
      </w:r>
    </w:p>
    <w:p>
      <w:r>
        <w:br w:type="page"/>
      </w:r>
    </w:p>
    <w:p>
      <w:pPr>
        <w:pStyle w:val="Heading1"/>
      </w:pPr>
      <w:r>
        <w:rPr>
          <w:rFonts w:ascii="Arial" w:cs="Arial" w:eastAsia="Arial" w:hAnsi="Arial"/>
          <w:b/>
          <w:bCs/>
        </w:rPr>
        <w:t xml:space="preserve">How to Read This Rule Book</w:t>
      </w:r>
    </w:p>
    <w:p>
      <w:pPr>
        <w:spacing w:after="120" w:line="276"/>
      </w:pPr>
      <w:r>
        <w:rPr>
          <w:rFonts w:ascii="Arial" w:cs="Arial" w:eastAsia="Arial" w:hAnsi="Arial"/>
        </w:rPr>
        <w:t xml:space="preserve">This document is the elaborated, implementation-level specification of every deterministic engine in the Nivesh platform. It expands each rule from a single line into a full breakdown so that an engineer can implement it, a tester can verify it, and a reviewer can audit it without consulting any other source.</w:t>
      </w:r>
    </w:p>
    <w:p>
      <w:pPr>
        <w:spacing w:after="120" w:line="276"/>
      </w:pPr>
      <w:r>
        <w:rPr>
          <w:rFonts w:ascii="Arial" w:cs="Arial" w:eastAsia="Arial" w:hAnsi="Arial"/>
          <w:b/>
          <w:bCs/>
        </w:rPr>
        <w:t xml:space="preserve">Normative status.  </w:t>
      </w:r>
      <w:r>
        <w:rPr>
          <w:rFonts w:ascii="Arial" w:cs="Arial" w:eastAsia="Arial" w:hAnsi="Arial"/>
        </w:rPr>
        <w:t xml:space="preserve">Every rule is normative. An implementation whose behaviour differs from a rule — in trigger, threshold, action, or ordering — is a defect, not a variation. Where the original PRD left a value implicit, this document states it explicitly.</w:t>
      </w:r>
    </w:p>
    <w:p>
      <w:pPr>
        <w:pStyle w:val="Heading4"/>
      </w:pPr>
      <w:r>
        <w:rPr>
          <w:rFonts w:ascii="Arial" w:cs="Arial" w:eastAsia="Arial" w:hAnsi="Arial"/>
          <w:b/>
          <w:bCs/>
        </w:rPr>
        <w:t xml:space="preserve">Each rule is specified by these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What it means</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precise condition that fires the rule, expressed as a testable predicate.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exact numeric boundary and its default value. Defaults are calibration-tunable unless marked fixed.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What the engine does when the trigger is true — the observable effect.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Why the rule exists. Tester and reviewer use this to judge whether behaviour is correct in spirit.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Boundary behaviour, interaction with missing data, and what happens at exactly the threshold value.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Other rules or engines that must run first, or that can override this rule's output.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Threshold convention</w:t>
            </w:r>
          </w:p>
          <w:p>
            <w:pPr>
              <w:spacing w:after="120" w:line="276"/>
            </w:pPr>
            <w:r>
              <w:rPr>
                <w:rFonts w:ascii="Arial" w:cs="Arial" w:eastAsia="Arial" w:hAnsi="Arial"/>
              </w:rPr>
              <w:t xml:space="preserve">Comparisons are inclusive or exclusive exactly as written. “Above 20%” means strictly greater than 0.20; “≥ 75” means 75 or higher. At the exact boundary, the rule's Edge cases row is authoritative. Every threshold here is a configuration default — it may be tuned through the calibration process, but never hard-coded in a way that bypasses review.</w:t>
            </w:r>
          </w:p>
        </w:tc>
      </w:tr>
    </w:tbl>
    <w:p>
      <w:pPr>
        <w:pStyle w:val="Heading4"/>
      </w:pPr>
      <w:r>
        <w:rPr>
          <w:rFonts w:ascii="Arial" w:cs="Arial" w:eastAsia="Arial" w:hAnsi="Arial"/>
          <w:b/>
          <w:bCs/>
        </w:rPr>
        <w:t xml:space="preserve">Engine execution order</w:t>
      </w:r>
    </w:p>
    <w:p>
      <w:pPr>
        <w:spacing w:after="120" w:line="276"/>
      </w:pPr>
      <w:r>
        <w:rPr>
          <w:rFonts w:ascii="Arial" w:cs="Arial" w:eastAsia="Arial" w:hAnsi="Arial"/>
        </w:rPr>
        <w:t xml:space="preserve">Engines run as a pipeline. Order matters: an engine may depend on flags or scores produced by an earlier one. The Data Validation Engine runs first and can disable whole classes of output; the Arbitration and Simulation engines run last and can suppress or downgrade anything upstream.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10.1  Data Validation        -&gt; sets suppression set + data_quality flags</w:t>
            </w:r>
          </w:p>
          <w:p>
            <w:pPr>
              <w:spacing w:after="0" w:line="264"/>
            </w:pPr>
            <w:r>
              <w:rPr>
                <w:rFonts w:ascii="Consolas" w:cs="Consolas" w:eastAsia="Consolas" w:hAnsi="Consolas"/>
                <w:sz w:val="19"/>
                <w:szCs w:val="19"/>
              </w:rPr>
              <w:t xml:space="preserve">10.2  Goal Alignment         -&gt; goal scores, shortfalls</w:t>
            </w:r>
          </w:p>
          <w:p>
            <w:pPr>
              <w:spacing w:after="0" w:line="264"/>
            </w:pPr>
            <w:r>
              <w:rPr>
                <w:rFonts w:ascii="Consolas" w:cs="Consolas" w:eastAsia="Consolas" w:hAnsi="Consolas"/>
                <w:sz w:val="19"/>
                <w:szCs w:val="19"/>
              </w:rPr>
              <w:t xml:space="preserve">10.3  Risk Alignment         -&gt; risk caps, volatility/drawdown flags</w:t>
            </w:r>
          </w:p>
          <w:p>
            <w:pPr>
              <w:spacing w:after="0" w:line="264"/>
            </w:pPr>
            <w:r>
              <w:rPr>
                <w:rFonts w:ascii="Consolas" w:cs="Consolas" w:eastAsia="Consolas" w:hAnsi="Consolas"/>
                <w:sz w:val="19"/>
                <w:szCs w:val="19"/>
              </w:rPr>
              <w:t xml:space="preserve">10.4  Portfolio Analytics    -&gt; structure scores</w:t>
            </w:r>
          </w:p>
          <w:p>
            <w:pPr>
              <w:spacing w:after="0" w:line="264"/>
            </w:pPr>
            <w:r>
              <w:rPr>
                <w:rFonts w:ascii="Consolas" w:cs="Consolas" w:eastAsia="Consolas" w:hAnsi="Consolas"/>
                <w:sz w:val="19"/>
                <w:szCs w:val="19"/>
              </w:rPr>
              <w:t xml:space="preserve">10.5  Overlap                -&gt; consolidation candidates</w:t>
            </w:r>
          </w:p>
          <w:p>
            <w:pPr>
              <w:spacing w:after="0" w:line="264"/>
            </w:pPr>
            <w:r>
              <w:rPr>
                <w:rFonts w:ascii="Consolas" w:cs="Consolas" w:eastAsia="Consolas" w:hAnsi="Consolas"/>
                <w:sz w:val="19"/>
                <w:szCs w:val="19"/>
              </w:rPr>
              <w:t xml:space="preserve">10.6  Correlation            -&gt; behavioural-redundancy pairs</w:t>
            </w:r>
          </w:p>
          <w:p>
            <w:pPr>
              <w:spacing w:after="0" w:line="264"/>
            </w:pPr>
            <w:r>
              <w:rPr>
                <w:rFonts w:ascii="Consolas" w:cs="Consolas" w:eastAsia="Consolas" w:hAnsi="Consolas"/>
                <w:sz w:val="19"/>
                <w:szCs w:val="19"/>
              </w:rPr>
              <w:t xml:space="preserve">10.7  Portfolio Impact       -&gt; allocation-weighted severity</w:t>
            </w:r>
          </w:p>
          <w:p>
            <w:pPr>
              <w:spacing w:after="0" w:line="264"/>
            </w:pPr>
            <w:r>
              <w:rPr>
                <w:rFonts w:ascii="Consolas" w:cs="Consolas" w:eastAsia="Consolas" w:hAnsi="Consolas"/>
                <w:sz w:val="19"/>
                <w:szCs w:val="19"/>
              </w:rPr>
              <w:t xml:space="preserve">10.8  Mutual Fund Scoring    -&gt; fund Exit / Switch / Add signals</w:t>
            </w:r>
          </w:p>
          <w:p>
            <w:pPr>
              <w:spacing w:after="0" w:line="264"/>
            </w:pPr>
            <w:r>
              <w:rPr>
                <w:rFonts w:ascii="Consolas" w:cs="Consolas" w:eastAsia="Consolas" w:hAnsi="Consolas"/>
                <w:sz w:val="19"/>
                <w:szCs w:val="19"/>
              </w:rPr>
              <w:t xml:space="preserve">10.9  Stock Scoring          -&gt; stock Exit / Trim / Review signals</w:t>
            </w:r>
          </w:p>
          <w:p>
            <w:pPr>
              <w:spacing w:after="0" w:line="264"/>
            </w:pPr>
            <w:r>
              <w:rPr>
                <w:rFonts w:ascii="Consolas" w:cs="Consolas" w:eastAsia="Consolas" w:hAnsi="Consolas"/>
                <w:sz w:val="19"/>
                <w:szCs w:val="19"/>
              </w:rPr>
              <w:t xml:space="preserve">10.10 Tax Engine             -&gt; suppresses tax-destructive actions</w:t>
            </w:r>
          </w:p>
          <w:p>
            <w:pPr>
              <w:spacing w:after="0" w:line="264"/>
            </w:pPr>
            <w:r>
              <w:rPr>
                <w:rFonts w:ascii="Consolas" w:cs="Consolas" w:eastAsia="Consolas" w:hAnsi="Consolas"/>
                <w:sz w:val="19"/>
                <w:szCs w:val="19"/>
              </w:rPr>
              <w:t xml:space="preserve">10.11 Arbitration            -&gt; conflict resolution, precedence, priority</w:t>
            </w:r>
          </w:p>
          <w:p>
            <w:pPr>
              <w:spacing w:after="0" w:line="264"/>
            </w:pPr>
            <w:r>
              <w:rPr>
                <w:rFonts w:ascii="Consolas" w:cs="Consolas" w:eastAsia="Consolas" w:hAnsi="Consolas"/>
                <w:sz w:val="19"/>
                <w:szCs w:val="19"/>
              </w:rPr>
              <w:t xml:space="preserve">10.12 Impact Simulation      -&gt; before/after modelling, materiality filter</w:t>
            </w:r>
          </w:p>
          <w:p>
            <w:pPr>
              <w:spacing w:after="0" w:line="264"/>
            </w:pPr>
            <w:r>
              <w:rPr>
                <w:rFonts w:ascii="Consolas" w:cs="Consolas" w:eastAsia="Consolas" w:hAnsi="Consolas"/>
                <w:sz w:val="19"/>
                <w:szCs w:val="19"/>
              </w:rPr>
              <w:t xml:space="preserve">10.13 Copilot                -&gt; conversational explanation layer</w:t>
            </w:r>
          </w:p>
        </w:tc>
      </w:tr>
    </w:tbl>
    <w:p>
      <w:r>
        <w:br w:type="page"/>
      </w:r>
    </w:p>
    <w:p>
      <w:pPr>
        <w:pStyle w:val="Heading1"/>
      </w:pPr>
      <w:r>
        <w:rPr>
          <w:rFonts w:ascii="Arial" w:cs="Arial" w:eastAsia="Arial" w:hAnsi="Arial"/>
          <w:b/>
          <w:bCs/>
        </w:rPr>
        <w:t xml:space="preserve">10.1  Data Validation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Guarantee that recommendations are generated only from data complete and fresh enough to be reliable. This is the gatekeeper engine: it cannot itself recommend anything, but it can silence every other engine for an instrument or for the whole portfolio.</w:t>
      </w:r>
    </w:p>
    <w:p>
      <w:pPr>
        <w:spacing w:after="120" w:line="276"/>
      </w:pPr>
      <w:r>
        <w:rPr>
          <w:rFonts w:ascii="Arial" w:cs="Arial" w:eastAsia="Arial" w:hAnsi="Arial"/>
          <w:b/>
          <w:bCs/>
        </w:rPr>
        <w:t xml:space="preserve">Execution stage.  </w:t>
      </w:r>
      <w:r>
        <w:rPr>
          <w:rFonts w:ascii="Arial" w:cs="Arial" w:eastAsia="Arial" w:hAnsi="Arial"/>
        </w:rPr>
        <w:t xml:space="preserve">Runs first, before any other engine. Its suppression set is consulted by every downstream engine.</w:t>
      </w:r>
    </w:p>
    <w:p>
      <w:pPr>
        <w:spacing w:after="120" w:line="276"/>
      </w:pPr>
      <w:r>
        <w:rPr>
          <w:rFonts w:ascii="Arial" w:cs="Arial" w:eastAsia="Arial" w:hAnsi="Arial"/>
          <w:b/>
          <w:bCs/>
        </w:rPr>
        <w:t xml:space="preserve">Primary inputs.  </w:t>
      </w:r>
      <w:r>
        <w:rPr>
          <w:rFonts w:ascii="Arial" w:cs="Arial" w:eastAsia="Arial" w:hAnsi="Arial"/>
        </w:rPr>
        <w:t xml:space="preserve">Raw holdings, NAV timestamps, acquisition records, stock fundamentals feed.</w:t>
      </w:r>
    </w:p>
    <w:p>
      <w:pPr>
        <w:spacing w:after="120" w:line="276"/>
      </w:pPr>
      <w:r>
        <w:rPr>
          <w:rFonts w:ascii="Arial" w:cs="Arial" w:eastAsia="Arial" w:hAnsi="Arial"/>
          <w:b/>
          <w:bCs/>
        </w:rPr>
        <w:t xml:space="preserve">Primary outputs.  </w:t>
      </w:r>
      <w:r>
        <w:rPr>
          <w:rFonts w:ascii="Arial" w:cs="Arial" w:eastAsia="Arial" w:hAnsi="Arial"/>
        </w:rPr>
        <w:t xml:space="preserve">A data_quality flag (FULL / PARTIAL / DEGRADED) per portfolio and per instrument, plus a suppression set listing recommendation classes disabled for this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Why this engine exists</w:t>
            </w:r>
          </w:p>
          <w:p>
            <w:pPr>
              <w:spacing w:after="120" w:line="276"/>
            </w:pPr>
            <w:r>
              <w:rPr>
                <w:rFonts w:ascii="Arial" w:cs="Arial" w:eastAsia="Arial" w:hAnsi="Arial"/>
              </w:rPr>
              <w:t xml:space="preserve">Every downstream formula assumes its inputs are trustworthy. Allocation maths on a portfolio that is only 70% imported is not slightly wrong — it is meaningless, because the missing 30% could change every weight. Rather than emit a confident-looking but false recommendation, the platform stays silent on what it cannot support. Silence is a feature.</w:t>
            </w:r>
          </w:p>
        </w:tc>
      </w:tr>
    </w:tbl>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DV-1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Insufficient Holdings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Holdings coverage — the fraction of total portfolio value successfully imported and normalised — falls below the coverage threshold.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Coverage &lt; 90% (default). Fixed lower bound; calibration may raise it but not lower it below 90%.</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all allocation-level recommendations for the entire portfolio. Instrument-level quality flags may still be computed but are marked DEGRADED.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Allocation maths — weights, concentration, diversification — is only valid over a near-complete portfolio. A missing 10%+ can invalidate every derived weight.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At exactly 90% coverage the rule does NOT fire (strict less-than). If coverage is unknown, treat as 0% and suppress. Partial-import retries do not reset the flag mid-run.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Runs before all engines. Its output gates 10.2, 10.3, 10.4, 10.7 in particular.</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DV-2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Stale Valuation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most recent NAV (for a fund) or price (for a stock) is older than the freshness window.</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NAV / price age &gt; 5 market days (default). Market days exclude weekends and exchange holidays.</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valuation-sensitive recommendations for the affected instruments only — not the whole portfolio.</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 Trim, and overvaluation signals depend on a current price. A stale price can flip a Trim into a Hold or vice versa.</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Exactly 5 days old does NOT fire (strict greater-than). Non-valuation rules (e.g. overlap) still run on the instrument. A suspended or delisted instrument is always treated as stale.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Independent trigger; consumed by 10.8 and 10.9 scoring engines.</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DV-3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Missing Acquisition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holding has no recorded acquisition price or acquisition date.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Boolean — the field is absent or null. No numeric threshold.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all tax-aware recommendations for that holding. Gain type and tax cost cannot be computed without a cost basis.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Tax Engine (10.10) needs cost basis and holding period. Guessing either could produce a tax-destructive recommendation — the exact harm the platform must avoid.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acquisition date exists but price does not (or vice versa), still suppress — both are required. A holding may still receive non-tax recommendations.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Gates the Tax Engine (10.10) for the affected holding.</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DV-4</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Incomplete Stock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required fundamentals field (ROE, EPS growth, debt-to-equity, etc.) is missing for a direct stock.</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Boolean per field — any required component absent.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 the stock's quality score data_quality = PARTIAL; exclude the missing component from the weighted average and renormalise the remaining component weights so they still sum to 1.00.</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single missing field should degrade confidence, not void the whole score. Renormalising keeps the score on the same 0–100 scale and comparable, while the PARTIAL flag warns downstream consumers.</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more than half the components are missing, escalate the flag to DEGRADED and suppress Exit/Trim for that stock. If ALL are missing, the stock receives no quality score.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Feeds 10.9 Stock Scoring; PARTIAL flag is surfaced by the Copilot under CP-3.</w:t>
            </w:r>
          </w:p>
        </w:tc>
      </w:tr>
    </w:tbl>
    <w:p>
      <w:pPr>
        <w:spacing w:after="60"/>
      </w:pPr>
      <w:r>
        <w:rPr>
          <w:rFonts w:ascii="Arial" w:cs="Arial" w:eastAsia="Arial" w:hAnsi="Arial"/>
        </w:rPr>
        <w:t xml:space="preserve"/>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3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Type</w:t>
            </w:r>
          </w:p>
        </w:tc>
        <w:tc>
          <w:tcPr>
            <w:tcW w:type="dxa" w:w="3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Consumed by</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data_quality (portfolio)</w:t>
            </w:r>
          </w:p>
        </w:tc>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FULL / PARTIAL / DEGRADED</w:t>
            </w:r>
          </w:p>
        </w:tc>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 Copilot</w:t>
            </w:r>
          </w:p>
        </w:tc>
      </w:tr>
      <w:tr>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data_quality (per instrument)</w:t>
            </w:r>
          </w:p>
        </w:tc>
        <w:tc>
          <w:tcPr>
            <w:tcW w:type="dxa" w:w="3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FULL / PARTIAL / DEGRADED</w:t>
            </w:r>
          </w:p>
        </w:tc>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10.8, 10.9, Copilot</w:t>
            </w:r>
          </w:p>
        </w:tc>
      </w:tr>
      <w:tr>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suppression set</w:t>
            </w:r>
          </w:p>
        </w:tc>
        <w:tc>
          <w:tcPr>
            <w:tcW w:type="dxa" w:w="3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Set of recommendation classes / (class, instrument) pairs</w:t>
            </w:r>
          </w:p>
        </w:tc>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downstream engine</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10.2  Goal Alignment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Align portfolio structure to each declared investor goal, using investment horizon as the primary driver of how much equity exposure is acceptable.</w:t>
      </w:r>
    </w:p>
    <w:p>
      <w:pPr>
        <w:spacing w:after="120" w:line="276"/>
      </w:pPr>
      <w:r>
        <w:rPr>
          <w:rFonts w:ascii="Arial" w:cs="Arial" w:eastAsia="Arial" w:hAnsi="Arial"/>
          <w:b/>
          <w:bCs/>
        </w:rPr>
        <w:t xml:space="preserve">Execution stage.  </w:t>
      </w:r>
      <w:r>
        <w:rPr>
          <w:rFonts w:ascii="Arial" w:cs="Arial" w:eastAsia="Arial" w:hAnsi="Arial"/>
        </w:rPr>
        <w:t xml:space="preserve">Runs after Data Validation. Skipped for any goal if DV-1 suppressed allocation-level output.</w:t>
      </w:r>
    </w:p>
    <w:p>
      <w:pPr>
        <w:spacing w:after="120" w:line="276"/>
      </w:pPr>
      <w:r>
        <w:rPr>
          <w:rFonts w:ascii="Arial" w:cs="Arial" w:eastAsia="Arial" w:hAnsi="Arial"/>
          <w:b/>
          <w:bCs/>
        </w:rPr>
        <w:t xml:space="preserve">Primary inputs.  </w:t>
      </w:r>
      <w:r>
        <w:rPr>
          <w:rFonts w:ascii="Arial" w:cs="Arial" w:eastAsia="Arial" w:hAnsi="Arial"/>
        </w:rPr>
        <w:t xml:space="preserve">Declared goals (horizon, target amount, type), current per-goal allocation, modelled return assumptions.</w:t>
      </w:r>
    </w:p>
    <w:p>
      <w:pPr>
        <w:spacing w:after="120" w:line="276"/>
      </w:pPr>
      <w:r>
        <w:rPr>
          <w:rFonts w:ascii="Arial" w:cs="Arial" w:eastAsia="Arial" w:hAnsi="Arial"/>
          <w:b/>
          <w:bCs/>
        </w:rPr>
        <w:t xml:space="preserve">Primary outputs.  </w:t>
      </w:r>
      <w:r>
        <w:rPr>
          <w:rFonts w:ascii="Arial" w:cs="Arial" w:eastAsia="Arial" w:hAnsi="Arial"/>
        </w:rPr>
        <w:t xml:space="preserve">Goal Alignment Score, Goal Success Probability, Goal Risk Mismatch, and any shortfall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Core principle</w:t>
            </w:r>
          </w:p>
          <w:p>
            <w:pPr>
              <w:spacing w:after="120" w:line="276"/>
            </w:pPr>
            <w:r>
              <w:rPr>
                <w:rFonts w:ascii="Arial" w:cs="Arial" w:eastAsia="Arial" w:hAnsi="Arial"/>
              </w:rPr>
              <w:t xml:space="preserve">Time is the dominant variable in suitability. A 25-year retirement goal can absorb deep equity drawdowns because it has time to recover; a 2-year goal cannot. The engine therefore derives the equity ceiling from horizon first, and treats every other signal as secondary.</w:t>
            </w:r>
          </w:p>
        </w:tc>
      </w:tr>
    </w:tbl>
    <w:p>
      <w:pPr>
        <w:pStyle w:val="Heading3"/>
      </w:pPr>
      <w:r>
        <w:rPr>
          <w:rFonts w:ascii="Arial" w:cs="Arial" w:eastAsia="Arial" w:hAnsi="Arial"/>
          <w:b/>
          <w:bCs/>
        </w:rPr>
        <w:t xml:space="preserve">Rule GA-1 — Maximum Equity by Horizon</w:t>
      </w:r>
    </w:p>
    <w:p>
      <w:pPr>
        <w:spacing w:after="120" w:line="276"/>
      </w:pPr>
      <w:r>
        <w:rPr>
          <w:rFonts w:ascii="Arial" w:cs="Arial" w:eastAsia="Arial" w:hAnsi="Arial"/>
        </w:rPr>
        <w:t xml:space="preserve">GA-1 is a lookup, not a conditional. For each goal, the horizon selects the maximum acceptable equity allocation. Exceeding the ceiling triggers a REDUCE recommendation scoped to that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Goal horizon</w:t>
            </w:r>
          </w:p>
        </w:tc>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Maximum equity allocation</w:t>
            </w:r>
          </w:p>
        </w:tc>
        <w:tc>
          <w:tcPr>
            <w:tcW w:type="dxa" w:w="46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Reasoning</w:t>
            </w:r>
          </w:p>
        </w:tc>
      </w:tr>
      <w:tr>
        <w:tc>
          <w:tcPr>
            <w:tcW w:type="dxa" w:w="2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Under 3 years</w:t>
            </w:r>
          </w:p>
        </w:tc>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c>
          <w:tcPr>
            <w:tcW w:type="dxa" w:w="4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Almost no time to recover a drawdown; capital preservation dominates.</w:t>
            </w:r>
          </w:p>
        </w:tc>
      </w:tr>
      <w:tr>
        <w:tc>
          <w:tcPr>
            <w:tcW w:type="dxa" w:w="2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 to 5 years</w:t>
            </w:r>
          </w:p>
        </w:tc>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50%</w:t>
            </w:r>
          </w:p>
        </w:tc>
        <w:tc>
          <w:tcPr>
            <w:tcW w:type="dxa" w:w="4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Limited recovery window; balanced exposure only.</w:t>
            </w:r>
          </w:p>
        </w:tc>
      </w:tr>
      <w:tr>
        <w:tc>
          <w:tcPr>
            <w:tcW w:type="dxa" w:w="2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 to 10 years</w:t>
            </w:r>
          </w:p>
        </w:tc>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75%</w:t>
            </w:r>
          </w:p>
        </w:tc>
        <w:tc>
          <w:tcPr>
            <w:tcW w:type="dxa" w:w="4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Enough time to ride out a full market cycle.</w:t>
            </w:r>
          </w:p>
        </w:tc>
      </w:tr>
      <w:tr>
        <w:tc>
          <w:tcPr>
            <w:tcW w:type="dxa" w:w="2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 10 years</w:t>
            </w:r>
          </w:p>
        </w:tc>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90%</w:t>
            </w:r>
          </w:p>
        </w:tc>
        <w:tc>
          <w:tcPr>
            <w:tcW w:type="dxa" w:w="4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Long horizon; equity's growth outweighs interim volatility.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GA-1 specification</w:t>
            </w:r>
          </w:p>
          <w:p>
            <w:pPr>
              <w:spacing w:after="120" w:line="276"/>
            </w:pPr>
            <w:r>
              <w:rPr>
                <w:rFonts w:ascii="Arial" w:cs="Arial" w:eastAsia="Arial" w:hAnsi="Arial"/>
                <w:b/>
                <w:bCs/>
              </w:rPr>
              <w:t xml:space="preserve">Trigger.  </w:t>
            </w:r>
            <w:r>
              <w:rPr>
                <w:rFonts w:ascii="Arial" w:cs="Arial" w:eastAsia="Arial" w:hAnsi="Arial"/>
              </w:rPr>
              <w:t xml:space="preserve">A goal's current equity allocation exceeds the ceiling for its horizon band.</w:t>
            </w:r>
          </w:p>
          <w:p>
            <w:pPr>
              <w:spacing w:after="120" w:line="276"/>
            </w:pPr>
            <w:r>
              <w:rPr>
                <w:rFonts w:ascii="Arial" w:cs="Arial" w:eastAsia="Arial" w:hAnsi="Arial"/>
                <w:b/>
                <w:bCs/>
              </w:rPr>
              <w:t xml:space="preserve">Threshold.  </w:t>
            </w:r>
            <w:r>
              <w:rPr>
                <w:rFonts w:ascii="Arial" w:cs="Arial" w:eastAsia="Arial" w:hAnsi="Arial"/>
              </w:rPr>
              <w:t xml:space="preserve">Band boundaries are 3, 5, and 10 years; ceilings are 20 / 50 / 75 / 90%. Boundaries are inclusive at the lower band (a goal at exactly 5 years uses the 3–5 row).</w:t>
            </w:r>
          </w:p>
          <w:p>
            <w:pPr>
              <w:spacing w:after="120" w:line="276"/>
            </w:pPr>
            <w:r>
              <w:rPr>
                <w:rFonts w:ascii="Arial" w:cs="Arial" w:eastAsia="Arial" w:hAnsi="Arial"/>
                <w:b/>
                <w:bCs/>
              </w:rPr>
              <w:t xml:space="preserve">Action.  </w:t>
            </w:r>
            <w:r>
              <w:rPr>
                <w:rFonts w:ascii="Arial" w:cs="Arial" w:eastAsia="Arial" w:hAnsi="Arial"/>
              </w:rPr>
              <w:t xml:space="preserve">Emit a REDUCE recommendation on the equity excess, scoped to that goal, sized to bring allocation to the ceiling.</w:t>
            </w:r>
          </w:p>
          <w:p>
            <w:pPr>
              <w:spacing w:after="120" w:line="276"/>
            </w:pPr>
            <w:r>
              <w:rPr>
                <w:rFonts w:ascii="Arial" w:cs="Arial" w:eastAsia="Arial" w:hAnsi="Arial"/>
                <w:b/>
                <w:bCs/>
              </w:rPr>
              <w:t xml:space="preserve">Edge cases.  </w:t>
            </w:r>
            <w:r>
              <w:rPr>
                <w:rFonts w:ascii="Arial" w:cs="Arial" w:eastAsia="Arial" w:hAnsi="Arial"/>
              </w:rPr>
              <w:t xml:space="preserve">A goal with no stated horizon defaults to the most conservative band (20%) until the investor supplies one. Negative or zero horizon is treated as Under 3 years.</w:t>
            </w:r>
          </w:p>
        </w:tc>
      </w:tr>
    </w:tbl>
    <w:p>
      <w:pPr>
        <w:pStyle w:val="Heading3"/>
      </w:pPr>
      <w:r>
        <w:rPr>
          <w:rFonts w:ascii="Arial" w:cs="Arial" w:eastAsia="Arial" w:hAnsi="Arial"/>
          <w:b/>
          <w:bCs/>
        </w:rPr>
        <w:t xml:space="preserve">Further Rules</w:t>
      </w:r>
    </w:p>
    <w:p>
      <w:pPr>
        <w:keepNext/>
        <w:spacing w:after="60" w:before="180"/>
      </w:pPr>
      <w:r>
        <w:rPr>
          <w:rFonts w:ascii="Consolas" w:cs="Consolas" w:eastAsia="Consolas" w:hAnsi="Consolas"/>
          <w:b/>
          <w:bCs/>
          <w:color w:val="0F3460"/>
          <w:sz w:val="20"/>
          <w:szCs w:val="20"/>
        </w:rPr>
        <w:t xml:space="preserve">GA-2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Short-Horizon Smallcap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goal's horizon is short AND its smallcap allocation is high.</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Horizon &lt; 5 years AND smallcap allocation &gt; 20%.</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 REDUCE on the smallcap exposure attributed to that goal.</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Smallcaps carry the deepest drawdowns and the slowest recoveries; they are the worst fit for a near-term goal even within an otherwise acceptable equity ceiling.</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Both conditions must hold. A 4-year goal at exactly 20% smallcap does not fire (strict greater-than). Fires independently of GA-1 and can co-occur with 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Severity is later weighted by the allocation multiplier (PI-1) and reconciled in Arbitration.</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GA-3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Retirement Glide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retirement-type goal is approaching its target date.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type = RETIREMENT AND horizon &lt; 10 years.</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 a gradual, phased increase in debt allocation along a glide path — explicitly NOT an abrupt lump-sum switch.</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De-risking near retirement is correct, but doing it in one step exposes the investor to timing risk. A glide path spreads the transition and the tax impact.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Applies only to RETIREMENT goals. If the goal is already on a glide path, the engine confirms rather than re-recommends. Interacts with TX-3's phased-exit preference.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Coordinates with the Tax Engine so phasing also optimises capital-gains treatment.</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GA-4</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Goal Funding Shortfall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modelled corpus at the goal date is below the goal's target amount.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projected_corpus &lt; target_amount, evaluated at the modelled rate of return.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Raise a goal-funding shortfall flag and surface it ABOVE any instrument-level action for that goal.</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the goal will miss its target, rearranging instruments is cosmetic. The investor needs to know to contribute more, extend the horizon, or adjust the target — a structural conversation, not a switch.</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Uses the central modelled return, not an optimistic one. A marginal shortfall (within the materiality threshold) is flagged as INFO rather than HIGH severity.</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Shortfall flag is given precedence over instrument optimisation in Arbitration (AR-1 family).</w:t>
            </w:r>
          </w:p>
        </w:tc>
      </w:tr>
    </w:tbl>
    <w:p>
      <w:pPr>
        <w:spacing w:after="60"/>
      </w:pPr>
      <w:r>
        <w:rPr>
          <w:rFonts w:ascii="Arial" w:cs="Arial" w:eastAsia="Arial" w:hAnsi="Arial"/>
        </w:rPr>
        <w:t xml:space="preserve"/>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 Score</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closely current allocation matches the horizon-appropriate target. Higher is better.</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Success Probability</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 probability the goal is met, from the simulation engine.</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Risk Mismatch</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Signed gap: current equity minus target equity. Positive = over-exposed, negative = under-exposed.</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10.3  Risk Alignment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Ensure portfolio volatility and drawdown exposure stay within the investor's declared risk capacity, independent of any single goal.</w:t>
      </w:r>
    </w:p>
    <w:p>
      <w:pPr>
        <w:spacing w:after="120" w:line="276"/>
      </w:pPr>
      <w:r>
        <w:rPr>
          <w:rFonts w:ascii="Arial" w:cs="Arial" w:eastAsia="Arial" w:hAnsi="Arial"/>
          <w:b/>
          <w:bCs/>
        </w:rPr>
        <w:t xml:space="preserve">Execution stage.  </w:t>
      </w:r>
      <w:r>
        <w:rPr>
          <w:rFonts w:ascii="Arial" w:cs="Arial" w:eastAsia="Arial" w:hAnsi="Arial"/>
        </w:rPr>
        <w:t xml:space="preserve">Runs after Goal Alignment. Caps are profile-specific.</w:t>
      </w:r>
    </w:p>
    <w:p>
      <w:pPr>
        <w:spacing w:after="120" w:line="276"/>
      </w:pPr>
      <w:r>
        <w:rPr>
          <w:rFonts w:ascii="Arial" w:cs="Arial" w:eastAsia="Arial" w:hAnsi="Arial"/>
          <w:b/>
          <w:bCs/>
        </w:rPr>
        <w:t xml:space="preserve">Primary inputs.  </w:t>
      </w:r>
      <w:r>
        <w:rPr>
          <w:rFonts w:ascii="Arial" w:cs="Arial" w:eastAsia="Arial" w:hAnsi="Arial"/>
        </w:rPr>
        <w:t xml:space="preserve">Declared risk profile, modelled volatility and drawdown, per-instrument and per-category allocations.</w:t>
      </w:r>
    </w:p>
    <w:p>
      <w:pPr>
        <w:spacing w:after="120" w:line="276"/>
      </w:pPr>
      <w:r>
        <w:rPr>
          <w:rFonts w:ascii="Arial" w:cs="Arial" w:eastAsia="Arial" w:hAnsi="Arial"/>
          <w:b/>
          <w:bCs/>
        </w:rPr>
        <w:t xml:space="preserve">Primary outputs.  </w:t>
      </w:r>
      <w:r>
        <w:rPr>
          <w:rFonts w:ascii="Arial" w:cs="Arial" w:eastAsia="Arial" w:hAnsi="Arial"/>
        </w:rPr>
        <w:t xml:space="preserve">Risk Suitability Score, Volatility Mismatch, Drawdown Risk estimate, and cap-breach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Goal risk vs. profile risk</w:t>
            </w:r>
          </w:p>
          <w:p>
            <w:pPr>
              <w:spacing w:after="120" w:line="276"/>
            </w:pPr>
            <w:r>
              <w:rPr>
                <w:rFonts w:ascii="Arial" w:cs="Arial" w:eastAsia="Arial" w:hAnsi="Arial"/>
              </w:rPr>
              <w:t xml:space="preserve">Goal Alignment (10.2) asks “is this allocation right for this objective?” Risk Alignment asks “can this investor stomach this allocation at all?” A portfolio can be goal-appropriate yet still breach the investor's stated tolerance for volatility. Both checks must pass.</w:t>
            </w:r>
          </w:p>
        </w:tc>
      </w:tr>
    </w:tbl>
    <w:p>
      <w:pPr>
        <w:pStyle w:val="Heading3"/>
      </w:pPr>
      <w:r>
        <w:rPr>
          <w:rFonts w:ascii="Arial" w:cs="Arial" w:eastAsia="Arial" w:hAnsi="Arial"/>
          <w:b/>
          <w:bCs/>
        </w:rPr>
        <w:t xml:space="preserve">Rule RA-1 — Conservative-Profile Caps</w:t>
      </w:r>
    </w:p>
    <w:p>
      <w:pPr>
        <w:spacing w:after="120" w:line="276"/>
      </w:pPr>
      <w:r>
        <w:rPr>
          <w:rFonts w:ascii="Arial" w:cs="Arial" w:eastAsia="Arial" w:hAnsi="Arial"/>
        </w:rPr>
        <w:t xml:space="preserve">RA-1 sets hard ceilings on the riskiest exposures for the Conservative profile. Each row is an independent cap; breaching any one triggers a REDUCE recommendation on that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Asset / exposure</w:t>
            </w:r>
          </w:p>
        </w:tc>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Maximum allocation</w:t>
            </w:r>
          </w:p>
        </w:tc>
        <w:tc>
          <w:tcPr>
            <w:tcW w:type="dxa" w:w="44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Why capped</w:t>
            </w:r>
          </w:p>
        </w:tc>
      </w:tr>
      <w:tr>
        <w:tc>
          <w:tcPr>
            <w:tcW w:type="dxa" w:w="2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Smallcap funds</w:t>
            </w:r>
          </w:p>
        </w:tc>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Highest volatility and drawdown of the equity categories.</w:t>
            </w:r>
          </w:p>
        </w:tc>
      </w:tr>
      <w:tr>
        <w:tc>
          <w:tcPr>
            <w:tcW w:type="dxa" w:w="27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Sectoral / thematic funds</w:t>
            </w:r>
          </w:p>
        </w:tc>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w:t>
            </w:r>
          </w:p>
        </w:tc>
        <w:tc>
          <w:tcPr>
            <w:tcW w:type="dxa" w:w="44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Concentrated, undiversified bets; single-sector shocks hit hard.</w:t>
            </w:r>
          </w:p>
        </w:tc>
      </w:tr>
      <w:tr>
        <w:tc>
          <w:tcPr>
            <w:tcW w:type="dxa" w:w="27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Any single direct stock</w:t>
            </w:r>
          </w:p>
        </w:tc>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8%</w:t>
            </w:r>
          </w:p>
        </w:tc>
        <w:tc>
          <w:tcPr>
            <w:tcW w:type="dxa" w:w="44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Idiosyncratic single-company risk; no diversification cushion.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Profile scope of RA-1</w:t>
            </w:r>
          </w:p>
          <w:p>
            <w:pPr>
              <w:spacing w:after="120" w:line="276"/>
            </w:pPr>
            <w:r>
              <w:rPr>
                <w:rFonts w:ascii="Arial" w:cs="Arial" w:eastAsia="Arial" w:hAnsi="Arial"/>
              </w:rPr>
              <w:t xml:space="preserve">The caps above apply to the Conservative profile. The Moderate and Aggressive profiles use their own cap tables, defined in calibration configuration and signed off by Data Science and Compliance. The rule logic is identical across profiles; only the numbers change.</w:t>
            </w:r>
          </w:p>
        </w:tc>
      </w:tr>
    </w:tbl>
    <w:p>
      <w:pPr>
        <w:pStyle w:val="Heading3"/>
      </w:pPr>
      <w:r>
        <w:rPr>
          <w:rFonts w:ascii="Arial" w:cs="Arial" w:eastAsia="Arial" w:hAnsi="Arial"/>
          <w:b/>
          <w:bCs/>
        </w:rPr>
        <w:t xml:space="preserve">Further Rules</w:t>
      </w:r>
    </w:p>
    <w:p>
      <w:pPr>
        <w:keepNext/>
        <w:spacing w:after="60" w:before="180"/>
      </w:pPr>
      <w:r>
        <w:rPr>
          <w:rFonts w:ascii="Consolas" w:cs="Consolas" w:eastAsia="Consolas" w:hAnsi="Consolas"/>
          <w:b/>
          <w:bCs/>
          <w:color w:val="0F3460"/>
          <w:sz w:val="20"/>
          <w:szCs w:val="20"/>
        </w:rPr>
        <w:t xml:space="preserve">RA-2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Volatility Above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 portfolio volatility exceeds the threshold for the investor's risk profile.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modelled_volatility &gt; profile_volatility_threshold (profile-specific, calibration-set).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 REDUCE_RISK, targeting the holdings with the highest marginal risk contribution first.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Reducing the largest marginal-risk contributors lowers portfolio volatility fastest per unit of change, minimising disruption.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Marginal risk, not raw weight, determines order — a small but highly correlated holding can outrank a larger diversified one. At exactly the threshold the rule does not fire.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Uses correlation data from 10.6; severity weighted by PI-1.</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RA-3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Drawdown Beyond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 maximum drawdown exceeds the profile's drawdown tolerance.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modelled_max_drawdown &gt; profile_drawdown_tolerance.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Raise a drawdown-risk mismatch flag.</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Volatility and drawdown are different fears. An investor may tolerate day-to-day swings but not a 40% peak-to-trough fall. Drawdown is flagged separately so the conversation is explicit.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 is modelled over the full lookback, not a single year. The flag is informational unless paired with an RA-2 breach, in which case Arbitration raises severity.</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Often co-occurs with RA-2; Arbitration deduplicates the combined message.</w:t>
            </w:r>
          </w:p>
        </w:tc>
      </w:tr>
    </w:tbl>
    <w:p>
      <w:pPr>
        <w:spacing w:after="60"/>
      </w:pPr>
      <w:r>
        <w:rPr>
          <w:rFonts w:ascii="Arial" w:cs="Arial" w:eastAsia="Arial" w:hAnsi="Arial"/>
        </w:rPr>
        <w:t xml:space="preserve"/>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Suitability Score</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Overall fit between portfolio risk and declared capacity.</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Volatility Mismatch</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Gap between modelled volatility and the profile threshold.</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 Risk estimate</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 worst-case peak-to-trough decline.</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10.4  Portfolio Analytics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Evaluate the structure of the portfolio as a whole — how many real bets it represents, how concentrated it is, how complex it is to manage — independent of any single instrument's quality.</w:t>
      </w:r>
    </w:p>
    <w:p>
      <w:pPr>
        <w:spacing w:after="120" w:line="276"/>
      </w:pPr>
      <w:r>
        <w:rPr>
          <w:rFonts w:ascii="Arial" w:cs="Arial" w:eastAsia="Arial" w:hAnsi="Arial"/>
          <w:b/>
          <w:bCs/>
        </w:rPr>
        <w:t xml:space="preserve">Execution stage.  </w:t>
      </w:r>
      <w:r>
        <w:rPr>
          <w:rFonts w:ascii="Arial" w:cs="Arial" w:eastAsia="Arial" w:hAnsi="Arial"/>
        </w:rPr>
        <w:t xml:space="preserve">Runs after Risk Alignment. Suppressed at portfolio level if DV-1 fired.</w:t>
      </w:r>
    </w:p>
    <w:p>
      <w:pPr>
        <w:spacing w:after="120" w:line="276"/>
      </w:pPr>
      <w:r>
        <w:rPr>
          <w:rFonts w:ascii="Arial" w:cs="Arial" w:eastAsia="Arial" w:hAnsi="Arial"/>
          <w:b/>
          <w:bCs/>
        </w:rPr>
        <w:t xml:space="preserve">Primary inputs.  </w:t>
      </w:r>
      <w:r>
        <w:rPr>
          <w:rFonts w:ascii="Arial" w:cs="Arial" w:eastAsia="Arial" w:hAnsi="Arial"/>
        </w:rPr>
        <w:t xml:space="preserve">Normalised holdings with weights, AMC mapping, fund category mapping.</w:t>
      </w:r>
    </w:p>
    <w:p>
      <w:pPr>
        <w:spacing w:after="120" w:line="276"/>
      </w:pPr>
      <w:r>
        <w:rPr>
          <w:rFonts w:ascii="Arial" w:cs="Arial" w:eastAsia="Arial" w:hAnsi="Arial"/>
          <w:b/>
          <w:bCs/>
        </w:rPr>
        <w:t xml:space="preserve">Primary outputs.  </w:t>
      </w:r>
      <w:r>
        <w:rPr>
          <w:rFonts w:ascii="Arial" w:cs="Arial" w:eastAsia="Arial" w:hAnsi="Arial"/>
        </w:rPr>
        <w:t xml:space="preserve">Diversification Score, Complexity Score, Concentration Score, and the effective number of holdings.</w:t>
      </w:r>
    </w:p>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PA-1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Excessive Fund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portfolio holds many equity funds AND adding more yields negligible diversification benefit.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Number of equity funds &gt; 8 AND marginal diversification gain &lt; the negligible-gain threshold.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 SIMPLIFY — consolidate overlapping or redundant funds.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Beyond roughly 8 well-chosen funds, additional funds rarely diversify further; they only add cost, overlap, and management overhead.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Both conditions are required — 9 genuinely distinct funds do NOT trigger SIMPLIFY. Marginal gain is measured by the effective-holdings delta of the marginal fund.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Pairs with the Overlap Engine (10.5) to identify which funds to merge.</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PA-3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Single-AMC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Exposure to a single Asset Management Company exceeds the AMC cap.</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Any single AMC &gt; 40% of portfolio value.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 reducing AMC concentration.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Heavy single-AMC exposure adds operational and governance risk — a manager-house or process problem hits a large slice of the portfolio at once.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Aggregated across all funds from that AMC. At exactly 40% the rule does not fire (strict greater-than).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Independent; severity weighted by PI-1.</w:t>
            </w:r>
          </w:p>
        </w:tc>
      </w:tr>
    </w:tbl>
    <w:p>
      <w:pPr>
        <w:spacing w:after="60"/>
      </w:pPr>
      <w:r>
        <w:rPr>
          <w:rFonts w:ascii="Arial" w:cs="Arial" w:eastAsia="Arial" w:hAnsi="Arial"/>
        </w:rPr>
        <w:t xml:space="preserve"/>
      </w:r>
    </w:p>
    <w:p>
      <w:pPr>
        <w:pStyle w:val="Heading3"/>
      </w:pPr>
      <w:r>
        <w:rPr>
          <w:rFonts w:ascii="Arial" w:cs="Arial" w:eastAsia="Arial" w:hAnsi="Arial"/>
          <w:b/>
          <w:bCs/>
        </w:rPr>
        <w:t xml:space="preserve">Rule PA-2 — Effective Number of Holdings</w:t>
      </w:r>
    </w:p>
    <w:p>
      <w:pPr>
        <w:spacing w:after="120" w:line="276"/>
      </w:pPr>
      <w:r>
        <w:rPr>
          <w:rFonts w:ascii="Arial" w:cs="Arial" w:eastAsia="Arial" w:hAnsi="Arial"/>
        </w:rPr>
        <w:t xml:space="preserve">PA-2 is a metric definition, not a conditional. The effective number of holdings is the inverse Herfindahl index of portfolio weights — it answers “how many equally-sized holdings does this portfolio actually behave like?” A portfolio dominated by one large position behaves like far fewer holdings than it nominally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effective_holdings = 1 / Sum( weight_i ^ 2 )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where weight_i is the fractional allocation to holding i,</w:t>
            </w:r>
          </w:p>
          <w:p>
            <w:pPr>
              <w:spacing w:after="0" w:line="264"/>
            </w:pPr>
            <w:r>
              <w:rPr>
                <w:rFonts w:ascii="Consolas" w:cs="Consolas" w:eastAsia="Consolas" w:hAnsi="Consolas"/>
                <w:sz w:val="19"/>
                <w:szCs w:val="19"/>
              </w:rPr>
              <w:t xml:space="preserve">  and Sum( weight_i ) = 1.0 over all holdings.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Worked examples:</w:t>
            </w:r>
          </w:p>
          <w:p>
            <w:pPr>
              <w:spacing w:after="0" w:line="264"/>
            </w:pPr>
            <w:r>
              <w:rPr>
                <w:rFonts w:ascii="Consolas" w:cs="Consolas" w:eastAsia="Consolas" w:hAnsi="Consolas"/>
                <w:sz w:val="19"/>
                <w:szCs w:val="19"/>
              </w:rPr>
              <w:t xml:space="preserve">  10 holdings at 10% each   -&gt; 1 / (10 * 0.10^2)        = 1 / 0.10  = 10.0</w:t>
            </w:r>
          </w:p>
          <w:p>
            <w:pPr>
              <w:spacing w:after="0" w:line="264"/>
            </w:pPr>
            <w:r>
              <w:rPr>
                <w:rFonts w:ascii="Consolas" w:cs="Consolas" w:eastAsia="Consolas" w:hAnsi="Consolas"/>
                <w:sz w:val="19"/>
                <w:szCs w:val="19"/>
              </w:rPr>
              <w:t xml:space="preserve">  1 holding at 60% + 8 at 5% -&gt; 1 / (0.60^2 + 8*0.05^2) = 1 / 0.38  =  2.6</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Interpretation: the second portfolio nominally has 9 holdings</w:t>
            </w:r>
          </w:p>
          <w:p>
            <w:pPr>
              <w:spacing w:after="0" w:line="264"/>
            </w:pPr>
            <w:r>
              <w:rPr>
                <w:rFonts w:ascii="Consolas" w:cs="Consolas" w:eastAsia="Consolas" w:hAnsi="Consolas"/>
                <w:sz w:val="19"/>
                <w:szCs w:val="19"/>
              </w:rPr>
              <w:t xml:space="preserve">but behaves like only ~2.6 — it is far more concentrated than</w:t>
            </w:r>
          </w:p>
          <w:p>
            <w:pPr>
              <w:spacing w:after="0" w:line="264"/>
            </w:pPr>
            <w:r>
              <w:rPr>
                <w:rFonts w:ascii="Consolas" w:cs="Consolas" w:eastAsia="Consolas" w:hAnsi="Consolas"/>
                <w:sz w:val="19"/>
                <w:szCs w:val="19"/>
              </w:rPr>
              <w:t xml:space="preserve">the holding count alone suggests.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Why effective holdings matters</w:t>
            </w:r>
          </w:p>
          <w:p>
            <w:pPr>
              <w:spacing w:after="120" w:line="276"/>
            </w:pPr>
            <w:r>
              <w:rPr>
                <w:rFonts w:ascii="Arial" w:cs="Arial" w:eastAsia="Arial" w:hAnsi="Arial"/>
              </w:rPr>
              <w:t xml:space="preserve">A naive count of holdings is misleading. Two portfolios can each hold 9 funds, yet one is genuinely diversified and the other is a single large bet wearing a diversified costume. Effective holdings exposes the difference in one number, and it feeds the Diversification and Concentration scores.</w:t>
            </w:r>
          </w:p>
        </w:tc>
      </w:tr>
    </w:tbl>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Diversification Score</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well risk is spread across genuinely distinct exposures.</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Complexity Score</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much management overhead the portfolio structure imposes.</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Concentration Score</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much the portfolio depends on its largest positions.</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Effective number of holdings</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Inverse Herfindahl index of weights, per PA-2.</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10.5  Overlap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Detect redundant exposure — cases where two holdings own substantially the same underlying securities, so the investor is paying two fees for one bet.</w:t>
      </w:r>
    </w:p>
    <w:p>
      <w:pPr>
        <w:spacing w:after="120" w:line="276"/>
      </w:pPr>
      <w:r>
        <w:rPr>
          <w:rFonts w:ascii="Arial" w:cs="Arial" w:eastAsia="Arial" w:hAnsi="Arial"/>
          <w:b/>
          <w:bCs/>
        </w:rPr>
        <w:t xml:space="preserve">Execution stage.  </w:t>
      </w:r>
      <w:r>
        <w:rPr>
          <w:rFonts w:ascii="Arial" w:cs="Arial" w:eastAsia="Arial" w:hAnsi="Arial"/>
        </w:rPr>
        <w:t xml:space="preserve">Runs after Portfolio Analytics. Needs holdings-level disclosure for each fund.</w:t>
      </w:r>
    </w:p>
    <w:p>
      <w:pPr>
        <w:spacing w:after="120" w:line="276"/>
      </w:pPr>
      <w:r>
        <w:rPr>
          <w:rFonts w:ascii="Arial" w:cs="Arial" w:eastAsia="Arial" w:hAnsi="Arial"/>
          <w:b/>
          <w:bCs/>
        </w:rPr>
        <w:t xml:space="preserve">Primary inputs.  </w:t>
      </w:r>
      <w:r>
        <w:rPr>
          <w:rFonts w:ascii="Arial" w:cs="Arial" w:eastAsia="Arial" w:hAnsi="Arial"/>
        </w:rPr>
        <w:t xml:space="preserve">Fund portfolio disclosures, holding weights.</w:t>
      </w:r>
    </w:p>
    <w:p>
      <w:pPr>
        <w:spacing w:after="120" w:line="276"/>
      </w:pPr>
      <w:r>
        <w:rPr>
          <w:rFonts w:ascii="Arial" w:cs="Arial" w:eastAsia="Arial" w:hAnsi="Arial"/>
          <w:b/>
          <w:bCs/>
        </w:rPr>
        <w:t xml:space="preserve">Primary outputs.  </w:t>
      </w:r>
      <w:r>
        <w:rPr>
          <w:rFonts w:ascii="Arial" w:cs="Arial" w:eastAsia="Arial" w:hAnsi="Arial"/>
        </w:rPr>
        <w:t xml:space="preserve">A pairwise overlap matrix and a ranked list of consolidation candidates, each with a keep/exit verdict.</w:t>
      </w:r>
    </w:p>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OV-1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High Overlap — Consolidation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pairwise holdings overlap between two funds is high.</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&gt; 70%.</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 the pair as a high-priority consolidation candidate and run OV-3 to decide which fund to keep.</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Above 70% shared holdings, two funds are effectively one position with duplicated cost; consolidating reduces fees and complexity with little change in exposure.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At exactly 70% the rule does not fire — OV-2 handles 50–70%. Overlap is symmetric: overlap(a,b) = overlap(b,a).</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Triggers OV-3; severity is weighted by PI-2 weighted overlap.</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OV-2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Moderate Overlap — Cleanup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pairwise overlap is moderate — noticeable but not severe.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between 50% and 70% (inclusive of 50, exclusive of 70).</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 the pair as a lower-priority cleanup item.</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Moderate overlap is worth noting but rarely worth a transaction on its own; it is surfaced for awareness and batched with higher-priority actions.</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Exactly 50% fires OV-2; exactly 70% fires OV-1. The two rules partition the 50–100% range without gap or overlap.</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Lower priority than OV-1 in the consolidation list.</w:t>
            </w:r>
          </w:p>
        </w:tc>
      </w:tr>
    </w:tbl>
    <w:p>
      <w:pPr>
        <w:spacing w:after="60"/>
      </w:pPr>
      <w:r>
        <w:rPr>
          <w:rFonts w:ascii="Arial" w:cs="Arial" w:eastAsia="Arial" w:hAnsi="Arial"/>
        </w:rPr>
        <w:t xml:space="preserve"/>
      </w:r>
    </w:p>
    <w:p>
      <w:pPr>
        <w:pStyle w:val="Heading3"/>
      </w:pPr>
      <w:r>
        <w:rPr>
          <w:rFonts w:ascii="Arial" w:cs="Arial" w:eastAsia="Arial" w:hAnsi="Arial"/>
          <w:b/>
          <w:bCs/>
        </w:rPr>
        <w:t xml:space="preserve">Rule OV-3 — Keep-Fund Score</w:t>
      </w:r>
    </w:p>
    <w:p>
      <w:pPr>
        <w:spacing w:after="120" w:line="276"/>
      </w:pPr>
      <w:r>
        <w:rPr>
          <w:rFonts w:ascii="Arial" w:cs="Arial" w:eastAsia="Arial" w:hAnsi="Arial"/>
        </w:rPr>
        <w:t xml:space="preserve">When OV-1 flags a pair, the engine must decide which fund to retain. OV-3 computes a Keep Score for each fund; the higher score is kept and the other becomes the exit candidate. All component scores are normalised to 0–1 and the weights sum to exactly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KEEP_SCORE =</w:t>
            </w:r>
          </w:p>
          <w:p>
            <w:pPr>
              <w:spacing w:after="0" w:line="264"/>
            </w:pPr>
            <w:r>
              <w:rPr>
                <w:rFonts w:ascii="Consolas" w:cs="Consolas" w:eastAsia="Consolas" w:hAnsi="Consolas"/>
                <w:sz w:val="19"/>
                <w:szCs w:val="19"/>
              </w:rPr>
              <w:t xml:space="preserve">    0.35 * NIDP_score              // net investor-disclosed performance</w:t>
            </w:r>
          </w:p>
          <w:p>
            <w:pPr>
              <w:spacing w:after="0" w:line="264"/>
            </w:pPr>
            <w:r>
              <w:rPr>
                <w:rFonts w:ascii="Consolas" w:cs="Consolas" w:eastAsia="Consolas" w:hAnsi="Consolas"/>
                <w:sz w:val="19"/>
                <w:szCs w:val="19"/>
              </w:rPr>
              <w:t xml:space="preserve">  + 0.20 * consistency_score       // stability of returns over time</w:t>
            </w:r>
          </w:p>
          <w:p>
            <w:pPr>
              <w:spacing w:after="0" w:line="264"/>
            </w:pPr>
            <w:r>
              <w:rPr>
                <w:rFonts w:ascii="Consolas" w:cs="Consolas" w:eastAsia="Consolas" w:hAnsi="Consolas"/>
                <w:sz w:val="19"/>
                <w:szCs w:val="19"/>
              </w:rPr>
              <w:t xml:space="preserve">  + 0.15 * risk_adjusted_return    // return per unit of risk taken</w:t>
            </w:r>
          </w:p>
          <w:p>
            <w:pPr>
              <w:spacing w:after="0" w:line="264"/>
            </w:pPr>
            <w:r>
              <w:rPr>
                <w:rFonts w:ascii="Consolas" w:cs="Consolas" w:eastAsia="Consolas" w:hAnsi="Consolas"/>
                <w:sz w:val="19"/>
                <w:szCs w:val="19"/>
              </w:rPr>
              <w:t xml:space="preserve">  + 0.10 * expense_score           // lower expense ratio -&gt; higher score</w:t>
            </w:r>
          </w:p>
          <w:p>
            <w:pPr>
              <w:spacing w:after="0" w:line="264"/>
            </w:pPr>
            <w:r>
              <w:rPr>
                <w:rFonts w:ascii="Consolas" w:cs="Consolas" w:eastAsia="Consolas" w:hAnsi="Consolas"/>
                <w:sz w:val="19"/>
                <w:szCs w:val="19"/>
              </w:rPr>
              <w:t xml:space="preserve">  + 0.10 * manager_stability       // tenure / continuity of management</w:t>
            </w:r>
          </w:p>
          <w:p>
            <w:pPr>
              <w:spacing w:after="0" w:line="264"/>
            </w:pPr>
            <w:r>
              <w:rPr>
                <w:rFonts w:ascii="Consolas" w:cs="Consolas" w:eastAsia="Consolas" w:hAnsi="Consolas"/>
                <w:sz w:val="19"/>
                <w:szCs w:val="19"/>
              </w:rPr>
              <w:t xml:space="preserve">  + 0.10 * portfolio_fit           // fit with the rest of the portfolio</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All components normalised to 0-1.  Weights sum to 1.00.</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13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c>
          <w:tcPr>
            <w:tcW w:type="dxa" w:w="56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What it rewards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NIDP score</w:t>
            </w:r>
          </w:p>
        </w:tc>
        <w:tc>
          <w:tcPr>
            <w:tcW w:type="dxa" w:w="1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0.35</w:t>
            </w:r>
          </w:p>
        </w:tc>
        <w:tc>
          <w:tcPr>
            <w:tcW w:type="dxa" w:w="5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fund the investor has actually earned, net of cost.</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Consistency score</w:t>
            </w:r>
          </w:p>
        </w:tc>
        <w:tc>
          <w:tcPr>
            <w:tcW w:type="dxa" w:w="1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0.20</w:t>
            </w:r>
          </w:p>
        </w:tc>
        <w:tc>
          <w:tcPr>
            <w:tcW w:type="dxa" w:w="5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Returns delivered steadily, not in lucky bursts.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Risk-adjusted return</w:t>
            </w:r>
          </w:p>
        </w:tc>
        <w:tc>
          <w:tcPr>
            <w:tcW w:type="dxa" w:w="1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0.15</w:t>
            </w:r>
          </w:p>
        </w:tc>
        <w:tc>
          <w:tcPr>
            <w:tcW w:type="dxa" w:w="5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Return earned per unit of risk taken.</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Expense score</w:t>
            </w:r>
          </w:p>
        </w:tc>
        <w:tc>
          <w:tcPr>
            <w:tcW w:type="dxa" w:w="1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Lower ongoing cost — lower expense raises the score.</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Manager stability</w:t>
            </w:r>
          </w:p>
        </w:tc>
        <w:tc>
          <w:tcPr>
            <w:tcW w:type="dxa" w:w="1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6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Continuity of the management team and process.</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fit</w:t>
            </w:r>
          </w:p>
        </w:tc>
        <w:tc>
          <w:tcPr>
            <w:tcW w:type="dxa" w:w="1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6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well the fund complements the remaining holdings.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OV-3 specification</w:t>
            </w:r>
          </w:p>
          <w:p>
            <w:pPr>
              <w:spacing w:after="120" w:line="276"/>
            </w:pPr>
            <w:r>
              <w:rPr>
                <w:rFonts w:ascii="Arial" w:cs="Arial" w:eastAsia="Arial" w:hAnsi="Arial"/>
                <w:b/>
                <w:bCs/>
              </w:rPr>
              <w:t xml:space="preserve">Trigger.  </w:t>
            </w:r>
            <w:r>
              <w:rPr>
                <w:rFonts w:ascii="Arial" w:cs="Arial" w:eastAsia="Arial" w:hAnsi="Arial"/>
              </w:rPr>
              <w:t xml:space="preserve">Invoked whenever OV-1 flags a pair.</w:t>
            </w:r>
          </w:p>
          <w:p>
            <w:pPr>
              <w:spacing w:after="120" w:line="276"/>
            </w:pPr>
            <w:r>
              <w:rPr>
                <w:rFonts w:ascii="Arial" w:cs="Arial" w:eastAsia="Arial" w:hAnsi="Arial"/>
                <w:b/>
                <w:bCs/>
              </w:rPr>
              <w:t xml:space="preserve">Action.  </w:t>
            </w:r>
            <w:r>
              <w:rPr>
                <w:rFonts w:ascii="Arial" w:cs="Arial" w:eastAsia="Arial" w:hAnsi="Arial"/>
              </w:rPr>
              <w:t xml:space="preserve">Compute KEEP_SCORE for both funds; the higher score is retained, the lower becomes the exit candidate in the consolidation recommendation.</w:t>
            </w:r>
          </w:p>
          <w:p>
            <w:pPr>
              <w:spacing w:after="120" w:line="276"/>
            </w:pPr>
            <w:r>
              <w:rPr>
                <w:rFonts w:ascii="Arial" w:cs="Arial" w:eastAsia="Arial" w:hAnsi="Arial"/>
                <w:b/>
                <w:bCs/>
              </w:rPr>
              <w:t xml:space="preserve">Edge cases.  </w:t>
            </w:r>
            <w:r>
              <w:rPr>
                <w:rFonts w:ascii="Arial" w:cs="Arial" w:eastAsia="Arial" w:hAnsi="Arial"/>
              </w:rPr>
              <w:t xml:space="preserve">If the two scores are within a small tie-band, the engine keeps the lower-cost fund as the tie-breaker and records the tie in the trace. A fund with PARTIAL data quality cannot be the keeper unless the alternative is also PARTIAL.</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10.6  Correlation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Detect behavioural similarity that holdings-overlap analysis misses. Two funds can hold entirely different securities yet still rise and fall together — that is hidden, undiversified risk.</w:t>
      </w:r>
    </w:p>
    <w:p>
      <w:pPr>
        <w:spacing w:after="120" w:line="276"/>
      </w:pPr>
      <w:r>
        <w:rPr>
          <w:rFonts w:ascii="Arial" w:cs="Arial" w:eastAsia="Arial" w:hAnsi="Arial"/>
          <w:b/>
          <w:bCs/>
        </w:rPr>
        <w:t xml:space="preserve">Execution stage.  </w:t>
      </w:r>
      <w:r>
        <w:rPr>
          <w:rFonts w:ascii="Arial" w:cs="Arial" w:eastAsia="Arial" w:hAnsi="Arial"/>
        </w:rPr>
        <w:t xml:space="preserve">Runs after the Overlap Engine. Needs sufficient shared return history.</w:t>
      </w:r>
    </w:p>
    <w:p>
      <w:pPr>
        <w:spacing w:after="120" w:line="276"/>
      </w:pPr>
      <w:r>
        <w:rPr>
          <w:rFonts w:ascii="Arial" w:cs="Arial" w:eastAsia="Arial" w:hAnsi="Arial"/>
          <w:b/>
          <w:bCs/>
        </w:rPr>
        <w:t xml:space="preserve">Primary inputs.  </w:t>
      </w:r>
      <w:r>
        <w:rPr>
          <w:rFonts w:ascii="Arial" w:cs="Arial" w:eastAsia="Arial" w:hAnsi="Arial"/>
        </w:rPr>
        <w:t xml:space="preserve">Rolling return series for each holding.</w:t>
      </w:r>
    </w:p>
    <w:p>
      <w:pPr>
        <w:spacing w:after="120" w:line="276"/>
      </w:pPr>
      <w:r>
        <w:rPr>
          <w:rFonts w:ascii="Arial" w:cs="Arial" w:eastAsia="Arial" w:hAnsi="Arial"/>
          <w:b/>
          <w:bCs/>
        </w:rPr>
        <w:t xml:space="preserve">Primary outputs.  </w:t>
      </w:r>
      <w:r>
        <w:rPr>
          <w:rFonts w:ascii="Arial" w:cs="Arial" w:eastAsia="Arial" w:hAnsi="Arial"/>
        </w:rPr>
        <w:t xml:space="preserve">A correlation matrix and a ranked list of diversification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Overlap vs. correlation</w:t>
            </w:r>
          </w:p>
          <w:p>
            <w:pPr>
              <w:spacing w:after="120" w:line="276"/>
            </w:pPr>
            <w:r>
              <w:rPr>
                <w:rFonts w:ascii="Arial" w:cs="Arial" w:eastAsia="Arial" w:hAnsi="Arial"/>
              </w:rPr>
              <w:t xml:space="preserve">Overlap (10.5) asks “do these two funds own the same things?” Correlation asks “do these two funds behave the same way?” A large-cap fund and a thematic fund may share almost no holdings yet move in lockstep. Correlation catches the redundancy that a holdings comparison cannot.</w:t>
            </w:r>
          </w:p>
        </w:tc>
      </w:tr>
    </w:tbl>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CR-1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Behavioural Redundancy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rolling return correlation between two holdings is very high.</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Correlation &gt; 0.85 over the lookback window.</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 the pair behaviourally redundant, even when their holdings overlap is low.</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two holdings move together &gt;85% of the time, holding both adds cost and complexity without adding diversification — the second holding is doing the first one's job.</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At exactly 0.85 the rule does not fire. Correlation is computed on rolling returns; a brief spurious spike does not qualify — the window smooths 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Complements OV-1; a pair can be flagged by one, the other, or both.</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CR-data</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Insufficient Shared History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Two holdings do not share enough overlapping return history to compute a reliable correlation.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Shared history &lt; 36 months (default lookback window).</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Report the pair with data_quality = PARTIAL. Do NOT assume the pair is uncorrelated.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Absence of evidence is not evidence of absence. A newly launched fund with 6 months of history may be highly correlated — the platform must not silently treat unknown as safe.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window is configurable; 36 months is the default. Pairs below the window are excluded from the diversification-opportunity ranking, not ranked as good.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Feeds the data_quality signal consumed by Arbitration and Copilot.</w:t>
            </w:r>
          </w:p>
        </w:tc>
      </w:tr>
    </w:tbl>
    <w:p>
      <w:pPr>
        <w:spacing w:after="60"/>
      </w:pPr>
      <w:r>
        <w:rPr>
          <w:rFonts w:ascii="Arial" w:cs="Arial" w:eastAsia="Arial" w:hAnsi="Arial"/>
        </w:rPr>
        <w:t xml:space="preserve"/>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Correlation matrix</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Pairwise rolling-return correlation across all holdings with sufficient history.</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Diversification opportunities</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Ranked list of changes that would most reduce behavioural redundancy.</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10.7  Portfolio Impact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Convert instrument-level signals into portfolio-aware recommendations by weighting every signal's severity with the holding's allocation and its marginal contribution to portfolio risk and return.</w:t>
      </w:r>
    </w:p>
    <w:p>
      <w:pPr>
        <w:spacing w:after="120" w:line="276"/>
      </w:pPr>
      <w:r>
        <w:rPr>
          <w:rFonts w:ascii="Arial" w:cs="Arial" w:eastAsia="Arial" w:hAnsi="Arial"/>
          <w:b/>
          <w:bCs/>
        </w:rPr>
        <w:t xml:space="preserve">Execution stage.  </w:t>
      </w:r>
      <w:r>
        <w:rPr>
          <w:rFonts w:ascii="Arial" w:cs="Arial" w:eastAsia="Arial" w:hAnsi="Arial"/>
        </w:rPr>
        <w:t xml:space="preserve">Runs after Correlation. Its multipliers are applied as instrument scores are finalised.</w:t>
      </w:r>
    </w:p>
    <w:p>
      <w:pPr>
        <w:spacing w:after="120" w:line="276"/>
      </w:pPr>
      <w:r>
        <w:rPr>
          <w:rFonts w:ascii="Arial" w:cs="Arial" w:eastAsia="Arial" w:hAnsi="Arial"/>
          <w:b/>
          <w:bCs/>
        </w:rPr>
        <w:t xml:space="preserve">Primary inputs.  </w:t>
      </w:r>
      <w:r>
        <w:rPr>
          <w:rFonts w:ascii="Arial" w:cs="Arial" w:eastAsia="Arial" w:hAnsi="Arial"/>
        </w:rPr>
        <w:t xml:space="preserve">Instrument-level base scores, allocation weights, goal and risk multipliers.</w:t>
      </w:r>
    </w:p>
    <w:p>
      <w:pPr>
        <w:spacing w:after="120" w:line="276"/>
      </w:pPr>
      <w:r>
        <w:rPr>
          <w:rFonts w:ascii="Arial" w:cs="Arial" w:eastAsia="Arial" w:hAnsi="Arial"/>
          <w:b/>
          <w:bCs/>
        </w:rPr>
        <w:t xml:space="preserve">Primary outputs.  </w:t>
      </w:r>
      <w:r>
        <w:rPr>
          <w:rFonts w:ascii="Arial" w:cs="Arial" w:eastAsia="Arial" w:hAnsi="Arial"/>
        </w:rPr>
        <w:t xml:space="preserve">Weighted overlap, weighted concentration, marginal risk contribution, allocation efficiency, and the final priority score for each candidate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Core principle</w:t>
            </w:r>
          </w:p>
          <w:p>
            <w:pPr>
              <w:spacing w:after="120" w:line="276"/>
            </w:pPr>
            <w:r>
              <w:rPr>
                <w:rFonts w:ascii="Arial" w:cs="Arial" w:eastAsia="Arial" w:hAnsi="Arial"/>
              </w:rPr>
              <w:t xml:space="preserve">A poor-quality holding at 2% of the portfolio and the same poor-quality holding at 35% must never produce equal severity. Impact is a function of BOTH instrument quality and allocation weight. This engine is what makes a recommendation list proportionate — it stops the platform from shouting about a rounding-error position.</w:t>
            </w:r>
          </w:p>
        </w:tc>
      </w:tr>
    </w:tbl>
    <w:p>
      <w:pPr>
        <w:pStyle w:val="Heading3"/>
      </w:pPr>
      <w:r>
        <w:rPr>
          <w:rFonts w:ascii="Arial" w:cs="Arial" w:eastAsia="Arial" w:hAnsi="Arial"/>
          <w:b/>
          <w:bCs/>
        </w:rPr>
        <w:t xml:space="preserve">Rule PI-1 — Allocation Impact Multiplier</w:t>
      </w:r>
    </w:p>
    <w:p>
      <w:pPr>
        <w:spacing w:after="120" w:line="276"/>
      </w:pPr>
      <w:r>
        <w:rPr>
          <w:rFonts w:ascii="Arial" w:cs="Arial" w:eastAsia="Arial" w:hAnsi="Arial"/>
        </w:rPr>
        <w:t xml:space="preserve">PI-1 maps a holding's allocation weight to a severity multiplier. The multiplier scales the raw instrument signal so that the same defect in a large position outranks it in a small one. This is a step function, evaluated per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Allocation weight</w:t>
            </w:r>
          </w:p>
        </w:tc>
        <w:tc>
          <w:tcPr>
            <w:tcW w:type="dxa" w:w="21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Severity multiplier</w:t>
            </w:r>
          </w:p>
        </w:tc>
        <w:tc>
          <w:tcPr>
            <w:tcW w:type="dxa" w:w="4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Effect on a signal</w:t>
            </w:r>
          </w:p>
        </w:tc>
      </w:tr>
      <w:tr>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Under 2%</w:t>
            </w:r>
          </w:p>
        </w:tc>
        <w:tc>
          <w:tcPr>
            <w:tcW w:type="dxa" w:w="2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0.4</w:t>
            </w:r>
          </w:p>
        </w:tc>
        <w:tc>
          <w:tcPr>
            <w:tcW w:type="dxa" w:w="4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Strongly damped — a minor position barely registers.</w:t>
            </w:r>
          </w:p>
        </w:tc>
      </w:tr>
      <w:tr>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 to 5%</w:t>
            </w:r>
          </w:p>
        </w:tc>
        <w:tc>
          <w:tcPr>
            <w:tcW w:type="dxa" w:w="2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0.7</w:t>
            </w:r>
          </w:p>
        </w:tc>
        <w:tc>
          <w:tcPr>
            <w:tcW w:type="dxa" w:w="4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Damped — noticeable but secondary.</w:t>
            </w:r>
          </w:p>
        </w:tc>
      </w:tr>
      <w:tr>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 to 10%</w:t>
            </w:r>
          </w:p>
        </w:tc>
        <w:tc>
          <w:tcPr>
            <w:tcW w:type="dxa" w:w="2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c>
          <w:tcPr>
            <w:tcW w:type="dxa" w:w="4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Neutral — signal passes through unchanged.</w:t>
            </w:r>
          </w:p>
        </w:tc>
      </w:tr>
      <w:tr>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 to 20%</w:t>
            </w:r>
          </w:p>
        </w:tc>
        <w:tc>
          <w:tcPr>
            <w:tcW w:type="dxa" w:w="2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1.3</w:t>
            </w:r>
          </w:p>
        </w:tc>
        <w:tc>
          <w:tcPr>
            <w:tcW w:type="dxa" w:w="4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Amplified — a large position raises urgency.</w:t>
            </w:r>
          </w:p>
        </w:tc>
      </w:tr>
      <w:tr>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 20%</w:t>
            </w:r>
          </w:p>
        </w:tc>
        <w:tc>
          <w:tcPr>
            <w:tcW w:type="dxa" w:w="2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1.7</w:t>
            </w:r>
          </w:p>
        </w:tc>
        <w:tc>
          <w:tcPr>
            <w:tcW w:type="dxa" w:w="4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Strongly amplified — a dominant position demands attention.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PI-1 specification</w:t>
            </w:r>
          </w:p>
          <w:p>
            <w:pPr>
              <w:spacing w:after="120" w:line="276"/>
            </w:pPr>
            <w:r>
              <w:rPr>
                <w:rFonts w:ascii="Arial" w:cs="Arial" w:eastAsia="Arial" w:hAnsi="Arial"/>
                <w:b/>
                <w:bCs/>
              </w:rPr>
              <w:t xml:space="preserve">Trigger.  </w:t>
            </w:r>
            <w:r>
              <w:rPr>
                <w:rFonts w:ascii="Arial" w:cs="Arial" w:eastAsia="Arial" w:hAnsi="Arial"/>
              </w:rPr>
              <w:t xml:space="preserve">Applied to every holding that carries an instrument-level signal.</w:t>
            </w:r>
          </w:p>
          <w:p>
            <w:pPr>
              <w:spacing w:after="120" w:line="276"/>
            </w:pPr>
            <w:r>
              <w:rPr>
                <w:rFonts w:ascii="Arial" w:cs="Arial" w:eastAsia="Arial" w:hAnsi="Arial"/>
                <w:b/>
                <w:bCs/>
              </w:rPr>
              <w:t xml:space="preserve">Threshold.  </w:t>
            </w:r>
            <w:r>
              <w:rPr>
                <w:rFonts w:ascii="Arial" w:cs="Arial" w:eastAsia="Arial" w:hAnsi="Arial"/>
              </w:rPr>
              <w:t xml:space="preserve">Band edges at 2%, 5%, 10%, 20%. Each band is inclusive of its lower edge.</w:t>
            </w:r>
          </w:p>
          <w:p>
            <w:pPr>
              <w:spacing w:after="120" w:line="276"/>
            </w:pPr>
            <w:r>
              <w:rPr>
                <w:rFonts w:ascii="Arial" w:cs="Arial" w:eastAsia="Arial" w:hAnsi="Arial"/>
                <w:b/>
                <w:bCs/>
              </w:rPr>
              <w:t xml:space="preserve">Edge cases.  </w:t>
            </w:r>
            <w:r>
              <w:rPr>
                <w:rFonts w:ascii="Arial" w:cs="Arial" w:eastAsia="Arial" w:hAnsi="Arial"/>
              </w:rPr>
              <w:t xml:space="preserve">A holding at exactly 10% uses the 10–20% band (multiplier 1.3). The multiplier is 1.0 — neutral — only in the 5–10% band, so mid-sized holdings are treated as the baseline.</w:t>
            </w:r>
          </w:p>
        </w:tc>
      </w:tr>
    </w:tbl>
    <w:p>
      <w:pPr>
        <w:pStyle w:val="Heading3"/>
      </w:pPr>
      <w:r>
        <w:rPr>
          <w:rFonts w:ascii="Arial" w:cs="Arial" w:eastAsia="Arial" w:hAnsi="Arial"/>
          <w:b/>
          <w:bCs/>
        </w:rPr>
        <w:t xml:space="preserve">Rule PI-2 — Weighted Overlap</w:t>
      </w:r>
    </w:p>
    <w:p>
      <w:pPr>
        <w:spacing w:after="120" w:line="276"/>
      </w:pPr>
      <w:r>
        <w:rPr>
          <w:rFonts w:ascii="Arial" w:cs="Arial" w:eastAsia="Arial" w:hAnsi="Arial"/>
        </w:rPr>
        <w:t xml:space="preserve">PI-2 rescales a raw overlap percentage by how much money is actually exposed to it. A 90% overlap between two tiny holdings barely matters; the same overlap between two large holdings is severe.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weighted_overlap(a, b) =</w:t>
            </w:r>
          </w:p>
          <w:p>
            <w:pPr>
              <w:spacing w:after="0" w:line="264"/>
            </w:pPr>
            <w:r>
              <w:rPr>
                <w:rFonts w:ascii="Consolas" w:cs="Consolas" w:eastAsia="Consolas" w:hAnsi="Consolas"/>
                <w:sz w:val="19"/>
                <w:szCs w:val="19"/>
              </w:rPr>
              <w:t xml:space="preserve">    overlap_fraction(a, b) * min( weight_a, weight_b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overlap_fraction : raw pairwise overlap, 0-1   (from 10.5)</w:t>
            </w:r>
          </w:p>
          <w:p>
            <w:pPr>
              <w:spacing w:after="0" w:line="264"/>
            </w:pPr>
            <w:r>
              <w:rPr>
                <w:rFonts w:ascii="Consolas" w:cs="Consolas" w:eastAsia="Consolas" w:hAnsi="Consolas"/>
                <w:sz w:val="19"/>
                <w:szCs w:val="19"/>
              </w:rPr>
              <w:t xml:space="preserve">  weight_a, weight_b : portfolio weights of the two holdings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Example:  90% overlap, weights 1% and 1%   -&gt; 0.90 * 0.01 = 0.009  (trivial)</w:t>
            </w:r>
          </w:p>
          <w:p>
            <w:pPr>
              <w:spacing w:after="0" w:line="264"/>
            </w:pPr>
            <w:r>
              <w:rPr>
                <w:rFonts w:ascii="Consolas" w:cs="Consolas" w:eastAsia="Consolas" w:hAnsi="Consolas"/>
                <w:sz w:val="19"/>
                <w:szCs w:val="19"/>
              </w:rPr>
              <w:t xml:space="preserve">          90% overlap, weights 20% and 25% -&gt; 0.90 * 0.20 = 0.180  (severe)</w:t>
            </w:r>
          </w:p>
        </w:tc>
      </w:tr>
    </w:tbl>
    <w:p>
      <w:pPr>
        <w:pStyle w:val="Heading3"/>
      </w:pPr>
      <w:r>
        <w:rPr>
          <w:rFonts w:ascii="Arial" w:cs="Arial" w:eastAsia="Arial" w:hAnsi="Arial"/>
          <w:b/>
          <w:bCs/>
        </w:rPr>
        <w:t xml:space="preserve">Rule PI-3 — Final Priority Score</w:t>
      </w:r>
    </w:p>
    <w:p>
      <w:pPr>
        <w:spacing w:after="120" w:line="276"/>
      </w:pPr>
      <w:r>
        <w:rPr>
          <w:rFonts w:ascii="Arial" w:cs="Arial" w:eastAsia="Arial" w:hAnsi="Arial"/>
        </w:rPr>
        <w:t xml:space="preserve">PI-3 combines the raw instrument signal with all relevant multipliers into a single comparable score. It is the number Arbitration ranks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FINAL_PRIORITY_SCORE =</w:t>
            </w:r>
          </w:p>
          <w:p>
            <w:pPr>
              <w:spacing w:after="0" w:line="264"/>
            </w:pPr>
            <w:r>
              <w:rPr>
                <w:rFonts w:ascii="Consolas" w:cs="Consolas" w:eastAsia="Consolas" w:hAnsi="Consolas"/>
                <w:sz w:val="19"/>
                <w:szCs w:val="19"/>
              </w:rPr>
              <w:t xml:space="preserve">    base_score              // instrument-level signal strength, 0-1</w:t>
            </w:r>
          </w:p>
          <w:p>
            <w:pPr>
              <w:spacing w:after="0" w:line="264"/>
            </w:pPr>
            <w:r>
              <w:rPr>
                <w:rFonts w:ascii="Consolas" w:cs="Consolas" w:eastAsia="Consolas" w:hAnsi="Consolas"/>
                <w:sz w:val="19"/>
                <w:szCs w:val="19"/>
              </w:rPr>
              <w:t xml:space="preserve">  * allocation_multiplier   // from PI-1</w:t>
            </w:r>
          </w:p>
          <w:p>
            <w:pPr>
              <w:spacing w:after="0" w:line="264"/>
            </w:pPr>
            <w:r>
              <w:rPr>
                <w:rFonts w:ascii="Consolas" w:cs="Consolas" w:eastAsia="Consolas" w:hAnsi="Consolas"/>
                <w:sz w:val="19"/>
                <w:szCs w:val="19"/>
              </w:rPr>
              <w:t xml:space="preserve">  * goal_multiplier         // &gt; 1.0 if the holding harms a goal</w:t>
            </w:r>
          </w:p>
          <w:p>
            <w:pPr>
              <w:spacing w:after="0" w:line="264"/>
            </w:pPr>
            <w:r>
              <w:rPr>
                <w:rFonts w:ascii="Consolas" w:cs="Consolas" w:eastAsia="Consolas" w:hAnsi="Consolas"/>
                <w:sz w:val="19"/>
                <w:szCs w:val="19"/>
              </w:rPr>
              <w:t xml:space="preserve">  * risk_multiplier         // &gt; 1.0 if the holding raises risk mismatch</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All multipliers default to 1.0 when neutral, so a holding that</w:t>
            </w:r>
          </w:p>
          <w:p>
            <w:pPr>
              <w:spacing w:after="0" w:line="264"/>
            </w:pPr>
            <w:r>
              <w:rPr>
                <w:rFonts w:ascii="Consolas" w:cs="Consolas" w:eastAsia="Consolas" w:hAnsi="Consolas"/>
                <w:sz w:val="19"/>
                <w:szCs w:val="19"/>
              </w:rPr>
              <w:t xml:space="preserve">  is goal-neutral and risk-neutral is scored on PI-1 alone.</w:t>
            </w:r>
          </w:p>
        </w:tc>
      </w:tr>
    </w:tbl>
    <w:p>
      <w:pPr>
        <w:pStyle w:val="Heading3"/>
      </w:pPr>
      <w:r>
        <w:rPr>
          <w:rFonts w:ascii="Arial" w:cs="Arial" w:eastAsia="Arial" w:hAnsi="Arial"/>
          <w:b/>
          <w:bCs/>
        </w:rPr>
        <w:t xml:space="preserve">Rule PI-4 — Contribution Score</w:t>
      </w:r>
    </w:p>
    <w:p>
      <w:pPr>
        <w:spacing w:after="120" w:line="276"/>
      </w:pPr>
      <w:r>
        <w:rPr>
          <w:rFonts w:ascii="Arial" w:cs="Arial" w:eastAsia="Arial" w:hAnsi="Arial"/>
        </w:rPr>
        <w:t xml:space="preserve">PI-4 measures how much a holding adds or subtracts across the three portfolio dimensions, scaled by how much of the portfolio it represents. It feeds the allocation-efficiency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CONTRIBUTION_SCORE =</w:t>
            </w:r>
          </w:p>
          <w:p>
            <w:pPr>
              <w:spacing w:after="0" w:line="264"/>
            </w:pPr>
            <w:r>
              <w:rPr>
                <w:rFonts w:ascii="Consolas" w:cs="Consolas" w:eastAsia="Consolas" w:hAnsi="Consolas"/>
                <w:sz w:val="19"/>
                <w:szCs w:val="19"/>
              </w:rPr>
              <w:t xml:space="preserve">    allocation_weight</w:t>
            </w:r>
          </w:p>
          <w:p>
            <w:pPr>
              <w:spacing w:after="0" w:line="264"/>
            </w:pPr>
            <w:r>
              <w:rPr>
                <w:rFonts w:ascii="Consolas" w:cs="Consolas" w:eastAsia="Consolas" w:hAnsi="Consolas"/>
                <w:sz w:val="19"/>
                <w:szCs w:val="19"/>
              </w:rPr>
              <w:t xml:space="preserve">  * diversification_contribution</w:t>
            </w:r>
          </w:p>
          <w:p>
            <w:pPr>
              <w:spacing w:after="0" w:line="264"/>
            </w:pPr>
            <w:r>
              <w:rPr>
                <w:rFonts w:ascii="Consolas" w:cs="Consolas" w:eastAsia="Consolas" w:hAnsi="Consolas"/>
                <w:sz w:val="19"/>
                <w:szCs w:val="19"/>
              </w:rPr>
              <w:t xml:space="preserve">  * return_contribution</w:t>
            </w:r>
          </w:p>
          <w:p>
            <w:pPr>
              <w:spacing w:after="0" w:line="264"/>
            </w:pPr>
            <w:r>
              <w:rPr>
                <w:rFonts w:ascii="Consolas" w:cs="Consolas" w:eastAsia="Consolas" w:hAnsi="Consolas"/>
                <w:sz w:val="19"/>
                <w:szCs w:val="19"/>
              </w:rPr>
              <w:t xml:space="preserve">  * risk_contribution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 holding can have a negative net contribution — it consumes</w:t>
            </w:r>
          </w:p>
          <w:p>
            <w:pPr>
              <w:spacing w:after="0" w:line="264"/>
            </w:pPr>
            <w:r>
              <w:rPr>
                <w:rFonts w:ascii="Consolas" w:cs="Consolas" w:eastAsia="Consolas" w:hAnsi="Consolas"/>
                <w:sz w:val="19"/>
                <w:szCs w:val="19"/>
              </w:rPr>
              <w:t xml:space="preserve">  allocation while worsening diversification or risk.</w:t>
            </w:r>
          </w:p>
        </w:tc>
      </w:tr>
    </w:tbl>
    <w:p>
      <w:pPr>
        <w:spacing w:after="80"/>
      </w:pPr>
      <w:r>
        <w:rPr>
          <w:rFonts w:ascii="Arial" w:cs="Arial" w:eastAsia="Arial" w:hAnsi="Arial"/>
        </w:rPr>
        <w:t xml:space="preserve"/>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Weighted overlap</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rescaled by exposed capital, per PI-2.</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Weighted concentration</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Concentration measures scaled by allocation.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Marginal risk contribution</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much each holding adds to portfolio volatility.</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Allocation efficiency</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Whether each holding earns its place in the portfolio.</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10.8  Mutual Fund Scoring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Produce instrument-level Exit, Switch, and Add signals for mutual funds, combining redundancy, tax, quality, cost, and fit into a single Exit score.</w:t>
      </w:r>
    </w:p>
    <w:p>
      <w:pPr>
        <w:spacing w:after="120" w:line="276"/>
      </w:pPr>
      <w:r>
        <w:rPr>
          <w:rFonts w:ascii="Arial" w:cs="Arial" w:eastAsia="Arial" w:hAnsi="Arial"/>
          <w:b/>
          <w:bCs/>
        </w:rPr>
        <w:t xml:space="preserve">Execution stage.  </w:t>
      </w:r>
      <w:r>
        <w:rPr>
          <w:rFonts w:ascii="Arial" w:cs="Arial" w:eastAsia="Arial" w:hAnsi="Arial"/>
        </w:rPr>
        <w:t xml:space="preserve">Runs after the Portfolio Impact Engine. Suppressed per fund if DV-2 marked it stale.</w:t>
      </w:r>
    </w:p>
    <w:p>
      <w:pPr>
        <w:spacing w:after="120" w:line="276"/>
      </w:pPr>
      <w:r>
        <w:rPr>
          <w:rFonts w:ascii="Arial" w:cs="Arial" w:eastAsia="Arial" w:hAnsi="Arial"/>
          <w:b/>
          <w:bCs/>
        </w:rPr>
        <w:t xml:space="preserve">Primary inputs.  </w:t>
      </w:r>
      <w:r>
        <w:rPr>
          <w:rFonts w:ascii="Arial" w:cs="Arial" w:eastAsia="Arial" w:hAnsi="Arial"/>
        </w:rPr>
        <w:t xml:space="preserve">Fund quality components, overlap and tax inputs, cost and fit measures.</w:t>
      </w:r>
    </w:p>
    <w:p>
      <w:pPr>
        <w:spacing w:after="120" w:line="276"/>
      </w:pPr>
      <w:r>
        <w:rPr>
          <w:rFonts w:ascii="Arial" w:cs="Arial" w:eastAsia="Arial" w:hAnsi="Arial"/>
          <w:b/>
          <w:bCs/>
        </w:rPr>
        <w:t xml:space="preserve">Primary outputs.  </w:t>
      </w:r>
      <w:r>
        <w:rPr>
          <w:rFonts w:ascii="Arial" w:cs="Arial" w:eastAsia="Arial" w:hAnsi="Arial"/>
        </w:rPr>
        <w:t xml:space="preserve">An Exit score with an action verdict, plus Switch and Add signals where applicable.</w:t>
      </w:r>
    </w:p>
    <w:p>
      <w:pPr>
        <w:pStyle w:val="Heading3"/>
      </w:pPr>
      <w:r>
        <w:rPr>
          <w:rFonts w:ascii="Arial" w:cs="Arial" w:eastAsia="Arial" w:hAnsi="Arial"/>
          <w:b/>
          <w:bCs/>
        </w:rPr>
        <w:t xml:space="preserve">Exit Score Formula</w:t>
      </w:r>
    </w:p>
    <w:p>
      <w:pPr>
        <w:spacing w:after="120" w:line="276"/>
      </w:pPr>
      <w:r>
        <w:rPr>
          <w:rFonts w:ascii="Arial" w:cs="Arial" w:eastAsia="Arial" w:hAnsi="Arial"/>
        </w:rPr>
        <w:t xml:space="preserve">The Exit score blends five components. Each is normalised to 0–10 and the weights sum to exactly 1.00. The score therefore also lies on a 0–10 scale — note that this differs from the 0–100 stock Exit score in 10.9.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EXIT_SCORE =</w:t>
            </w:r>
          </w:p>
          <w:p>
            <w:pPr>
              <w:spacing w:after="0" w:line="264"/>
            </w:pPr>
            <w:r>
              <w:rPr>
                <w:rFonts w:ascii="Consolas" w:cs="Consolas" w:eastAsia="Consolas" w:hAnsi="Consolas"/>
                <w:sz w:val="19"/>
                <w:szCs w:val="19"/>
              </w:rPr>
              <w:t xml:space="preserve">    0.25 * overlap_component         // redundancy with other holdings</w:t>
            </w:r>
          </w:p>
          <w:p>
            <w:pPr>
              <w:spacing w:after="0" w:line="264"/>
            </w:pPr>
            <w:r>
              <w:rPr>
                <w:rFonts w:ascii="Consolas" w:cs="Consolas" w:eastAsia="Consolas" w:hAnsi="Consolas"/>
                <w:sz w:val="19"/>
                <w:szCs w:val="19"/>
              </w:rPr>
              <w:t xml:space="preserve">  + 0.25 * tax_impact_component      // tax cost of exiting</w:t>
            </w:r>
          </w:p>
          <w:p>
            <w:pPr>
              <w:spacing w:after="0" w:line="264"/>
            </w:pPr>
            <w:r>
              <w:rPr>
                <w:rFonts w:ascii="Consolas" w:cs="Consolas" w:eastAsia="Consolas" w:hAnsi="Consolas"/>
                <w:sz w:val="19"/>
                <w:szCs w:val="19"/>
              </w:rPr>
              <w:t xml:space="preserve">  + 0.25 * inverse_quality_component // weak quality -&gt; high value</w:t>
            </w:r>
          </w:p>
          <w:p>
            <w:pPr>
              <w:spacing w:after="0" w:line="264"/>
            </w:pPr>
            <w:r>
              <w:rPr>
                <w:rFonts w:ascii="Consolas" w:cs="Consolas" w:eastAsia="Consolas" w:hAnsi="Consolas"/>
                <w:sz w:val="19"/>
                <w:szCs w:val="19"/>
              </w:rPr>
              <w:t xml:space="preserve">  + 0.15 * cost_component            // expense drag</w:t>
            </w:r>
          </w:p>
          <w:p>
            <w:pPr>
              <w:spacing w:after="0" w:line="264"/>
            </w:pPr>
            <w:r>
              <w:rPr>
                <w:rFonts w:ascii="Consolas" w:cs="Consolas" w:eastAsia="Consolas" w:hAnsi="Consolas"/>
                <w:sz w:val="19"/>
                <w:szCs w:val="19"/>
              </w:rPr>
              <w:t xml:space="preserve">  + 0.10 * portfolio_fit_component   // misfit with the portfolio</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All components normalised to 0-10.  Weights sum to 1.00.</w:t>
            </w:r>
          </w:p>
          <w:p>
            <w:pPr>
              <w:spacing w:after="0" w:line="264"/>
            </w:pPr>
            <w:r>
              <w:rPr>
                <w:rFonts w:ascii="Consolas" w:cs="Consolas" w:eastAsia="Consolas" w:hAnsi="Consolas"/>
                <w:sz w:val="19"/>
                <w:szCs w:val="19"/>
              </w:rPr>
              <w:t xml:space="preserve">  Result is on a 0-10 scale.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1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c>
          <w:tcPr>
            <w:tcW w:type="dxa" w:w="5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High value means</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component</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fund largely duplicates other holdings.</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impact component</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Exiting would be tax-expensive (this raises the score, but TX-1 / MF-EX-2 may still block the exit).</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Inverse quality component</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fund's own quality is weak.</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Cost component</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0.15</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fund's expense drag is high.</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fit component</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fund fits the rest of the portfolio poorly.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Reading the tax component</w:t>
            </w:r>
          </w:p>
          <w:p>
            <w:pPr>
              <w:spacing w:after="120" w:line="276"/>
            </w:pPr>
            <w:r>
              <w:rPr>
                <w:rFonts w:ascii="Arial" w:cs="Arial" w:eastAsia="Arial" w:hAnsi="Arial"/>
              </w:rPr>
              <w:t xml:space="preserve">A high tax_impact_component raises the Exit score — it signals the position is tax-entangled — but it does not by itself cause an exit. Guardrail MF-EX-2 and Tax Engine rule TX-1 independently veto an EXIT when the tax cost outweighs the benefit. Score and veto are deliberately separate.</w:t>
            </w:r>
          </w:p>
        </w:tc>
      </w:tr>
    </w:tbl>
    <w:p>
      <w:pPr>
        <w:pStyle w:val="Heading3"/>
      </w:pPr>
      <w:r>
        <w:rPr>
          <w:rFonts w:ascii="Arial" w:cs="Arial" w:eastAsia="Arial" w:hAnsi="Arial"/>
          <w:b/>
          <w:bCs/>
        </w:rPr>
        <w:t xml:space="preserve">Quality Subscore</w:t>
      </w:r>
    </w:p>
    <w:p>
      <w:pPr>
        <w:spacing w:after="120" w:line="276"/>
      </w:pPr>
      <w:r>
        <w:rPr>
          <w:rFonts w:ascii="Arial" w:cs="Arial" w:eastAsia="Arial" w:hAnsi="Arial"/>
        </w:rPr>
        <w:t xml:space="preserve">The inverse_quality_component is derived from a Quality subscore built from six weighted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Performance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Risk-adjusted return</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Consistency</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 behaviour</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Expense ratio</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AUM stability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bl>
    <w:p>
      <w:pPr>
        <w:spacing w:after="80"/>
      </w:pPr>
      <w:r>
        <w:rPr>
          <w:rFonts w:ascii="Arial" w:cs="Arial" w:eastAsia="Arial" w:hAnsi="Arial"/>
        </w:rPr>
        <w:t xml:space="preserve"/>
      </w:r>
    </w:p>
    <w:p>
      <w:pPr>
        <w:pStyle w:val="Heading3"/>
      </w:pPr>
      <w:r>
        <w:rPr>
          <w:rFonts w:ascii="Arial" w:cs="Arial" w:eastAsia="Arial" w:hAnsi="Arial"/>
          <w:b/>
          <w:bCs/>
        </w:rPr>
        <w:t xml:space="preserve">Exit-Score Action Thresholds</w:t>
      </w:r>
    </w:p>
    <w:p>
      <w:pPr>
        <w:spacing w:after="120" w:line="276"/>
      </w:pPr>
      <w:r>
        <w:rPr>
          <w:rFonts w:ascii="Arial" w:cs="Arial" w:eastAsia="Arial" w:hAnsi="Arial"/>
        </w:rPr>
        <w:t xml:space="preserve">The Exit score maps to an action verdict on the 0–10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Exit score</w:t>
            </w:r>
          </w:p>
        </w:tc>
        <w:tc>
          <w:tcPr>
            <w:tcW w:type="dxa" w:w="1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Action</w:t>
            </w:r>
          </w:p>
        </w:tc>
        <w:tc>
          <w:tcPr>
            <w:tcW w:type="dxa" w:w="5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Meaning</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9"/>
                <w:szCs w:val="19"/>
              </w:rPr>
              <w:t xml:space="preserve">≥ 7</w:t>
            </w:r>
          </w:p>
        </w:tc>
        <w:tc>
          <w:tcPr>
            <w:tcW w:type="dxa" w:w="1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A6262B"/>
                <w:sz w:val="19"/>
                <w:szCs w:val="19"/>
              </w:rPr>
              <w:t xml:space="preserve">EXIT</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Strong case to leave the fund.</w:t>
            </w:r>
          </w:p>
        </w:tc>
      </w:tr>
      <w:tr>
        <w:tc>
          <w:tcPr>
            <w:tcW w:type="dxa" w:w="2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9"/>
                <w:szCs w:val="19"/>
              </w:rPr>
              <w:t xml:space="preserve">4 to 7</w:t>
            </w:r>
          </w:p>
        </w:tc>
        <w:tc>
          <w:tcPr>
            <w:tcW w:type="dxa" w:w="1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9A6700"/>
                <w:sz w:val="19"/>
                <w:szCs w:val="19"/>
              </w:rPr>
              <w:t xml:space="preserve">HOLD</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 clear case either way; keep under review.</w:t>
            </w:r>
          </w:p>
        </w:tc>
      </w:tr>
      <w:tr>
        <w:tc>
          <w:tcPr>
            <w:tcW w:type="dxa" w:w="2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9"/>
                <w:szCs w:val="19"/>
              </w:rPr>
              <w:t xml:space="preserve">Less than 4</w:t>
            </w:r>
          </w:p>
        </w:tc>
        <w:tc>
          <w:tcPr>
            <w:tcW w:type="dxa" w:w="1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1E6F3C"/>
                <w:sz w:val="19"/>
                <w:szCs w:val="19"/>
              </w:rPr>
              <w:t xml:space="preserve">KEEP</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fund is earning its place.</w:t>
            </w:r>
          </w:p>
        </w:tc>
      </w:tr>
    </w:tbl>
    <w:p>
      <w:pPr>
        <w:spacing w:after="80"/>
      </w:pPr>
      <w:r>
        <w:rPr>
          <w:rFonts w:ascii="Arial" w:cs="Arial" w:eastAsia="Arial" w:hAnsi="Arial"/>
        </w:rPr>
        <w:t xml:space="preserve"/>
      </w:r>
    </w:p>
    <w:p>
      <w:pPr>
        <w:pStyle w:val="Heading3"/>
      </w:pPr>
      <w:r>
        <w:rPr>
          <w:rFonts w:ascii="Arial" w:cs="Arial" w:eastAsia="Arial" w:hAnsi="Arial"/>
          <w:b/>
          <w:bCs/>
        </w:rPr>
        <w:t xml:space="preserve">Guardrails</w:t>
      </w:r>
    </w:p>
    <w:p>
      <w:pPr>
        <w:spacing w:after="120" w:line="276"/>
      </w:pPr>
      <w:r>
        <w:rPr>
          <w:rFonts w:ascii="Arial" w:cs="Arial" w:eastAsia="Arial" w:hAnsi="Arial"/>
        </w:rPr>
        <w:t xml:space="preserve">Guardrails override the raw action verdict. A fund can score EXIT and still be held HOLD because a guardrail vetoes the exit.</w:t>
      </w:r>
    </w:p>
    <w:p>
      <w:pPr>
        <w:keepNext/>
        <w:spacing w:after="60" w:before="180"/>
      </w:pPr>
      <w:r>
        <w:rPr>
          <w:rFonts w:ascii="Consolas" w:cs="Consolas" w:eastAsia="Consolas" w:hAnsi="Consolas"/>
          <w:b/>
          <w:bCs/>
          <w:color w:val="0F3460"/>
          <w:sz w:val="20"/>
          <w:szCs w:val="20"/>
        </w:rPr>
        <w:t xml:space="preserve">MF-EX-1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Weak-but-Unique Fund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fund scores poorly on quality but is not redundant with other holdings.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Raw quality score ≤ 2.5 AND overlap &lt; 80%.</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Force the verdict to HOLD, overriding an EXIT.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weak fund that is not redundant should not be exited on quality alone — the proceeds may have nowhere better to go, and exiting would simply realise costs for no structural gain.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Both conditions required. A weak fund with ≥ 80% overlap is NOT protected — redundancy justifies the exit. At exactly quality 2.5 the guardrail applies (inclusive).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Evaluated after the Exit-score verdict; recorded in the trace when it overrides.</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MF-EX-2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Tax-Destructive Exit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estimated tax cost of exiting exceeds the annualised benefit of exiting.</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estimated_tax_cost &gt; annualised_exit_benefit.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the EXIT recommendation.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 exit that costs more in tax than it delivers in benefit destroys value. The do-no-harm principle outranks instrument optimisation.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Benefit is the modelled annualised improvement, not a guaranteed return. If acquisition price is missing, DV-3 has already suppressed tax-aware logic and this guardrail is moot.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Mirrors Tax Engine rule TX-1; Arbitration relies on both.</w:t>
            </w:r>
          </w:p>
        </w:tc>
      </w:tr>
    </w:tbl>
    <w:p>
      <w:pPr>
        <w:spacing w:after="60"/>
      </w:pPr>
      <w:r>
        <w:rPr>
          <w:rFonts w:ascii="Arial" w:cs="Arial" w:eastAsia="Arial" w:hAnsi="Arial"/>
        </w:rPr>
        <w:t xml:space="preserve"/>
      </w:r>
    </w:p>
    <w:p>
      <w:pPr>
        <w:pStyle w:val="Heading3"/>
      </w:pPr>
      <w:r>
        <w:rPr>
          <w:rFonts w:ascii="Arial" w:cs="Arial" w:eastAsia="Arial" w:hAnsi="Arial"/>
          <w:b/>
          <w:bCs/>
        </w:rPr>
        <w:t xml:space="preserve">Switch and Add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How Switch and Add relate to Exit</w:t>
            </w:r>
          </w:p>
          <w:p>
            <w:pPr>
              <w:spacing w:after="120" w:line="276"/>
            </w:pPr>
            <w:r>
              <w:rPr>
                <w:rFonts w:ascii="Arial" w:cs="Arial" w:eastAsia="Arial" w:hAnsi="Arial"/>
                <w:b/>
                <w:bCs/>
              </w:rPr>
              <w:t xml:space="preserve">Switch  </w:t>
            </w:r>
            <w:r>
              <w:rPr>
                <w:rFonts w:ascii="Arial" w:cs="Arial" w:eastAsia="Arial" w:hAnsi="Arial"/>
              </w:rPr>
              <w:t xml:space="preserve">combines an Exit signal on the source fund with an Add signal on a better-fit destination fund. If the Exit half is blocked by a guardrail (MF-EX-1 or MF-EX-2), the Switch is suppressed too — there is no Switch without a valid Exit.</w:t>
            </w:r>
          </w:p>
          <w:p>
            <w:pPr>
              <w:spacing w:after="120" w:line="276"/>
            </w:pPr>
            <w:r>
              <w:rPr>
                <w:rFonts w:ascii="Arial" w:cs="Arial" w:eastAsia="Arial" w:hAnsi="Arial"/>
                <w:b/>
                <w:bCs/>
              </w:rPr>
              <w:t xml:space="preserve">Add  </w:t>
            </w:r>
            <w:r>
              <w:rPr>
                <w:rFonts w:ascii="Arial" w:cs="Arial" w:eastAsia="Arial" w:hAnsi="Arial"/>
              </w:rPr>
              <w:t xml:space="preserve">scores a candidate fund on portfolio fit, diversification gain, quality, and cost. An Add is surfaced only when it materially improves portfolio structure — never as a standalone “buy more” nudge.</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10.9  Stock Scoring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Produce instrument-level Quality, Exit, and Trim signals for direct equity holdings.</w:t>
      </w:r>
    </w:p>
    <w:p>
      <w:pPr>
        <w:spacing w:after="120" w:line="276"/>
      </w:pPr>
      <w:r>
        <w:rPr>
          <w:rFonts w:ascii="Arial" w:cs="Arial" w:eastAsia="Arial" w:hAnsi="Arial"/>
          <w:b/>
          <w:bCs/>
        </w:rPr>
        <w:t xml:space="preserve">Execution stage.  </w:t>
      </w:r>
      <w:r>
        <w:rPr>
          <w:rFonts w:ascii="Arial" w:cs="Arial" w:eastAsia="Arial" w:hAnsi="Arial"/>
        </w:rPr>
        <w:t xml:space="preserve">Runs after Mutual Fund Scoring. Suppressed per stock if DV-2 marked it stale; degraded if DV-4 fired.</w:t>
      </w:r>
    </w:p>
    <w:p>
      <w:pPr>
        <w:spacing w:after="120" w:line="276"/>
      </w:pPr>
      <w:r>
        <w:rPr>
          <w:rFonts w:ascii="Arial" w:cs="Arial" w:eastAsia="Arial" w:hAnsi="Arial"/>
          <w:b/>
          <w:bCs/>
        </w:rPr>
        <w:t xml:space="preserve">Primary inputs.  </w:t>
      </w:r>
      <w:r>
        <w:rPr>
          <w:rFonts w:ascii="Arial" w:cs="Arial" w:eastAsia="Arial" w:hAnsi="Arial"/>
        </w:rPr>
        <w:t xml:space="preserve">Company fundamentals, valuation data, liquidity and tax inputs.</w:t>
      </w:r>
    </w:p>
    <w:p>
      <w:pPr>
        <w:spacing w:after="120" w:line="276"/>
      </w:pPr>
      <w:r>
        <w:rPr>
          <w:rFonts w:ascii="Arial" w:cs="Arial" w:eastAsia="Arial" w:hAnsi="Arial"/>
          <w:b/>
          <w:bCs/>
        </w:rPr>
        <w:t xml:space="preserve">Primary outputs.  </w:t>
      </w:r>
      <w:r>
        <w:rPr>
          <w:rFonts w:ascii="Arial" w:cs="Arial" w:eastAsia="Arial" w:hAnsi="Arial"/>
        </w:rPr>
        <w:t xml:space="preserve">A Quality score, an Exit score with an action verdict, and an independent Review flag.</w:t>
      </w:r>
    </w:p>
    <w:p>
      <w:pPr>
        <w:pStyle w:val="Heading3"/>
      </w:pPr>
      <w:r>
        <w:rPr>
          <w:rFonts w:ascii="Arial" w:cs="Arial" w:eastAsia="Arial" w:hAnsi="Arial"/>
          <w:b/>
          <w:bCs/>
        </w:rPr>
        <w:t xml:space="preserve">Quality Score</w:t>
      </w:r>
    </w:p>
    <w:p>
      <w:pPr>
        <w:spacing w:after="120" w:line="276"/>
      </w:pPr>
      <w:r>
        <w:rPr>
          <w:rFonts w:ascii="Arial" w:cs="Arial" w:eastAsia="Arial" w:hAnsi="Arial"/>
        </w:rPr>
        <w:t xml:space="preserve">The Quality score rates the underlying business on six weighted fundamentals. It is reported on a 0–100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1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c>
          <w:tcPr>
            <w:tcW w:type="dxa" w:w="5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What it measures</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Return on equity (ROE)</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efficiently the company turns equity into profit.</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Earnings consistency</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How stable earnings are across cycles.</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EPS growth</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trend in per-share earnings.</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Debt-to-equity</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15%</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Balance-sheet leverage and financial risk.</w:t>
            </w:r>
          </w:p>
        </w:tc>
      </w:tr>
      <w:tr>
        <w:tc>
          <w:tcPr>
            <w:tcW w:type="dxa" w:w="2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Promoter holding</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Alignment of controlling shareholders.</w:t>
            </w:r>
          </w:p>
        </w:tc>
      </w:tr>
      <w:tr>
        <w:tc>
          <w:tcPr>
            <w:tcW w:type="dxa" w:w="2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Market-cap stability</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Stability of the company's market valuation.</w:t>
            </w:r>
          </w:p>
        </w:tc>
      </w:tr>
    </w:tbl>
    <w:p>
      <w:pPr>
        <w:spacing w:after="80"/>
      </w:pPr>
      <w:r>
        <w:rPr>
          <w:rFonts w:ascii="Arial" w:cs="Arial" w:eastAsia="Arial" w:hAnsi="Arial"/>
        </w:rPr>
        <w:t xml:space="preserve"/>
      </w:r>
    </w:p>
    <w:p>
      <w:pPr>
        <w:pStyle w:val="Heading3"/>
      </w:pPr>
      <w:r>
        <w:rPr>
          <w:rFonts w:ascii="Arial" w:cs="Arial" w:eastAsia="Arial" w:hAnsi="Arial"/>
          <w:b/>
          <w:bCs/>
        </w:rPr>
        <w:t xml:space="preserve">Exit Score Formula</w:t>
      </w:r>
    </w:p>
    <w:p>
      <w:pPr>
        <w:spacing w:after="120" w:line="276"/>
      </w:pPr>
      <w:r>
        <w:rPr>
          <w:rFonts w:ascii="Arial" w:cs="Arial" w:eastAsia="Arial" w:hAnsi="Arial"/>
        </w:rPr>
        <w:t xml:space="preserve">The Exit score blends six components. Each is normalised to a 0–100 scale and the weights sum to 1.00 — so the score is on a 0–100 scale, distinct from the 0–10 mutual-fund Exit score in 10.8.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EXIT_SCORE =</w:t>
            </w:r>
          </w:p>
          <w:p>
            <w:pPr>
              <w:spacing w:after="0" w:line="264"/>
            </w:pPr>
            <w:r>
              <w:rPr>
                <w:rFonts w:ascii="Consolas" w:cs="Consolas" w:eastAsia="Consolas" w:hAnsi="Consolas"/>
                <w:sz w:val="19"/>
                <w:szCs w:val="19"/>
              </w:rPr>
              <w:t xml:space="preserve">    0.25 * pe_overvaluation_component</w:t>
            </w:r>
          </w:p>
          <w:p>
            <w:pPr>
              <w:spacing w:after="0" w:line="264"/>
            </w:pPr>
            <w:r>
              <w:rPr>
                <w:rFonts w:ascii="Consolas" w:cs="Consolas" w:eastAsia="Consolas" w:hAnsi="Consolas"/>
                <w:sz w:val="19"/>
                <w:szCs w:val="19"/>
              </w:rPr>
              <w:t xml:space="preserve">  + 0.25 * earnings_decline_component</w:t>
            </w:r>
          </w:p>
          <w:p>
            <w:pPr>
              <w:spacing w:after="0" w:line="264"/>
            </w:pPr>
            <w:r>
              <w:rPr>
                <w:rFonts w:ascii="Consolas" w:cs="Consolas" w:eastAsia="Consolas" w:hAnsi="Consolas"/>
                <w:sz w:val="19"/>
                <w:szCs w:val="19"/>
              </w:rPr>
              <w:t xml:space="preserve">  + 0.20 * quality_deterioration_component</w:t>
            </w:r>
          </w:p>
          <w:p>
            <w:pPr>
              <w:spacing w:after="0" w:line="264"/>
            </w:pPr>
            <w:r>
              <w:rPr>
                <w:rFonts w:ascii="Consolas" w:cs="Consolas" w:eastAsia="Consolas" w:hAnsi="Consolas"/>
                <w:sz w:val="19"/>
                <w:szCs w:val="19"/>
              </w:rPr>
              <w:t xml:space="preserve">  + 0.10 * debt_spike_component</w:t>
            </w:r>
          </w:p>
          <w:p>
            <w:pPr>
              <w:spacing w:after="0" w:line="264"/>
            </w:pPr>
            <w:r>
              <w:rPr>
                <w:rFonts w:ascii="Consolas" w:cs="Consolas" w:eastAsia="Consolas" w:hAnsi="Consolas"/>
                <w:sz w:val="19"/>
                <w:szCs w:val="19"/>
              </w:rPr>
              <w:t xml:space="preserve">  + 0.10 * liquidity_risk_component</w:t>
            </w:r>
          </w:p>
          <w:p>
            <w:pPr>
              <w:spacing w:after="0" w:line="264"/>
            </w:pPr>
            <w:r>
              <w:rPr>
                <w:rFonts w:ascii="Consolas" w:cs="Consolas" w:eastAsia="Consolas" w:hAnsi="Consolas"/>
                <w:sz w:val="19"/>
                <w:szCs w:val="19"/>
              </w:rPr>
              <w:t xml:space="preserve">  + 0.10 * tax_impact_component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All components normalised to 0-100.  Weights sum to 1.00.</w:t>
            </w:r>
          </w:p>
          <w:p>
            <w:pPr>
              <w:spacing w:after="0" w:line="264"/>
            </w:pPr>
            <w:r>
              <w:rPr>
                <w:rFonts w:ascii="Consolas" w:cs="Consolas" w:eastAsia="Consolas" w:hAnsi="Consolas"/>
                <w:sz w:val="19"/>
                <w:szCs w:val="19"/>
              </w:rPr>
              <w:t xml:space="preserve">  Result is on a 0-100 scale.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1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c>
          <w:tcPr>
            <w:tcW w:type="dxa" w:w="57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High value means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 overvaluation</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stock looks expensive relative to earnings.</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Earnings decline</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Earnings are trending down.</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Quality deterioration</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0.20</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underlying business quality is weakening.</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Debt spike</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Leverage has risen sharply.</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Liquidity risk</w:t>
            </w:r>
          </w:p>
        </w:tc>
        <w:tc>
          <w:tcPr>
            <w:tcW w:type="dxa" w:w="1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7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stock is hard to exit without moving the price.</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impact</w:t>
            </w:r>
          </w:p>
        </w:tc>
        <w:tc>
          <w:tcPr>
            <w:tcW w:type="dxa" w:w="1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7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Exiting would carry a tax cost.</w:t>
            </w:r>
          </w:p>
        </w:tc>
      </w:tr>
    </w:tbl>
    <w:p>
      <w:pPr>
        <w:spacing w:after="80"/>
      </w:pPr>
      <w:r>
        <w:rPr>
          <w:rFonts w:ascii="Arial" w:cs="Arial" w:eastAsia="Arial" w:hAnsi="Arial"/>
        </w:rPr>
        <w:t xml:space="preserve"/>
      </w:r>
    </w:p>
    <w:p>
      <w:pPr>
        <w:pStyle w:val="Heading3"/>
      </w:pPr>
      <w:r>
        <w:rPr>
          <w:rFonts w:ascii="Arial" w:cs="Arial" w:eastAsia="Arial" w:hAnsi="Arial"/>
          <w:b/>
          <w:bCs/>
        </w:rPr>
        <w:t xml:space="preserve">Action Thresholds</w:t>
      </w:r>
    </w:p>
    <w:p>
      <w:pPr>
        <w:spacing w:after="120" w:line="276"/>
      </w:pPr>
      <w:r>
        <w:rPr>
          <w:rFonts w:ascii="Arial" w:cs="Arial" w:eastAsia="Arial" w:hAnsi="Arial"/>
        </w:rPr>
        <w:t xml:space="preserve">Two independent signals come out of this engine. EXIT and TRIM are driven by the Exit score; REVIEW is a separate flag driven by the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Condition</w:t>
            </w:r>
          </w:p>
        </w:tc>
        <w:tc>
          <w:tcPr>
            <w:tcW w:type="dxa" w:w="15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Signal</w:t>
            </w:r>
          </w:p>
        </w:tc>
        <w:tc>
          <w:tcPr>
            <w:tcW w:type="dxa" w:w="5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Nature</w:t>
            </w:r>
          </w:p>
        </w:tc>
      </w:tr>
      <w:tr>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9"/>
                <w:szCs w:val="19"/>
              </w:rPr>
              <w:t xml:space="preserve">Exit score ≥ 75</w:t>
            </w:r>
          </w:p>
        </w:tc>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A6262B"/>
                <w:sz w:val="19"/>
                <w:szCs w:val="19"/>
              </w:rPr>
              <w:t xml:space="preserve">EXIT</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Strong case to sell the position in full.</w:t>
            </w:r>
          </w:p>
        </w:tc>
      </w:tr>
      <w:tr>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9"/>
                <w:szCs w:val="19"/>
              </w:rPr>
              <w:t xml:space="preserve">Exit score 60 to 75</w:t>
            </w:r>
          </w:p>
        </w:tc>
        <w:tc>
          <w:tcPr>
            <w:tcW w:type="dxa" w:w="1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9A6700"/>
                <w:sz w:val="19"/>
                <w:szCs w:val="19"/>
              </w:rPr>
              <w:t xml:space="preserve">TRIM</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Reduce, not eliminate, the position.</w:t>
            </w:r>
          </w:p>
        </w:tc>
      </w:tr>
      <w:tr>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9"/>
                <w:szCs w:val="19"/>
              </w:rPr>
              <w:t xml:space="preserve">Quality score &lt; 45</w:t>
            </w:r>
          </w:p>
        </w:tc>
        <w:tc>
          <w:tcPr>
            <w:tcW w:type="dxa" w:w="1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color w:val="9A6700"/>
                <w:sz w:val="19"/>
                <w:szCs w:val="19"/>
              </w:rPr>
              <w:t xml:space="preserve">REVIEW</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Independent flag — the business merits a closer look.</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EXIT/TRIM and REVIEW are separate</w:t>
            </w:r>
          </w:p>
          <w:p>
            <w:pPr>
              <w:spacing w:after="120" w:line="276"/>
            </w:pPr>
            <w:r>
              <w:rPr>
                <w:rFonts w:ascii="Arial" w:cs="Arial" w:eastAsia="Arial" w:hAnsi="Arial"/>
              </w:rPr>
              <w:t xml:space="preserve">A holding can be flagged REVIEW without being an EXIT or TRIM candidate — a sound-but-watch business. Conversely an overvalued but high-quality stock can be a TRIM without being a REVIEW. The two signals are reported separately and reconciled by the Arbitration Engine, never silently merged.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Scale discipline</w:t>
            </w:r>
          </w:p>
          <w:p>
            <w:pPr>
              <w:spacing w:after="120" w:line="276"/>
            </w:pPr>
            <w:r>
              <w:rPr>
                <w:rFonts w:ascii="Arial" w:cs="Arial" w:eastAsia="Arial" w:hAnsi="Arial"/>
              </w:rPr>
              <w:t xml:space="preserve">The mutual-fund Exit score (10.8) runs 0–10; the stock Exit score (10.9) runs 0–100. This is intentional but easy to misread. Calibration configuration must label each engine's scale explicitly, and no shared constant may be reused across the two engines.</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10.10  Tax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Prevent tax-destructive recommendations and prefer tax-efficient sequencing. The Tax Engine never originates a recommendation — it only suppresses or reshapes ones other engines produced.</w:t>
      </w:r>
    </w:p>
    <w:p>
      <w:pPr>
        <w:spacing w:after="120" w:line="276"/>
      </w:pPr>
      <w:r>
        <w:rPr>
          <w:rFonts w:ascii="Arial" w:cs="Arial" w:eastAsia="Arial" w:hAnsi="Arial"/>
          <w:b/>
          <w:bCs/>
        </w:rPr>
        <w:t xml:space="preserve">Execution stage.  </w:t>
      </w:r>
      <w:r>
        <w:rPr>
          <w:rFonts w:ascii="Arial" w:cs="Arial" w:eastAsia="Arial" w:hAnsi="Arial"/>
        </w:rPr>
        <w:t xml:space="preserve">Runs after the scoring engines, before Arbitration. Disabled per holding if DV-3 suppressed tax-aware logic.</w:t>
      </w:r>
    </w:p>
    <w:p>
      <w:pPr>
        <w:spacing w:after="120" w:line="276"/>
      </w:pPr>
      <w:r>
        <w:rPr>
          <w:rFonts w:ascii="Arial" w:cs="Arial" w:eastAsia="Arial" w:hAnsi="Arial"/>
          <w:b/>
          <w:bCs/>
        </w:rPr>
        <w:t xml:space="preserve">Primary inputs.  </w:t>
      </w:r>
      <w:r>
        <w:rPr>
          <w:rFonts w:ascii="Arial" w:cs="Arial" w:eastAsia="Arial" w:hAnsi="Arial"/>
        </w:rPr>
        <w:t xml:space="preserve">Acquisition price and date, holding period, exit-load schedule, modelled benefit of the proposed action.</w:t>
      </w:r>
    </w:p>
    <w:p>
      <w:pPr>
        <w:spacing w:after="120" w:line="276"/>
      </w:pPr>
      <w:r>
        <w:rPr>
          <w:rFonts w:ascii="Arial" w:cs="Arial" w:eastAsia="Arial" w:hAnsi="Arial"/>
          <w:b/>
          <w:bCs/>
        </w:rPr>
        <w:t xml:space="preserve">Primary outputs.  </w:t>
      </w:r>
      <w:r>
        <w:rPr>
          <w:rFonts w:ascii="Arial" w:cs="Arial" w:eastAsia="Arial" w:hAnsi="Arial"/>
        </w:rPr>
        <w:t xml:space="preserve">Estimated tax cost, gain type, exit load, net-of-tax benefit, and suggested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Do no harm</w:t>
            </w:r>
          </w:p>
          <w:p>
            <w:pPr>
              <w:spacing w:after="120" w:line="276"/>
            </w:pPr>
            <w:r>
              <w:rPr>
                <w:rFonts w:ascii="Arial" w:cs="Arial" w:eastAsia="Arial" w:hAnsi="Arial"/>
              </w:rPr>
              <w:t xml:space="preserve">The Tax Engine encodes the platform's do-no-harm principle. A recommendation that improves portfolio structure on paper but costs the investor more in tax than it returns in benefit is not an improvement — it is a loss. This engine exists to catch exactly that.</w:t>
            </w:r>
          </w:p>
        </w:tc>
      </w:tr>
    </w:tbl>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TX-1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Tax Cost Exceeds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estimated tax cost of an action exceeds its expected benefit.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estimated_tax_cost &gt; expected_benefit.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the EXIT recommendation.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Realising a tax liability larger than the modelled gain destroys value. The action's instrument-level merit does not change that arithmetic.</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“Expected benefit” is the modelled annualised improvement attributable to the action — risk reduction, diversification gain, or quality uplift expressed in comparable terms — NOT a guaranteed return. At exact equality the action is suppressed (no positive net benefit).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Requires DV-3 to have passed; mirrors guardrail MF-EX-2.</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TX-2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Active Exit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 exit load is currently active on the holding.</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Boolean — the holding is within its exit-load period.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an immediate switch; prefer deferring the action until the exit load lapses.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 exit load is an avoidable cost. If the action is not urgent, waiting out the load period preserves value at no cost to the investor.</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the action is urgent on risk grounds (an RA-2 breach), Arbitration may still proceed despite the load — risk protection can outrank cost avoidance. The deferral date is attached to the recommendation.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Interacts with Arbitration precedence; deferral surfaced by the Copilot.</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TX-3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Prefer Phased Exits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lump-sum exit is proposed where phasing would improve capital-gains treatment.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Phasing improves the long-term vs. short-term capital-gains split.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 a phased exit instead of a single lump-sum exit.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Spreading an exit across tax periods can move gains from short-term to long-term treatment, lowering the effective tax rate without changing the end state.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Phasing is only preferred when it materially improves treatment; trivial gains do not justify the added complexity. Coordinates with the GA-3 retirement glide path.</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Works alongside GA-3; phasing plan passed to Simulation.</w:t>
            </w:r>
          </w:p>
        </w:tc>
      </w:tr>
    </w:tbl>
    <w:p>
      <w:pPr>
        <w:spacing w:after="60"/>
      </w:pPr>
      <w:r>
        <w:rPr>
          <w:rFonts w:ascii="Arial" w:cs="Arial" w:eastAsia="Arial" w:hAnsi="Arial"/>
        </w:rPr>
        <w:t xml:space="preserve"/>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Estimated tax cost</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Modelled tax payable if the action is executed now.</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Gain type</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STCG, LTCG, or none — determined by holding period.</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 load</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Any load payable on exit within the load period.</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Net-of-tax benefit</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Expected benefit minus estimated tax cost.</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Suggested phasing</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applicable, the recommended schedule for a phased exit.</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10.11  Recommendation Arbitration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Resolve conflicts across all upstream engines so the investor receives one coherent, deduplicated, prioritised action list rather than a pile of contradictory signals.</w:t>
      </w:r>
    </w:p>
    <w:p>
      <w:pPr>
        <w:spacing w:after="120" w:line="276"/>
      </w:pPr>
      <w:r>
        <w:rPr>
          <w:rFonts w:ascii="Arial" w:cs="Arial" w:eastAsia="Arial" w:hAnsi="Arial"/>
          <w:b/>
          <w:bCs/>
        </w:rPr>
        <w:t xml:space="preserve">Execution stage.  </w:t>
      </w:r>
      <w:r>
        <w:rPr>
          <w:rFonts w:ascii="Arial" w:cs="Arial" w:eastAsia="Arial" w:hAnsi="Arial"/>
        </w:rPr>
        <w:t xml:space="preserve">Runs after every scoring and tax engine, before Simulation.</w:t>
      </w:r>
    </w:p>
    <w:p>
      <w:pPr>
        <w:spacing w:after="120" w:line="276"/>
      </w:pPr>
      <w:r>
        <w:rPr>
          <w:rFonts w:ascii="Arial" w:cs="Arial" w:eastAsia="Arial" w:hAnsi="Arial"/>
          <w:b/>
          <w:bCs/>
        </w:rPr>
        <w:t xml:space="preserve">Primary inputs.  </w:t>
      </w:r>
      <w:r>
        <w:rPr>
          <w:rFonts w:ascii="Arial" w:cs="Arial" w:eastAsia="Arial" w:hAnsi="Arial"/>
        </w:rPr>
        <w:t xml:space="preserve">All candidate recommendations from engines 10.2–10.10, each with its layer, confidence, and component scores.</w:t>
      </w:r>
    </w:p>
    <w:p>
      <w:pPr>
        <w:spacing w:after="120" w:line="276"/>
      </w:pPr>
      <w:r>
        <w:rPr>
          <w:rFonts w:ascii="Arial" w:cs="Arial" w:eastAsia="Arial" w:hAnsi="Arial"/>
          <w:b/>
          <w:bCs/>
        </w:rPr>
        <w:t xml:space="preserve">Primary outputs.  </w:t>
      </w:r>
      <w:r>
        <w:rPr>
          <w:rFonts w:ascii="Arial" w:cs="Arial" w:eastAsia="Arial" w:hAnsi="Arial"/>
        </w:rPr>
        <w:t xml:space="preserve">A prioritised, conflict-resolved, deduplicated recommendation set, each item a standard recommendation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Why arbitration is needed</w:t>
            </w:r>
          </w:p>
          <w:p>
            <w:pPr>
              <w:spacing w:after="120" w:line="276"/>
            </w:pPr>
            <w:r>
              <w:rPr>
                <w:rFonts w:ascii="Arial" w:cs="Arial" w:eastAsia="Arial" w:hAnsi="Arial"/>
              </w:rPr>
              <w:t xml:space="preserve">Independent engines will disagree. Instrument scoring may say “exit this weak fund” while Goal Alignment says “selling it breaches the goal's allocation.” Without arbitration the investor sees both and cannot act. Arbitration applies a fixed, auditable precedence so the platform always speaks with one voice.</w:t>
            </w:r>
          </w:p>
        </w:tc>
      </w:tr>
    </w:tbl>
    <w:p>
      <w:pPr>
        <w:pStyle w:val="Heading3"/>
      </w:pPr>
      <w:r>
        <w:rPr>
          <w:rFonts w:ascii="Arial" w:cs="Arial" w:eastAsia="Arial" w:hAnsi="Arial"/>
          <w:b/>
          <w:bCs/>
        </w:rPr>
        <w:t xml:space="preserve">Conflict-Resolution Rules</w:t>
      </w:r>
    </w:p>
    <w:p>
      <w:pPr>
        <w:keepNext/>
        <w:spacing w:after="60" w:before="180"/>
      </w:pPr>
      <w:r>
        <w:rPr>
          <w:rFonts w:ascii="Consolas" w:cs="Consolas" w:eastAsia="Consolas" w:hAnsi="Consolas"/>
          <w:b/>
          <w:bCs/>
          <w:color w:val="0F3460"/>
          <w:sz w:val="20"/>
          <w:szCs w:val="20"/>
        </w:rPr>
        <w:t xml:space="preserve">AR-1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Goal Alignment Overrides Instrument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 instrument-optimisation action conflicts with a goal-allocation constraint.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Conditional — executing the action would breach a goal's target allocation.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goal constraint wins; the instrument-optimisation action is dropped or rescoped.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Goals are the investor's actual objectives. Optimising an instrument at the cost of a goal optimises the wrong thing.</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the action can be rescoped to satisfy the goal (e.g. a partial instead of full exit), arbitration prefers rescoping over dropping. The override is recorded in the trace.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Reflects precedence rank 3 (goal) above rank 5 (instrument).</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AR-2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Tax Suppression Overrides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tax-inefficient action survives from instrument scoring.</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action is flagged tax-destructive by the Tax Engine.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Downgrade or remove the action, even if instrument scores favour 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Hyperactive churn that loses money to tax is a classic failure mode. Tax protection (precedence rank 2) outranks instrument optimisation (rank 5).</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the Tax Engine attached a deferral date, arbitration keeps the action but reschedules it rather than removing it outright.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Consumes Tax Engine output (TX-1, TX-2).</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AR-3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Low-Confidence Downgrade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recommendation's confidence is below the arbitration confidence threshold.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confidence &lt; arbitration_threshold (calibration-set).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Downgrade the recommendation's severity by one level — do NOT drop it silently. Record the downgrade in the trace.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low-confidence signal may still be informative. Silently dropping it hides information; downgrading it presents it honestly with appropriate weight.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recommendation already at the lowest severity is kept at that level and tagged low-confidence. The downgrade reason is always written to the trace for auditability.</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Confidence is derived partly from data_quality flags set in 10.1 and 10.6.</w:t>
            </w:r>
          </w:p>
        </w:tc>
      </w:tr>
    </w:tbl>
    <w:p>
      <w:pPr>
        <w:spacing w:after="60"/>
      </w:pPr>
      <w:r>
        <w:rPr>
          <w:rFonts w:ascii="Arial" w:cs="Arial" w:eastAsia="Arial" w:hAnsi="Arial"/>
        </w:rPr>
        <w:t xml:space="preserve"/>
      </w:r>
    </w:p>
    <w:p>
      <w:pPr>
        <w:pStyle w:val="Heading3"/>
      </w:pPr>
      <w:r>
        <w:rPr>
          <w:rFonts w:ascii="Arial" w:cs="Arial" w:eastAsia="Arial" w:hAnsi="Arial"/>
          <w:b/>
          <w:bCs/>
        </w:rPr>
        <w:t xml:space="preserve">Precedence Order</w:t>
      </w:r>
    </w:p>
    <w:p>
      <w:pPr>
        <w:spacing w:after="120" w:line="276"/>
      </w:pPr>
      <w:r>
        <w:rPr>
          <w:rFonts w:ascii="Arial" w:cs="Arial" w:eastAsia="Arial" w:hAnsi="Arial"/>
        </w:rPr>
        <w:t xml:space="preserve">When rules conflict, arbitration applies this fixed precedence, highest first. A higher layer can override a lower one but never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Rank</w:t>
            </w:r>
          </w:p>
        </w:tc>
        <w:tc>
          <w:tcPr>
            <w:tcW w:type="dxa" w:w="30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Layer</w:t>
            </w:r>
          </w:p>
        </w:tc>
        <w:tc>
          <w:tcPr>
            <w:tcW w:type="dxa" w:w="52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Principle</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w:t>
            </w:r>
          </w:p>
        </w:tc>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validity</w:t>
            </w:r>
          </w:p>
        </w:tc>
        <w:tc>
          <w:tcPr>
            <w:tcW w:type="dxa" w:w="52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class suppressed by 10.1 cannot be overridden by anything.</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w:t>
            </w:r>
          </w:p>
        </w:tc>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protection</w:t>
            </w:r>
          </w:p>
        </w:tc>
        <w:tc>
          <w:tcPr>
            <w:tcW w:type="dxa" w:w="52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Do no harm — never recommend a value-destroying action.</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w:t>
            </w:r>
          </w:p>
        </w:tc>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w:t>
            </w:r>
          </w:p>
        </w:tc>
        <w:tc>
          <w:tcPr>
            <w:tcW w:type="dxa" w:w="52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Serve the investor's actual objectives.</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4</w:t>
            </w:r>
          </w:p>
        </w:tc>
        <w:tc>
          <w:tcPr>
            <w:tcW w:type="dxa" w:w="30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suitability</w:t>
            </w:r>
          </w:p>
        </w:tc>
        <w:tc>
          <w:tcPr>
            <w:tcW w:type="dxa" w:w="52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Stay within declared risk capacity.</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w:t>
            </w:r>
          </w:p>
        </w:tc>
        <w:tc>
          <w:tcPr>
            <w:tcW w:type="dxa" w:w="30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Instrument optimisation</w:t>
            </w:r>
          </w:p>
        </w:tc>
        <w:tc>
          <w:tcPr>
            <w:tcW w:type="dxa" w:w="52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Improve individual holdings — lowest precedence.</w:t>
            </w:r>
          </w:p>
        </w:tc>
      </w:tr>
    </w:tbl>
    <w:p>
      <w:pPr>
        <w:spacing w:after="80"/>
      </w:pPr>
      <w:r>
        <w:rPr>
          <w:rFonts w:ascii="Arial" w:cs="Arial" w:eastAsia="Arial" w:hAnsi="Arial"/>
        </w:rPr>
        <w:t xml:space="preserve"/>
      </w:r>
    </w:p>
    <w:p>
      <w:pPr>
        <w:pStyle w:val="Heading3"/>
      </w:pPr>
      <w:r>
        <w:rPr>
          <w:rFonts w:ascii="Arial" w:cs="Arial" w:eastAsia="Arial" w:hAnsi="Arial"/>
          <w:b/>
          <w:bCs/>
        </w:rPr>
        <w:t xml:space="preserve">Priority Formula</w:t>
      </w:r>
    </w:p>
    <w:p>
      <w:pPr>
        <w:spacing w:after="120" w:line="276"/>
      </w:pPr>
      <w:r>
        <w:rPr>
          <w:rFonts w:ascii="Arial" w:cs="Arial" w:eastAsia="Arial" w:hAnsi="Arial"/>
        </w:rPr>
        <w:t xml:space="preserve">Among the recommendations that survive conflict resolution, the Priority formula ranks them. Each term is normalised to 0–1; the result is scaled to 0–100 and mapped to HIGH / MEDIUM / LOW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D" w:sz="2"/>
              <w:left w:val="single" w:color="1B5299" w:sz="8"/>
              <w:bottom w:val="single" w:color="C9D2DD" w:sz="2"/>
              <w:right w:val="single" w:color="C9D2DD" w:sz="2"/>
            </w:tcBorders>
            <w:shd w:fill="F2F4F7" w:val="clear"/>
            <w:tcMar>
              <w:top w:type="dxa" w:w="120"/>
              <w:left w:type="dxa" w:w="160"/>
              <w:bottom w:type="dxa" w:w="120"/>
              <w:right w:type="dxa" w:w="160"/>
            </w:tcMar>
          </w:tcPr>
          <w:p>
            <w:pPr>
              <w:spacing w:after="0" w:line="264"/>
            </w:pPr>
            <w:r>
              <w:rPr>
                <w:rFonts w:ascii="Consolas" w:cs="Consolas" w:eastAsia="Consolas" w:hAnsi="Consolas"/>
                <w:sz w:val="19"/>
                <w:szCs w:val="19"/>
              </w:rPr>
              <w:t xml:space="preserve">PRIORITY =</w:t>
            </w:r>
          </w:p>
          <w:p>
            <w:pPr>
              <w:spacing w:after="0" w:line="264"/>
            </w:pPr>
            <w:r>
              <w:rPr>
                <w:rFonts w:ascii="Consolas" w:cs="Consolas" w:eastAsia="Consolas" w:hAnsi="Consolas"/>
                <w:sz w:val="19"/>
                <w:szCs w:val="19"/>
              </w:rPr>
              <w:t xml:space="preserve">    0.30 * risk_reduction        // how much portfolio risk falls</w:t>
            </w:r>
          </w:p>
          <w:p>
            <w:pPr>
              <w:spacing w:after="0" w:line="264"/>
            </w:pPr>
            <w:r>
              <w:rPr>
                <w:rFonts w:ascii="Consolas" w:cs="Consolas" w:eastAsia="Consolas" w:hAnsi="Consolas"/>
                <w:sz w:val="19"/>
                <w:szCs w:val="19"/>
              </w:rPr>
              <w:t xml:space="preserve">  + 0.25 * diversification_gain  // how much diversification improves</w:t>
            </w:r>
          </w:p>
          <w:p>
            <w:pPr>
              <w:spacing w:after="0" w:line="264"/>
            </w:pPr>
            <w:r>
              <w:rPr>
                <w:rFonts w:ascii="Consolas" w:cs="Consolas" w:eastAsia="Consolas" w:hAnsi="Consolas"/>
                <w:sz w:val="19"/>
                <w:szCs w:val="19"/>
              </w:rPr>
              <w:t xml:space="preserve">  + 0.20 * goal_impact           // how much it helps a goal</w:t>
            </w:r>
          </w:p>
          <w:p>
            <w:pPr>
              <w:spacing w:after="0" w:line="264"/>
            </w:pPr>
            <w:r>
              <w:rPr>
                <w:rFonts w:ascii="Consolas" w:cs="Consolas" w:eastAsia="Consolas" w:hAnsi="Consolas"/>
                <w:sz w:val="19"/>
                <w:szCs w:val="19"/>
              </w:rPr>
              <w:t xml:space="preserve">  + 0.15 * urgency               // how time-sensitive the action is</w:t>
            </w:r>
          </w:p>
          <w:p>
            <w:pPr>
              <w:spacing w:after="0" w:line="264"/>
            </w:pPr>
            <w:r>
              <w:rPr>
                <w:rFonts w:ascii="Consolas" w:cs="Consolas" w:eastAsia="Consolas" w:hAnsi="Consolas"/>
                <w:sz w:val="19"/>
                <w:szCs w:val="19"/>
              </w:rPr>
              <w:t xml:space="preserve">  + 0.10 * implementation_ease   // how easy it is to act 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Each term normalised to 0-1.  Weights sum to 1.00.</w:t>
            </w:r>
          </w:p>
          <w:p>
            <w:pPr>
              <w:spacing w:after="0" w:line="264"/>
            </w:pPr>
            <w:r>
              <w:rPr>
                <w:rFonts w:ascii="Consolas" w:cs="Consolas" w:eastAsia="Consolas" w:hAnsi="Consolas"/>
                <w:sz w:val="19"/>
                <w:szCs w:val="19"/>
              </w:rPr>
              <w:t xml:space="preserve">  PRIORITY scaled to 0-100, then mapped to HIGH / MEDIUM / LOW.</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13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c>
          <w:tcPr>
            <w:tcW w:type="dxa" w:w="5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Rewards</w:t>
            </w:r>
          </w:p>
        </w:tc>
      </w:tr>
      <w:tr>
        <w:tc>
          <w:tcPr>
            <w:tcW w:type="dxa" w:w="2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reduction</w:t>
            </w:r>
          </w:p>
        </w:tc>
        <w:tc>
          <w:tcPr>
            <w:tcW w:type="dxa" w:w="1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0.30</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Actions that most lower portfolio risk.</w:t>
            </w:r>
          </w:p>
        </w:tc>
      </w:tr>
      <w:tr>
        <w:tc>
          <w:tcPr>
            <w:tcW w:type="dxa" w:w="2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Diversification gain</w:t>
            </w:r>
          </w:p>
        </w:tc>
        <w:tc>
          <w:tcPr>
            <w:tcW w:type="dxa" w:w="1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Actions that most improve diversification.</w:t>
            </w:r>
          </w:p>
        </w:tc>
      </w:tr>
      <w:tr>
        <w:tc>
          <w:tcPr>
            <w:tcW w:type="dxa" w:w="2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impact</w:t>
            </w:r>
          </w:p>
        </w:tc>
        <w:tc>
          <w:tcPr>
            <w:tcW w:type="dxa" w:w="1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0.20</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Actions that most help a declared goal.</w:t>
            </w:r>
          </w:p>
        </w:tc>
      </w:tr>
      <w:tr>
        <w:tc>
          <w:tcPr>
            <w:tcW w:type="dxa" w:w="25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Urgency</w:t>
            </w:r>
          </w:p>
        </w:tc>
        <w:tc>
          <w:tcPr>
            <w:tcW w:type="dxa" w:w="1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0.15</w:t>
            </w:r>
          </w:p>
        </w:tc>
        <w:tc>
          <w:tcPr>
            <w:tcW w:type="dxa" w:w="5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Actions that are time-sensitive.</w:t>
            </w:r>
          </w:p>
        </w:tc>
      </w:tr>
      <w:tr>
        <w:tc>
          <w:tcPr>
            <w:tcW w:type="dxa" w:w="25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Implementation ease</w:t>
            </w:r>
          </w:p>
        </w:tc>
        <w:tc>
          <w:tcPr>
            <w:tcW w:type="dxa" w:w="1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Actions the investor can act on with least friction.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5299" w:sz="16"/>
              <w:bottom w:val="none"/>
              <w:right w:val="none"/>
            </w:tcBorders>
            <w:shd w:fill="EAF1F8" w:val="clear"/>
            <w:tcMar>
              <w:top w:type="dxa" w:w="120"/>
              <w:left w:type="dxa" w:w="200"/>
              <w:bottom w:type="dxa" w:w="120"/>
              <w:right w:type="dxa" w:w="200"/>
            </w:tcMar>
          </w:tcPr>
          <w:p>
            <w:pPr>
              <w:spacing w:after="60"/>
            </w:pPr>
            <w:r>
              <w:rPr>
                <w:rFonts w:ascii="Arial" w:cs="Arial" w:eastAsia="Arial" w:hAnsi="Arial"/>
                <w:b/>
                <w:bCs/>
                <w:color w:val="1B5299"/>
                <w:sz w:val="18"/>
                <w:szCs w:val="18"/>
              </w:rPr>
              <w:t xml:space="preserve">NOTE  —  </w:t>
            </w:r>
            <w:r>
              <w:rPr>
                <w:rFonts w:ascii="Arial" w:cs="Arial" w:eastAsia="Arial" w:hAnsi="Arial"/>
                <w:b/>
                <w:bCs/>
                <w:color w:val="1A1A2E"/>
                <w:sz w:val="18"/>
                <w:szCs w:val="18"/>
              </w:rPr>
              <w:t xml:space="preserve">Output</w:t>
            </w:r>
          </w:p>
          <w:p>
            <w:pPr>
              <w:spacing w:after="120" w:line="276"/>
            </w:pPr>
            <w:r>
              <w:rPr>
                <w:rFonts w:ascii="Arial" w:cs="Arial" w:eastAsia="Arial" w:hAnsi="Arial"/>
              </w:rPr>
              <w:t xml:space="preserve">The engine emits a prioritised, conflict-resolved, deduplicated recommendation set. Every item is a standard recommendation object carrying its action, target, severity, priority band, rationale, and full decision trace — including every override and downgrade applied along the way.</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10.12  Impact Simulation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Quantify the expected portfolio improvement from each surviving recommendation by modelling the post-action portfolio and comparing it to the current one.</w:t>
      </w:r>
    </w:p>
    <w:p>
      <w:pPr>
        <w:spacing w:after="120" w:line="276"/>
      </w:pPr>
      <w:r>
        <w:rPr>
          <w:rFonts w:ascii="Arial" w:cs="Arial" w:eastAsia="Arial" w:hAnsi="Arial"/>
          <w:b/>
          <w:bCs/>
        </w:rPr>
        <w:t xml:space="preserve">Execution stage.  </w:t>
      </w:r>
      <w:r>
        <w:rPr>
          <w:rFonts w:ascii="Arial" w:cs="Arial" w:eastAsia="Arial" w:hAnsi="Arial"/>
        </w:rPr>
        <w:t xml:space="preserve">Runs after Arbitration, on the recommendations that survived conflict resolution.</w:t>
      </w:r>
    </w:p>
    <w:p>
      <w:pPr>
        <w:spacing w:after="120" w:line="276"/>
      </w:pPr>
      <w:r>
        <w:rPr>
          <w:rFonts w:ascii="Arial" w:cs="Arial" w:eastAsia="Arial" w:hAnsi="Arial"/>
          <w:b/>
          <w:bCs/>
        </w:rPr>
        <w:t xml:space="preserve">Primary inputs.  </w:t>
      </w:r>
      <w:r>
        <w:rPr>
          <w:rFonts w:ascii="Arial" w:cs="Arial" w:eastAsia="Arial" w:hAnsi="Arial"/>
        </w:rPr>
        <w:t xml:space="preserve">The current portfolio and each surviving recommendation.</w:t>
      </w:r>
    </w:p>
    <w:p>
      <w:pPr>
        <w:spacing w:after="120" w:line="276"/>
      </w:pPr>
      <w:r>
        <w:rPr>
          <w:rFonts w:ascii="Arial" w:cs="Arial" w:eastAsia="Arial" w:hAnsi="Arial"/>
          <w:b/>
          <w:bCs/>
        </w:rPr>
        <w:t xml:space="preserve">Primary outputs.  </w:t>
      </w:r>
      <w:r>
        <w:rPr>
          <w:rFonts w:ascii="Arial" w:cs="Arial" w:eastAsia="Arial" w:hAnsi="Arial"/>
        </w:rPr>
        <w:t xml:space="preserve">A before/after metric snapshot per recommendation and a materiality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6F3C" w:sz="16"/>
              <w:bottom w:val="none"/>
              <w:right w:val="none"/>
            </w:tcBorders>
            <w:shd w:fill="ECF4EE" w:val="clear"/>
            <w:tcMar>
              <w:top w:type="dxa" w:w="120"/>
              <w:left w:type="dxa" w:w="200"/>
              <w:bottom w:type="dxa" w:w="120"/>
              <w:right w:type="dxa" w:w="200"/>
            </w:tcMar>
          </w:tcPr>
          <w:p>
            <w:pPr>
              <w:spacing w:after="60"/>
            </w:pPr>
            <w:r>
              <w:rPr>
                <w:rFonts w:ascii="Arial" w:cs="Arial" w:eastAsia="Arial" w:hAnsi="Arial"/>
                <w:b/>
                <w:bCs/>
                <w:color w:val="1E6F3C"/>
                <w:sz w:val="18"/>
                <w:szCs w:val="18"/>
              </w:rPr>
              <w:t xml:space="preserve">PRINCIPLE  —  </w:t>
            </w:r>
            <w:r>
              <w:rPr>
                <w:rFonts w:ascii="Arial" w:cs="Arial" w:eastAsia="Arial" w:hAnsi="Arial"/>
                <w:b/>
                <w:bCs/>
                <w:color w:val="1A1A2E"/>
                <w:sz w:val="18"/>
                <w:szCs w:val="18"/>
              </w:rPr>
              <w:t xml:space="preserve">Why simulate</w:t>
            </w:r>
          </w:p>
          <w:p>
            <w:pPr>
              <w:spacing w:after="120" w:line="276"/>
            </w:pPr>
            <w:r>
              <w:rPr>
                <w:rFonts w:ascii="Arial" w:cs="Arial" w:eastAsia="Arial" w:hAnsi="Arial"/>
              </w:rPr>
              <w:t xml:space="preserve">A recommendation that triggers cleanly on engine scores may still barely move the portfolio. Simulation is the reality check: it builds the portfolio that would result from the action, re-runs the analytics, and lets the platform drop changes that are not worth the investor's effort.</w:t>
            </w:r>
          </w:p>
        </w:tc>
      </w:tr>
    </w:tbl>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IS-1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Simulate Every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Applies to every recommendation that survived Arbitration.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None — unconditional.</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Construct the post-action portfolio and report the delta for five metrics: overlap, volatility, diversification, goal probability, and drawdown.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recommendation should carry an evidenced, quantified expected effect — not just a trigger reason. This is what lets the Copilot answer “what improves?”</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a recommendation cannot be simulated (e.g. missing data downstream), it is tagged simulation_unavailable rather than silently passed.</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Re-invokes the analytics, goal, and risk engines on the hypothetical portfolio.</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IS-2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Materiality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modelled improvement is marginal across all five key metrics.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metric delta is below the materiality threshold (calibration-set).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Suppress the recommendation — even though engine scores triggered 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Recommending a change that produces no meaningful improvement erodes trust and creates needless transactions. If nothing material improves, the platform stays silent.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even one metric improves materially, the recommendation survives. A recommendation suppressed here is logged with its sub-threshold deltas for audit.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Final gate before the recommendation reaches the Copilot.</w:t>
            </w:r>
          </w:p>
        </w:tc>
      </w:tr>
    </w:tbl>
    <w:p>
      <w:pPr>
        <w:spacing w:after="60"/>
      </w:pPr>
      <w:r>
        <w:rPr>
          <w:rFonts w:ascii="Arial" w:cs="Arial" w:eastAsia="Arial" w:hAnsi="Arial"/>
        </w:rPr>
        <w:t xml:space="preserve"/>
      </w:r>
    </w:p>
    <w:p>
      <w:pPr>
        <w:pStyle w:val="Heading3"/>
      </w:pPr>
      <w:r>
        <w:rPr>
          <w:rFonts w:ascii="Arial" w:cs="Arial" w:eastAsia="Arial" w:hAnsi="Arial"/>
          <w:b/>
          <w:bCs/>
        </w:rPr>
        <w:t xml:space="preserve">Method</w:t>
      </w:r>
    </w:p>
    <w:p>
      <w:pPr>
        <w:spacing w:after="120" w:line="276"/>
      </w:pPr>
      <w:r>
        <w:rPr>
          <w:rFonts w:ascii="Arial" w:cs="Arial" w:eastAsia="Arial" w:hAnsi="Arial"/>
        </w:rPr>
        <w:t xml:space="preserve">Simulation constructs the hypothetical portfolio that would result from applying the action, then re-runs the analytics, goal, and risk engines on it. The before and after metric sets are attached to the recommendation object's simulation field, so every recommendation carries its own evidence.</w:t>
      </w:r>
    </w:p>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Before/after snapshot</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five key metrics for the current and post-action portfolio.</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Materiality verdict</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Whether the modelled improvement clears the materiality threshold.</w:t>
            </w:r>
          </w:p>
        </w:tc>
      </w:tr>
    </w:tbl>
    <w:p>
      <w:pPr>
        <w:pBdr>
          <w:bottom w:val="single" w:color="1B5299" w:sz="6" w:space="1"/>
        </w:pBdr>
        <w:spacing w:after="160" w:before="80"/>
      </w:pPr>
      <w:r>
        <w:rPr>
          <w:rFonts w:ascii="Arial" w:cs="Arial" w:eastAsia="Arial" w:hAnsi="Arial"/>
        </w:rPr>
        <w:t xml:space="preserve"/>
      </w:r>
    </w:p>
    <w:p>
      <w:pPr>
        <w:pStyle w:val="Heading1"/>
      </w:pPr>
      <w:r>
        <w:rPr>
          <w:rFonts w:ascii="Arial" w:cs="Arial" w:eastAsia="Arial" w:hAnsi="Arial"/>
          <w:b/>
          <w:bCs/>
        </w:rPr>
        <w:t xml:space="preserve">10.13  Copilot Engine</w:t>
      </w:r>
    </w:p>
    <w:p>
      <w:pPr>
        <w:pStyle w:val="Heading2"/>
      </w:pPr>
      <w:r>
        <w:rPr>
          <w:rFonts w:ascii="Arial" w:cs="Arial" w:eastAsia="Arial" w:hAnsi="Arial"/>
          <w:b/>
          <w:bCs/>
        </w:rPr>
        <w:t xml:space="preserve">  </w:t>
      </w:r>
    </w:p>
    <w:p>
      <w:pPr>
        <w:spacing w:after="120" w:line="276"/>
      </w:pPr>
      <w:r>
        <w:rPr>
          <w:rFonts w:ascii="Arial" w:cs="Arial" w:eastAsia="Arial" w:hAnsi="Arial"/>
          <w:b/>
          <w:bCs/>
        </w:rPr>
        <w:t xml:space="preserve">Purpose.  </w:t>
      </w:r>
      <w:r>
        <w:rPr>
          <w:rFonts w:ascii="Arial" w:cs="Arial" w:eastAsia="Arial" w:hAnsi="Arial"/>
        </w:rPr>
        <w:t xml:space="preserve">Provide a conversational explanation layer over the structured recommendation set. The Copilot makes the analysis understandable — it does not perform the analysis.</w:t>
      </w:r>
    </w:p>
    <w:p>
      <w:pPr>
        <w:spacing w:after="120" w:line="276"/>
      </w:pPr>
      <w:r>
        <w:rPr>
          <w:rFonts w:ascii="Arial" w:cs="Arial" w:eastAsia="Arial" w:hAnsi="Arial"/>
          <w:b/>
          <w:bCs/>
        </w:rPr>
        <w:t xml:space="preserve">Execution stage.  </w:t>
      </w:r>
      <w:r>
        <w:rPr>
          <w:rFonts w:ascii="Arial" w:cs="Arial" w:eastAsia="Arial" w:hAnsi="Arial"/>
        </w:rPr>
        <w:t xml:space="preserve">Runs last, over the final recommendation set from Simulation.</w:t>
      </w:r>
    </w:p>
    <w:p>
      <w:pPr>
        <w:spacing w:after="120" w:line="276"/>
      </w:pPr>
      <w:r>
        <w:rPr>
          <w:rFonts w:ascii="Arial" w:cs="Arial" w:eastAsia="Arial" w:hAnsi="Arial"/>
          <w:b/>
          <w:bCs/>
        </w:rPr>
        <w:t xml:space="preserve">Primary inputs.  </w:t>
      </w:r>
      <w:r>
        <w:rPr>
          <w:rFonts w:ascii="Arial" w:cs="Arial" w:eastAsia="Arial" w:hAnsi="Arial"/>
        </w:rPr>
        <w:t xml:space="preserve">The final recommendation set with full traces, plus the investor's questions.</w:t>
      </w:r>
    </w:p>
    <w:p>
      <w:pPr>
        <w:spacing w:after="120" w:line="276"/>
      </w:pPr>
      <w:r>
        <w:rPr>
          <w:rFonts w:ascii="Arial" w:cs="Arial" w:eastAsia="Arial" w:hAnsi="Arial"/>
          <w:b/>
          <w:bCs/>
        </w:rPr>
        <w:t xml:space="preserve">Primary outputs.  </w:t>
      </w:r>
      <w:r>
        <w:rPr>
          <w:rFonts w:ascii="Arial" w:cs="Arial" w:eastAsia="Arial" w:hAnsi="Arial"/>
        </w:rPr>
        <w:t xml:space="preserve">Conversational explanations, portfolio Q&amp;A grounded in engine facts, and trade-off narration.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The LLM explains; it never decides</w:t>
            </w:r>
          </w:p>
          <w:p>
            <w:pPr>
              <w:spacing w:after="120" w:line="276"/>
            </w:pPr>
            <w:r>
              <w:rPr>
                <w:rFonts w:ascii="Arial" w:cs="Arial" w:eastAsia="Arial" w:hAnsi="Arial"/>
              </w:rPr>
              <w:t xml:space="preserve">This is the hard boundary of the entire platform. Every recommendation is produced by the deterministic engines above. The Copilot's job is to narrate them — clearly, honestly, in plain language. It has no authority to create, alter, or contradict a recommendation, and it must not improvise advice when asked to step outside the engine output.</w:t>
            </w:r>
          </w:p>
        </w:tc>
      </w:tr>
    </w:tbl>
    <w:p>
      <w:pPr>
        <w:pStyle w:val="Heading3"/>
      </w:pPr>
      <w:r>
        <w:rPr>
          <w:rFonts w:ascii="Arial" w:cs="Arial" w:eastAsia="Arial" w:hAnsi="Arial"/>
          <w:b/>
          <w:bCs/>
        </w:rPr>
        <w:t xml:space="preserve">Rules</w:t>
      </w:r>
    </w:p>
    <w:p>
      <w:pPr>
        <w:keepNext/>
        <w:spacing w:after="60" w:before="180"/>
      </w:pPr>
      <w:r>
        <w:rPr>
          <w:rFonts w:ascii="Consolas" w:cs="Consolas" w:eastAsia="Consolas" w:hAnsi="Consolas"/>
          <w:b/>
          <w:bCs/>
          <w:color w:val="0F3460"/>
          <w:sz w:val="20"/>
          <w:szCs w:val="20"/>
        </w:rPr>
        <w:t xml:space="preserve">CP-1</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No Invention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Applies to every Copilot response.</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None — absolute constraint.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Copilot narrates only what the engines produced. It cannot invent, alter, or contradict a recommendation.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 platform's integrity rests on recommendations being deterministic and auditable. An LLM that edits them breaks that guarantee.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the engines produced no recommendation on a topic, the Copilot says so — it does not fill the gap with an opinion.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Consumes the recommendation set and traces unchanged.</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CP-2</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Overlays Are Context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 response would reference technical or valuation overlays.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Conditional — whenever overlay data is mentioned.</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Present technical and valuation overlays as tactical context only, never as the basis of a recommendation.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Overlays are supporting colour, not decision drivers. Presenting them as reasons would imply the platform makes market-timing calls, which it does not.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an investor asks the Copilot to act on an overlay, CP-2 and the hard boundary together require it to decline and explain.</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Works with the analysis-only positioning described in the NFR section.</w:t>
            </w:r>
          </w:p>
        </w:tc>
      </w:tr>
    </w:tbl>
    <w:p>
      <w:pPr>
        <w:spacing w:after="60"/>
      </w:pPr>
      <w:r>
        <w:rPr>
          <w:rFonts w:ascii="Arial" w:cs="Arial" w:eastAsia="Arial" w:hAnsi="Arial"/>
        </w:rPr>
        <w:t xml:space="preserve"/>
      </w:r>
    </w:p>
    <w:p>
      <w:pPr>
        <w:keepNext/>
        <w:spacing w:after="60" w:before="180"/>
      </w:pPr>
      <w:r>
        <w:rPr>
          <w:rFonts w:ascii="Consolas" w:cs="Consolas" w:eastAsia="Consolas" w:hAnsi="Consolas"/>
          <w:b/>
          <w:bCs/>
          <w:color w:val="0F3460"/>
          <w:sz w:val="20"/>
          <w:szCs w:val="20"/>
        </w:rPr>
        <w:t xml:space="preserve">CP-3</w:t>
      </w:r>
      <w:r>
        <w:rPr>
          <w:rFonts w:ascii="Arial" w:cs="Arial" w:eastAsia="Arial" w:hAnsi="Arial"/>
          <w:b/>
          <w:bCs/>
          <w:color w:val="5B6473"/>
          <w:sz w:val="20"/>
          <w:szCs w:val="20"/>
        </w:rPr>
        <w:t xml:space="preserve">  —  </w:t>
      </w:r>
      <w:r>
        <w:rPr>
          <w:rFonts w:ascii="Arial" w:cs="Arial" w:eastAsia="Arial" w:hAnsi="Arial"/>
          <w:b/>
          <w:bCs/>
          <w:color w:val="16213E"/>
          <w:sz w:val="20"/>
          <w:szCs w:val="20"/>
        </w:rPr>
        <w:t xml:space="preserve">Five-Question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Attribute</w:t>
            </w:r>
          </w:p>
        </w:tc>
        <w:tc>
          <w:tcPr>
            <w:tcW w:type="dxa" w:w="71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Specification</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Trigger</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Applies to every recommendation the Copilot explains.</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Threshold</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None — a completeness requirement.</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Action</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For each recommendation the Copilot must be able to answer: (1) Why is this recommended? (2) What improves? (3) What are the trade-offs? (4) How confident is the system? (5) What is the tax impact?</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Rationale</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These five questions are what an investor needs to make an informed decision. A recommendation that cannot answer all five is not yet explainable enough to surface.</w:t>
            </w:r>
          </w:p>
        </w:tc>
      </w:tr>
      <w:tr>
        <w:tc>
          <w:tcPr>
            <w:tcW w:type="dxa" w:w="22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Edge cases</w:t>
            </w:r>
          </w:p>
        </w:tc>
        <w:tc>
          <w:tcPr>
            <w:tcW w:type="dxa" w:w="71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If tax data was suppressed by DV-3, question 5 is answered honestly as “tax impact could not be computed because cost basis is missing.”</w:t>
            </w:r>
          </w:p>
        </w:tc>
      </w:tr>
      <w:tr>
        <w:tc>
          <w:tcPr>
            <w:tcW w:type="dxa" w:w="22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b/>
                <w:bCs/>
                <w:sz w:val="18"/>
                <w:szCs w:val="18"/>
              </w:rPr>
              <w:t xml:space="preserve">Depends on</w:t>
            </w:r>
          </w:p>
        </w:tc>
        <w:tc>
          <w:tcPr>
            <w:tcW w:type="dxa" w:w="71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Draws answers from the trace, the simulation field, and the data_quality flags.</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A93B" w:sz="16"/>
              <w:bottom w:val="none"/>
              <w:right w:val="none"/>
            </w:tcBorders>
            <w:shd w:fill="FFF4E0" w:val="clear"/>
            <w:tcMar>
              <w:top w:type="dxa" w:w="120"/>
              <w:left w:type="dxa" w:w="200"/>
              <w:bottom w:type="dxa" w:w="120"/>
              <w:right w:type="dxa" w:w="200"/>
            </w:tcMar>
          </w:tcPr>
          <w:p>
            <w:pPr>
              <w:spacing w:after="60"/>
            </w:pPr>
            <w:r>
              <w:rPr>
                <w:rFonts w:ascii="Arial" w:cs="Arial" w:eastAsia="Arial" w:hAnsi="Arial"/>
                <w:b/>
                <w:bCs/>
                <w:color w:val="E0A93B"/>
                <w:sz w:val="18"/>
                <w:szCs w:val="18"/>
              </w:rPr>
              <w:t xml:space="preserve">IMPORTANT  —  </w:t>
            </w:r>
            <w:r>
              <w:rPr>
                <w:rFonts w:ascii="Arial" w:cs="Arial" w:eastAsia="Arial" w:hAnsi="Arial"/>
                <w:b/>
                <w:bCs/>
                <w:color w:val="1A1A2E"/>
                <w:sz w:val="18"/>
                <w:szCs w:val="18"/>
              </w:rPr>
              <w:t xml:space="preserve">Hard boundary</w:t>
            </w:r>
          </w:p>
          <w:p>
            <w:pPr>
              <w:spacing w:after="120" w:line="276"/>
            </w:pPr>
            <w:r>
              <w:rPr>
                <w:rFonts w:ascii="Arial" w:cs="Arial" w:eastAsia="Arial" w:hAnsi="Arial"/>
                <w:b/>
                <w:bCs/>
              </w:rPr>
              <w:t xml:space="preserve">The LLM explains; it never decides.  </w:t>
            </w:r>
            <w:r>
              <w:rPr>
                <w:rFonts w:ascii="Arial" w:cs="Arial" w:eastAsia="Arial" w:hAnsi="Arial"/>
              </w:rPr>
              <w:t xml:space="preserve">If an investor asks the Copilot to act outside the recommendation set — for example “just tell me what to buy” — it explains the platform's analysis-only positioning rather than improvising advice.</w:t>
            </w:r>
          </w:p>
        </w:tc>
      </w:tr>
    </w:tbl>
    <w:p>
      <w:pPr>
        <w:pStyle w:val="Heading3"/>
      </w:pPr>
      <w:r>
        <w:rPr>
          <w:rFonts w:ascii="Arial" w:cs="Arial" w:eastAsia="Arial" w:hAnsi="Arial"/>
          <w:b/>
          <w:bCs/>
        </w:rPr>
        <w:t xml:space="preserve">Outputs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Output</w:t>
            </w:r>
          </w:p>
        </w:tc>
        <w:tc>
          <w:tcPr>
            <w:tcW w:type="dxa" w:w="65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Definition</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Conversational explanations</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Plain-language narration of each recommendation.</w:t>
            </w:r>
          </w:p>
        </w:tc>
      </w:tr>
      <w:tr>
        <w:tc>
          <w:tcPr>
            <w:tcW w:type="dxa" w:w="28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Q&amp;A</w:t>
            </w:r>
          </w:p>
        </w:tc>
        <w:tc>
          <w:tcPr>
            <w:tcW w:type="dxa" w:w="65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Answers to investor questions, grounded strictly in engine facts.</w:t>
            </w:r>
          </w:p>
        </w:tc>
      </w:tr>
      <w:tr>
        <w:tc>
          <w:tcPr>
            <w:tcW w:type="dxa" w:w="28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Trade-off narration</w:t>
            </w:r>
          </w:p>
        </w:tc>
        <w:tc>
          <w:tcPr>
            <w:tcW w:type="dxa" w:w="65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Honest presentation of what each action costs as well as gains.</w:t>
            </w:r>
          </w:p>
        </w:tc>
      </w:tr>
    </w:tbl>
    <w:p>
      <w:r>
        <w:br w:type="page"/>
      </w:r>
    </w:p>
    <w:p>
      <w:pPr>
        <w:pStyle w:val="Heading1"/>
      </w:pPr>
      <w:r>
        <w:rPr>
          <w:rFonts w:ascii="Arial" w:cs="Arial" w:eastAsia="Arial" w:hAnsi="Arial"/>
          <w:b/>
          <w:bCs/>
        </w:rPr>
        <w:t xml:space="preserve">Appendix — Cross-Engine Quick Reference</w:t>
      </w:r>
    </w:p>
    <w:p>
      <w:pPr>
        <w:spacing w:after="120" w:line="276"/>
      </w:pPr>
      <w:r>
        <w:rPr>
          <w:rFonts w:ascii="Arial" w:cs="Arial" w:eastAsia="Arial" w:hAnsi="Arial"/>
        </w:rPr>
        <w:t xml:space="preserve">Every rule in the rule book, in one table, for fast lookup. Full specifications are in the engine sections above.</w:t>
      </w:r>
    </w:p>
    <w:p>
      <w:pPr>
        <w:pStyle w:val="Heading3"/>
      </w:pPr>
      <w:r>
        <w:rPr>
          <w:rFonts w:ascii="Arial" w:cs="Arial" w:eastAsia="Arial" w:hAnsi="Arial"/>
          <w:b/>
          <w:bCs/>
        </w:rPr>
        <w:t xml:space="preserve">All Rules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Rule</w:t>
            </w:r>
          </w:p>
        </w:tc>
        <w:tc>
          <w:tcPr>
            <w:tcW w:type="dxa" w:w="23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Engine</w:t>
            </w:r>
          </w:p>
        </w:tc>
        <w:tc>
          <w:tcPr>
            <w:tcW w:type="dxa" w:w="59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Trigger → Action</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DV-1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Validation</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Coverage &lt; 90% → suppress allocation-level recommendations</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DV-2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Validation</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NAV/price age &gt; 5 market days → suppress valuation-sensitive recs</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DV-3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Validation</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Acquisition price missing → suppress tax-aware recs for holding</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DV-4</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Data Validation</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Stock fundamentals missing → mark PARTIAL, renormalise weights</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Equity above horizon ceiling → REDUCE to ceiling</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Horizon &lt; 5y AND smallcap &gt; 20% → REDUCE smallcap</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Retirement goal &lt; 10y away → phased debt glide path</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GA-4</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Alignment</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Projected corpus &lt; target → flag funding shortfall</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Alignment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Conservative caps breached → REDUCE the exposure</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Alignment</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Volatility &gt; profile threshold → REDUCE_RISK, top contributors first</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RA-3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Alignment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 &gt; profile tolerance → flag drawdown mismatch</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PA-1</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Analytics</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Equity funds &gt; 8 AND negligible gain → SIMPLIFY</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PA-2</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Analytics</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Metric: effective_holdings = 1 / Sum(weight^2)</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PA-3</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Analytics</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Single AMC &gt; 40% → reduce AMC concentration</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&gt; 70% → consolidation candidate (run OV-3)</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50–70% → lower-priority cleanup item</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Keep Score decides which fund of a pair to retain</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CR-1</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Correlation</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Return correlation &gt; 0.85 → mark behaviourally redundant</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Impact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Allocation weight → severity multiplier 0.4–1.7</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Impact</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weighted_overlap = overlap × min(weight_a, weight_b)</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Impact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FINAL_PRIORITY = base × alloc × goal × risk multipliers</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PI-4</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Impact</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CONTRIBUTION = weight × divers × return × risk contributions</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MF-EX-1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MF Scoring</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Quality ≤ 2.5 AND overlap &lt; 80% → force HOLD</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MF-EX-2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MF Scoring</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cost &gt; exit benefit → suppress EXIT</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TX-1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Engine</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cost &gt; expected benefit → suppress EXIT</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TX-2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Engine</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Exit load active → defer switch until load lapses</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TX-3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Engine</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Phasing improves LTCG treatment → prefer phased exit</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AR-1</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vs. instrument conflict → goal wins</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AR-2</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Tax-destructive action → downgrade or remove</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AR-3</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Arbitration</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Confidence &lt; threshold → downgrade severity one level</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IS-1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Simulation</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rec → model before/after on five metrics</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IS-2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Simulation</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Improvement marginal on all metrics → suppress rec</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CP-1</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Always → narrate only; never invent or alter</w:t>
            </w:r>
          </w:p>
        </w:tc>
      </w:tr>
      <w:tr>
        <w:tc>
          <w:tcPr>
            <w:tcW w:type="dxa" w:w="11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CP-2</w:t>
            </w:r>
          </w:p>
        </w:tc>
        <w:tc>
          <w:tcPr>
            <w:tcW w:type="dxa" w:w="23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w:t>
            </w:r>
          </w:p>
        </w:tc>
        <w:tc>
          <w:tcPr>
            <w:tcW w:type="dxa" w:w="59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Overlay referenced → present as context only</w:t>
            </w:r>
          </w:p>
        </w:tc>
      </w:tr>
      <w:tr>
        <w:tc>
          <w:tcPr>
            <w:tcW w:type="dxa" w:w="11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CP-3</w:t>
            </w:r>
          </w:p>
        </w:tc>
        <w:tc>
          <w:tcPr>
            <w:tcW w:type="dxa" w:w="23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Copilot</w:t>
            </w:r>
          </w:p>
        </w:tc>
        <w:tc>
          <w:tcPr>
            <w:tcW w:type="dxa" w:w="59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Every rec → must answer all five investor questions</w:t>
            </w:r>
          </w:p>
        </w:tc>
      </w:tr>
    </w:tbl>
    <w:p>
      <w:pPr>
        <w:spacing w:after="80"/>
      </w:pPr>
      <w:r>
        <w:rPr>
          <w:rFonts w:ascii="Arial" w:cs="Arial" w:eastAsia="Arial" w:hAnsi="Arial"/>
        </w:rPr>
        <w:t xml:space="preserve"/>
      </w:r>
    </w:p>
    <w:p>
      <w:pPr>
        <w:pStyle w:val="Heading3"/>
      </w:pPr>
      <w:r>
        <w:rPr>
          <w:rFonts w:ascii="Arial" w:cs="Arial" w:eastAsia="Arial" w:hAnsi="Arial"/>
          <w:b/>
          <w:bCs/>
        </w:rPr>
        <w:t xml:space="preserve">Allocation Weightings — Master Table</w:t>
      </w:r>
    </w:p>
    <w:p>
      <w:pPr>
        <w:spacing w:after="120" w:line="276"/>
      </w:pPr>
      <w:r>
        <w:rPr>
          <w:rFonts w:ascii="Arial" w:cs="Arial" w:eastAsia="Arial" w:hAnsi="Arial"/>
        </w:rPr>
        <w:t xml:space="preserve">Every weighted formula in the rule book, with its component weights. All weight sets sum to 1.00.</w:t>
      </w:r>
    </w:p>
    <w:p>
      <w:pPr>
        <w:pStyle w:val="Heading4"/>
      </w:pPr>
      <w:r>
        <w:rPr>
          <w:rFonts w:ascii="Arial" w:cs="Arial" w:eastAsia="Arial" w:hAnsi="Arial"/>
          <w:b/>
          <w:bCs/>
        </w:rPr>
        <w:t xml:space="preserve">Goal Alignment GA-1 — Maximum Equity by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Horizon</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Equity ceiling</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Under 3 years</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3–5 years</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5–10 years</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75%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 10 years</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90%</w:t>
            </w:r>
          </w:p>
        </w:tc>
      </w:tr>
    </w:tbl>
    <w:p>
      <w:pPr>
        <w:spacing w:after="80"/>
      </w:pPr>
      <w:r>
        <w:rPr>
          <w:rFonts w:ascii="Arial" w:cs="Arial" w:eastAsia="Arial" w:hAnsi="Arial"/>
        </w:rPr>
        <w:t xml:space="preserve"/>
      </w:r>
    </w:p>
    <w:p>
      <w:pPr>
        <w:pStyle w:val="Heading4"/>
      </w:pPr>
      <w:r>
        <w:rPr>
          <w:rFonts w:ascii="Arial" w:cs="Arial" w:eastAsia="Arial" w:hAnsi="Arial"/>
          <w:b/>
          <w:bCs/>
        </w:rPr>
        <w:t xml:space="preserve">Risk Alignment RA-1 — Conservative-Profile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Exposure</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Cap</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Smallcap funds</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Sectoral / thematic funds</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Single direct stock</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8%</w:t>
            </w:r>
          </w:p>
        </w:tc>
      </w:tr>
    </w:tbl>
    <w:p>
      <w:pPr>
        <w:spacing w:after="80"/>
      </w:pPr>
      <w:r>
        <w:rPr>
          <w:rFonts w:ascii="Arial" w:cs="Arial" w:eastAsia="Arial" w:hAnsi="Arial"/>
        </w:rPr>
        <w:t xml:space="preserve"/>
      </w:r>
    </w:p>
    <w:p>
      <w:pPr>
        <w:pStyle w:val="Heading4"/>
      </w:pPr>
      <w:r>
        <w:rPr>
          <w:rFonts w:ascii="Arial" w:cs="Arial" w:eastAsia="Arial" w:hAnsi="Arial"/>
          <w:b/>
          <w:bCs/>
        </w:rPr>
        <w:t xml:space="preserve">Portfolio Impact PI-1 — Allocation Severity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Allocation weight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Multiplier</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Under 2%</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0.4</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0.7</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5–10%</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10–20%</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1.3</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 20%</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1.7</w:t>
            </w:r>
          </w:p>
        </w:tc>
      </w:tr>
    </w:tbl>
    <w:p>
      <w:pPr>
        <w:spacing w:after="80"/>
      </w:pPr>
      <w:r>
        <w:rPr>
          <w:rFonts w:ascii="Arial" w:cs="Arial" w:eastAsia="Arial" w:hAnsi="Arial"/>
        </w:rPr>
        <w:t xml:space="preserve"/>
      </w:r>
    </w:p>
    <w:p>
      <w:pPr>
        <w:pStyle w:val="Heading4"/>
      </w:pPr>
      <w:r>
        <w:rPr>
          <w:rFonts w:ascii="Arial" w:cs="Arial" w:eastAsia="Arial" w:hAnsi="Arial"/>
          <w:b/>
          <w:bCs/>
        </w:rPr>
        <w:t xml:space="preserve">Overlap OV-3 — Keep-Fund Score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NIDP score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0.35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Consistency score</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Risk-adjusted return</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Expense score</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Manager stability</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fit</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MF Scoring — Exit Score Weights (0–10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 component</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impact component</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Inverse quality component</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Cost component</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Portfolio fit component</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MF Scoring — Quality Subscore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Performance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Risk-adjusted return</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Consistency</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Drawdown behaviour</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Expense ratio</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AUM stability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Stock Scoring — Quality Score Weights (0–100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Return on equity (ROE)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Earnings consistency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EPS growth</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Debt-to-equity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Promoter holding</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Market-cap stability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Stock Scoring — Exit Score Weights (0–100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PE overvaluation</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Earnings decline</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Quality deterioration</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Debt spike</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Liquidity risk</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Tax impact</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Arbitration — Priority Formula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Component</w:t>
            </w:r>
          </w:p>
        </w:tc>
        <w:tc>
          <w:tcPr>
            <w:tcW w:type="dxa" w:w="468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Weight</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Risk reduction</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0.30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Diversification gain</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Goal impact</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0.20</w:t>
            </w:r>
          </w:p>
        </w:tc>
      </w:tr>
      <w:tr>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Urgency</w:t>
            </w:r>
          </w:p>
        </w:tc>
        <w:tc>
          <w:tcPr>
            <w:tcW w:type="dxa" w:w="468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0.15</w:t>
            </w:r>
          </w:p>
        </w:tc>
      </w:tr>
      <w:tr>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Implementation ease</w:t>
            </w:r>
          </w:p>
        </w:tc>
        <w:tc>
          <w:tcPr>
            <w:tcW w:type="dxa" w:w="468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r>
    </w:tbl>
    <w:p>
      <w:pPr>
        <w:spacing w:after="80"/>
      </w:pPr>
      <w:r>
        <w:rPr>
          <w:rFonts w:ascii="Arial" w:cs="Arial" w:eastAsia="Arial" w:hAnsi="Arial"/>
        </w:rPr>
        <w:t xml:space="preserve"/>
      </w:r>
    </w:p>
    <w:p>
      <w:pPr>
        <w:pStyle w:val="Heading4"/>
      </w:pPr>
      <w:r>
        <w:rPr>
          <w:rFonts w:ascii="Arial" w:cs="Arial" w:eastAsia="Arial" w:hAnsi="Arial"/>
          <w:b/>
          <w:bCs/>
        </w:rPr>
        <w:t xml:space="preserve">Action Threshold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Engine</w:t>
            </w:r>
          </w:p>
        </w:tc>
        <w:tc>
          <w:tcPr>
            <w:tcW w:type="dxa" w:w="160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Scale</w:t>
            </w:r>
          </w:p>
        </w:tc>
        <w:tc>
          <w:tcPr>
            <w:tcW w:type="dxa" w:w="5360"/>
            <w:tcBorders>
              <w:top w:val="single" w:color="C9D2DD" w:sz="2"/>
              <w:left w:val="single" w:color="C9D2DD" w:sz="2"/>
              <w:bottom w:val="single" w:color="C9D2DD" w:sz="2"/>
              <w:right w:val="single" w:color="C9D2DD" w:sz="2"/>
            </w:tcBorders>
            <w:shd w:fill="0F3460" w:val="clear"/>
            <w:tcMar>
              <w:top w:type="dxa" w:w="80"/>
              <w:left w:type="dxa" w:w="120"/>
              <w:bottom w:type="dxa" w:w="80"/>
              <w:right w:type="dxa" w:w="120"/>
            </w:tcMar>
            <w:vAlign w:val="center"/>
          </w:tcPr>
          <w:p>
            <w:pPr>
              <w:spacing w:after="0"/>
              <w:jc w:val="left"/>
            </w:pPr>
            <w:r>
              <w:rPr>
                <w:rFonts w:ascii="Arial" w:cs="Arial" w:eastAsia="Arial" w:hAnsi="Arial"/>
                <w:b/>
                <w:bCs/>
                <w:color w:val="FFFFFF"/>
                <w:sz w:val="19"/>
                <w:szCs w:val="19"/>
              </w:rPr>
              <w:t xml:space="preserve">Thresholds</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MF Scoring Exit</w:t>
            </w:r>
          </w:p>
        </w:tc>
        <w:tc>
          <w:tcPr>
            <w:tcW w:type="dxa" w:w="1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w:t>
            </w:r>
          </w:p>
        </w:tc>
        <w:tc>
          <w:tcPr>
            <w:tcW w:type="dxa" w:w="5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7 EXIT  ·  4–7 HOLD  ·  &lt; 4 KEEP</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Stock Scoring Exit</w:t>
            </w:r>
          </w:p>
        </w:tc>
        <w:tc>
          <w:tcPr>
            <w:tcW w:type="dxa" w:w="1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0–100</w:t>
            </w:r>
          </w:p>
        </w:tc>
        <w:tc>
          <w:tcPr>
            <w:tcW w:type="dxa" w:w="5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 75 EXIT  ·  60–75 TRIM</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Stock Scoring Quality</w:t>
            </w:r>
          </w:p>
        </w:tc>
        <w:tc>
          <w:tcPr>
            <w:tcW w:type="dxa" w:w="1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0–100</w:t>
            </w:r>
          </w:p>
        </w:tc>
        <w:tc>
          <w:tcPr>
            <w:tcW w:type="dxa" w:w="5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&lt; 45 REVIEW (independent flag)</w:t>
            </w:r>
          </w:p>
        </w:tc>
      </w:tr>
      <w:tr>
        <w:tc>
          <w:tcPr>
            <w:tcW w:type="dxa" w:w="24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Overlap</w:t>
            </w:r>
          </w:p>
        </w:tc>
        <w:tc>
          <w:tcPr>
            <w:tcW w:type="dxa" w:w="160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0–100%</w:t>
            </w:r>
          </w:p>
        </w:tc>
        <w:tc>
          <w:tcPr>
            <w:tcW w:type="dxa" w:w="5360"/>
            <w:tcBorders>
              <w:top w:val="single" w:color="C9D2DD" w:sz="2"/>
              <w:left w:val="single" w:color="C9D2DD" w:sz="2"/>
              <w:bottom w:val="single" w:color="C9D2DD" w:sz="2"/>
              <w:right w:val="single" w:color="C9D2DD" w:sz="2"/>
            </w:tcBorders>
            <w:shd w:fill="FFFFFF"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&gt; 70% consolidate  ·  50–70% cleanup</w:t>
            </w:r>
          </w:p>
        </w:tc>
      </w:tr>
      <w:tr>
        <w:tc>
          <w:tcPr>
            <w:tcW w:type="dxa" w:w="24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Correlation</w:t>
            </w:r>
          </w:p>
        </w:tc>
        <w:tc>
          <w:tcPr>
            <w:tcW w:type="dxa" w:w="160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−1 to 1</w:t>
            </w:r>
          </w:p>
        </w:tc>
        <w:tc>
          <w:tcPr>
            <w:tcW w:type="dxa" w:w="5360"/>
            <w:tcBorders>
              <w:top w:val="single" w:color="C9D2DD" w:sz="2"/>
              <w:left w:val="single" w:color="C9D2DD" w:sz="2"/>
              <w:bottom w:val="single" w:color="C9D2DD" w:sz="2"/>
              <w:right w:val="single" w:color="C9D2DD" w:sz="2"/>
            </w:tcBorders>
            <w:shd w:fill="EEF3F8" w:val="clear"/>
            <w:tcMar>
              <w:top w:type="dxa" w:w="70"/>
              <w:left w:type="dxa" w:w="120"/>
              <w:bottom w:type="dxa" w:w="70"/>
              <w:right w:type="dxa" w:w="120"/>
            </w:tcMar>
            <w:vAlign w:val="center"/>
          </w:tcPr>
          <w:p>
            <w:pPr>
              <w:spacing w:after="0" w:line="264"/>
            </w:pPr>
            <w:r>
              <w:rPr>
                <w:rFonts w:ascii="Arial" w:cs="Arial" w:eastAsia="Arial" w:hAnsi="Arial"/>
                <w:sz w:val="19"/>
                <w:szCs w:val="19"/>
              </w:rPr>
              <w:t xml:space="preserve">&gt; 0.85 behaviourally redundant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4"/>
      </w:pBdr>
      <w:tabs>
        <w:tab w:val="right" w:pos="9360"/>
      </w:tabs>
    </w:pPr>
    <w:r>
      <w:rPr>
        <w:rFonts w:ascii="Arial" w:cs="Arial" w:eastAsia="Arial" w:hAnsi="Arial"/>
        <w:color w:val="5B6473"/>
        <w:sz w:val="16"/>
        <w:szCs w:val="16"/>
      </w:rPr>
      <w:t xml:space="preserve">Confidential — Internal Distribution Only</w:t>
    </w:r>
    <w:r>
      <w:rPr>
        <w:rFonts w:ascii="Arial" w:cs="Arial" w:eastAsia="Arial" w:hAnsi="Arial"/>
        <w:color w:val="5B6473"/>
        <w:sz w:val="16"/>
        <w:szCs w:val="16"/>
      </w:rPr>
      <w:t xml:space="preserve">	Page </w:t>
    </w:r>
    <w:r>
      <w:rPr>
        <w:rFonts w:ascii="Arial" w:cs="Arial" w:eastAsia="Arial" w:hAnsi="Arial"/>
        <w:color w:val="5B6473"/>
        <w:sz w:val="16"/>
        <w:szCs w:val="16"/>
      </w:rPr>
      <w:fldChar w:fldCharType="begin"/>
      <w:instrText xml:space="preserve">PAGE</w:instrText>
      <w:fldChar w:fldCharType="separate"/>
      <w:fldChar w:fldCharType="end"/>
    </w:r>
    <w:r>
      <w:rPr>
        <w:rFonts w:ascii="Arial" w:cs="Arial" w:eastAsia="Arial" w:hAnsi="Arial"/>
        <w:color w:val="5B6473"/>
        <w:sz w:val="16"/>
        <w:szCs w:val="16"/>
      </w:rPr>
      <w:t xml:space="preserve"> of </w:t>
    </w:r>
    <w:r>
      <w:rPr>
        <w:rFonts w:ascii="Arial" w:cs="Arial" w:eastAsia="Arial" w:hAnsi="Arial"/>
        <w:color w:val="5B64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tabs>
        <w:tab w:val="right" w:pos="9360"/>
      </w:tabs>
    </w:pPr>
    <w:r>
      <w:rPr>
        <w:rFonts w:ascii="Arial" w:cs="Arial" w:eastAsia="Arial" w:hAnsi="Arial"/>
        <w:b/>
        <w:bCs/>
        <w:color w:val="0F3460"/>
        <w:sz w:val="16"/>
        <w:szCs w:val="16"/>
      </w:rPr>
      <w:t xml:space="preserve">NIVESH</w:t>
    </w:r>
    <w:r>
      <w:rPr>
        <w:rFonts w:ascii="Arial" w:cs="Arial" w:eastAsia="Arial" w:hAnsi="Arial"/>
        <w:color w:val="5B6473"/>
        <w:sz w:val="16"/>
        <w:szCs w:val="16"/>
      </w:rPr>
      <w:t xml:space="preserve">	Engine Rule Book  ·  Elaborated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B529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299" w:sz="8" w:space="4"/>
      </w:pBdr>
      <w:spacing w:after="200" w:before="320"/>
      <w:outlineLvl w:val="0"/>
    </w:pPr>
    <w:rPr>
      <w:rFonts w:ascii="Arial" w:cs="Arial" w:eastAsia="Arial" w:hAnsi="Arial"/>
      <w:b/>
      <w:bCs/>
      <w:color w:val="0F3460"/>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6213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5299"/>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Nivesh Engine Rule Book - Elaborated Technical Reference</dc:title>
  <dc:creator>Product Management</dc:creator>
  <dc:description>Elaborated specification of every deterministic engine</dc:description>
  <cp:lastModifiedBy>Un-named</cp:lastModifiedBy>
  <cp:revision>1</cp:revision>
  <dcterms:created xsi:type="dcterms:W3CDTF">2026-05-25T07:24:27.796Z</dcterms:created>
  <dcterms:modified xsi:type="dcterms:W3CDTF">2026-05-25T07:24:27.806Z</dcterms:modified>
</cp:coreProperties>
</file>

<file path=docProps/custom.xml><?xml version="1.0" encoding="utf-8"?>
<Properties xmlns="http://schemas.openxmlformats.org/officeDocument/2006/custom-properties" xmlns:vt="http://schemas.openxmlformats.org/officeDocument/2006/docPropsVTypes"/>
</file>