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D13EC" w14:textId="77777777" w:rsidR="0001137B" w:rsidRDefault="00000000">
      <w:pPr>
        <w:spacing w:after="0" w:line="243" w:lineRule="auto"/>
        <w:ind w:left="0" w:firstLine="0"/>
      </w:pPr>
      <w:r>
        <w:rPr>
          <w:color w:val="17365D"/>
          <w:sz w:val="52"/>
        </w:rPr>
        <w:t xml:space="preserve">Amit </w:t>
      </w:r>
      <w:proofErr w:type="spellStart"/>
      <w:proofErr w:type="gramStart"/>
      <w:r>
        <w:rPr>
          <w:color w:val="17365D"/>
          <w:sz w:val="52"/>
        </w:rPr>
        <w:t>Rangari</w:t>
      </w:r>
      <w:proofErr w:type="spellEnd"/>
      <w:r>
        <w:rPr>
          <w:color w:val="17365D"/>
          <w:sz w:val="52"/>
        </w:rPr>
        <w:t xml:space="preserve">  </w:t>
      </w:r>
      <w:r>
        <w:rPr>
          <w:color w:val="17365D"/>
          <w:sz w:val="52"/>
        </w:rPr>
        <w:tab/>
      </w:r>
      <w:proofErr w:type="gramEnd"/>
      <w:r>
        <w:rPr>
          <w:color w:val="1155CC"/>
          <w:u w:val="single" w:color="1155CC"/>
        </w:rPr>
        <w:t>https://www.linkedin.com/in/amitrangari</w:t>
      </w:r>
      <w:r>
        <w:rPr>
          <w:sz w:val="34"/>
          <w:vertAlign w:val="subscript"/>
        </w:rPr>
        <w:t xml:space="preserve"> | </w:t>
      </w:r>
      <w:r>
        <w:t>amitrangari@gmail.com</w:t>
      </w:r>
      <w:r>
        <w:rPr>
          <w:color w:val="17365D"/>
          <w:sz w:val="52"/>
        </w:rPr>
        <w:t xml:space="preserve"> </w:t>
      </w:r>
    </w:p>
    <w:p w14:paraId="3A821C1A" w14:textId="77777777" w:rsidR="0001137B" w:rsidRDefault="00000000">
      <w:pPr>
        <w:spacing w:after="541" w:line="259" w:lineRule="auto"/>
        <w:ind w:left="-29" w:right="-73" w:firstLine="0"/>
      </w:pPr>
      <w:r>
        <w:rPr>
          <w:rFonts w:ascii="Calibri" w:eastAsia="Calibri" w:hAnsi="Calibri" w:cs="Calibri"/>
          <w:noProof/>
        </w:rPr>
        <mc:AlternateContent>
          <mc:Choice Requires="wpg">
            <w:drawing>
              <wp:inline distT="0" distB="0" distL="0" distR="0" wp14:anchorId="7AFAEC99" wp14:editId="0753AE49">
                <wp:extent cx="5977128" cy="12192"/>
                <wp:effectExtent l="0" t="0" r="0" b="0"/>
                <wp:docPr id="2141" name="Group 2141"/>
                <wp:cNvGraphicFramePr/>
                <a:graphic xmlns:a="http://schemas.openxmlformats.org/drawingml/2006/main">
                  <a:graphicData uri="http://schemas.microsoft.com/office/word/2010/wordprocessingGroup">
                    <wpg:wgp>
                      <wpg:cNvGrpSpPr/>
                      <wpg:grpSpPr>
                        <a:xfrm>
                          <a:off x="0" y="0"/>
                          <a:ext cx="5977128" cy="12192"/>
                          <a:chOff x="0" y="0"/>
                          <a:chExt cx="5977128" cy="12192"/>
                        </a:xfrm>
                      </wpg:grpSpPr>
                      <wps:wsp>
                        <wps:cNvPr id="2708" name="Shape 2708"/>
                        <wps:cNvSpPr/>
                        <wps:spPr>
                          <a:xfrm>
                            <a:off x="0" y="0"/>
                            <a:ext cx="5977128" cy="12192"/>
                          </a:xfrm>
                          <a:custGeom>
                            <a:avLst/>
                            <a:gdLst/>
                            <a:ahLst/>
                            <a:cxnLst/>
                            <a:rect l="0" t="0" r="0" b="0"/>
                            <a:pathLst>
                              <a:path w="5977128" h="12192">
                                <a:moveTo>
                                  <a:pt x="0" y="0"/>
                                </a:moveTo>
                                <a:lnTo>
                                  <a:pt x="5977128" y="0"/>
                                </a:lnTo>
                                <a:lnTo>
                                  <a:pt x="597712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141" style="width:470.64pt;height:0.959991pt;mso-position-horizontal-relative:char;mso-position-vertical-relative:line" coordsize="59771,121">
                <v:shape id="Shape 2709" style="position:absolute;width:59771;height:121;left:0;top:0;" coordsize="5977128,12192" path="m0,0l5977128,0l5977128,12192l0,12192l0,0">
                  <v:stroke weight="0pt" endcap="flat" joinstyle="miter" miterlimit="10" on="false" color="#000000" opacity="0"/>
                  <v:fill on="true" color="#4f81bd"/>
                </v:shape>
              </v:group>
            </w:pict>
          </mc:Fallback>
        </mc:AlternateContent>
      </w:r>
    </w:p>
    <w:p w14:paraId="2C7CE358" w14:textId="77777777" w:rsidR="0001137B" w:rsidRDefault="00000000">
      <w:pPr>
        <w:pStyle w:val="Heading1"/>
        <w:ind w:left="-5"/>
      </w:pPr>
      <w:r>
        <w:t xml:space="preserve">Summary </w:t>
      </w:r>
    </w:p>
    <w:p w14:paraId="4E2A6EE6" w14:textId="77777777" w:rsidR="0001137B" w:rsidRDefault="00000000">
      <w:pPr>
        <w:spacing w:after="538" w:line="279" w:lineRule="auto"/>
        <w:ind w:left="-15" w:firstLine="720"/>
      </w:pPr>
      <w:r>
        <w:t xml:space="preserve">Dynamic and accomplished IT professional with 20+ years of proven excellence in software development, application architecture, and DevOps. Renowned for spearheading complex, high-stakes projects that deliver transformative outcomes, streamline performance, and inspire innovation in enterprise settings—driven by a passion for AI and ML, dedicated to harnessing cutting-edge technologies to design practical, scalable solutions that solve real-world challenges and propel organizations forward. </w:t>
      </w:r>
    </w:p>
    <w:p w14:paraId="4CED55C8" w14:textId="77777777" w:rsidR="0001137B" w:rsidRDefault="00000000">
      <w:pPr>
        <w:pStyle w:val="Heading1"/>
        <w:ind w:left="-5"/>
      </w:pPr>
      <w:r>
        <w:t xml:space="preserve">Core Competencies </w:t>
      </w:r>
    </w:p>
    <w:p w14:paraId="4800A688" w14:textId="77777777" w:rsidR="0001137B" w:rsidRDefault="00000000">
      <w:pPr>
        <w:ind w:left="-5"/>
      </w:pPr>
      <w:r>
        <w:t xml:space="preserve">Leadership: Seasoned in leading large-scale programs to establish and optimize Software Development Life Cycles (SDLC), ensuring robust processes and alignment with organizational goals. Proven expertise in technical mentorship, fostering cross-functional collaboration, and driving strategic planning to integrate technology initiatives with business objectives seamlessly </w:t>
      </w:r>
    </w:p>
    <w:p w14:paraId="5C01972E" w14:textId="77777777" w:rsidR="0001137B" w:rsidRDefault="00000000">
      <w:pPr>
        <w:spacing w:after="10"/>
        <w:ind w:left="-5"/>
      </w:pPr>
      <w:r>
        <w:t xml:space="preserve">Architecture: Demonstrated expertise in designing and building entire platforms from the ground up, including spearheading the development of a robust </w:t>
      </w:r>
      <w:proofErr w:type="gramStart"/>
      <w:r>
        <w:t>esports</w:t>
      </w:r>
      <w:proofErr w:type="gramEnd"/>
      <w:r>
        <w:t xml:space="preserve"> startup platform. Proficient in microservices, cloud architectures (AWS &amp; GCP), service-oriented architectures (SOA), and enterprise integration systems, delivering solutions that are both scalable and resilient. </w:t>
      </w:r>
    </w:p>
    <w:p w14:paraId="4411AF81" w14:textId="77777777" w:rsidR="0001137B" w:rsidRDefault="00000000">
      <w:pPr>
        <w:spacing w:after="19" w:line="259" w:lineRule="auto"/>
        <w:ind w:left="0" w:firstLine="0"/>
      </w:pPr>
      <w:r>
        <w:t xml:space="preserve"> </w:t>
      </w:r>
    </w:p>
    <w:p w14:paraId="7586C200" w14:textId="77777777" w:rsidR="0001137B" w:rsidRDefault="00000000">
      <w:pPr>
        <w:ind w:left="-5"/>
      </w:pPr>
      <w:r>
        <w:t>DevOps: Extensive experience leading DevOps and shared services teams for a major cable company, driving efficiency and operational excellence. Conducted multiple consulting and advisory assignments for clients across North America and Canada, delivering tailored solutions to optimize workflows and infrastructure. Currently, hands-on with DevOps operations for the largest debit platform in North America. Proficient in automation, infrastructure as code (</w:t>
      </w:r>
      <w:proofErr w:type="spellStart"/>
      <w:r>
        <w:t>IaC</w:t>
      </w:r>
      <w:proofErr w:type="spellEnd"/>
      <w:r>
        <w:t xml:space="preserve">), and containerization using Docker and Kubernetes, ensuring streamlined deployment processes and enhanced system reliability. </w:t>
      </w:r>
    </w:p>
    <w:p w14:paraId="4DCD678B" w14:textId="77777777" w:rsidR="0001137B" w:rsidRDefault="00000000">
      <w:pPr>
        <w:spacing w:after="545"/>
        <w:ind w:left="-5"/>
      </w:pPr>
      <w:r>
        <w:t xml:space="preserve">Software Development: Expertise in </w:t>
      </w:r>
      <w:proofErr w:type="spellStart"/>
      <w:r>
        <w:t>JavaEE</w:t>
      </w:r>
      <w:proofErr w:type="spellEnd"/>
      <w:r>
        <w:t xml:space="preserve">, Agile methodologies, and test-driven development (TDD) with behavior-driven development (BDD), delivering robust, maintainable solutions. </w:t>
      </w:r>
    </w:p>
    <w:p w14:paraId="5C0A2EEA" w14:textId="77777777" w:rsidR="0001137B" w:rsidRDefault="00000000">
      <w:pPr>
        <w:pStyle w:val="Heading1"/>
        <w:spacing w:after="47"/>
        <w:ind w:left="-5"/>
      </w:pPr>
      <w:r>
        <w:t xml:space="preserve">Experience </w:t>
      </w:r>
    </w:p>
    <w:p w14:paraId="0DB6A4AC" w14:textId="77777777" w:rsidR="0001137B" w:rsidRDefault="00000000">
      <w:pPr>
        <w:pStyle w:val="Heading2"/>
        <w:ind w:left="-5"/>
      </w:pPr>
      <w:r>
        <w:t xml:space="preserve">DevOps Engineer - JPMC, Atlanta, GA - </w:t>
      </w:r>
      <w:r>
        <w:rPr>
          <w:color w:val="000000"/>
          <w:sz w:val="22"/>
        </w:rPr>
        <w:t>April 2023 – Till Date</w:t>
      </w:r>
      <w:r>
        <w:rPr>
          <w:color w:val="365F91"/>
          <w:sz w:val="28"/>
        </w:rPr>
        <w:t xml:space="preserve"> </w:t>
      </w:r>
    </w:p>
    <w:p w14:paraId="32D80FE9" w14:textId="77777777" w:rsidR="0001137B" w:rsidRDefault="00000000">
      <w:pPr>
        <w:ind w:left="-5"/>
      </w:pPr>
      <w:proofErr w:type="spellStart"/>
      <w:r>
        <w:t>TrueCD</w:t>
      </w:r>
      <w:proofErr w:type="spellEnd"/>
      <w:r>
        <w:t xml:space="preserve"> Compliance Implementation: Successfully established </w:t>
      </w:r>
      <w:proofErr w:type="spellStart"/>
      <w:r>
        <w:t>TrueCD</w:t>
      </w:r>
      <w:proofErr w:type="spellEnd"/>
      <w:r>
        <w:t xml:space="preserve"> compliance for DEBIT services by enhancing CI pipelines to automate the submission of test evidence, including contract, acceptance, and performance test results. </w:t>
      </w:r>
    </w:p>
    <w:p w14:paraId="25E724AE" w14:textId="77777777" w:rsidR="0001137B" w:rsidRDefault="00000000">
      <w:pPr>
        <w:ind w:left="-5"/>
      </w:pPr>
      <w:r>
        <w:lastRenderedPageBreak/>
        <w:t xml:space="preserve">Microservice Optimization: Streamlined microservice image sizes by eliminating redundant layers, resulting in a leaner and more efficient footprint, as well as improved deployment performance. </w:t>
      </w:r>
    </w:p>
    <w:p w14:paraId="2F76E22E" w14:textId="77777777" w:rsidR="0001137B" w:rsidRDefault="00000000">
      <w:pPr>
        <w:ind w:left="-5"/>
      </w:pPr>
      <w:r>
        <w:t xml:space="preserve">Lattice Development Contribution: Played a key role in Lattice development by defining and standardizing Gradle build patterns for DEBIT services, improving consistency and maintainability across projects. </w:t>
      </w:r>
    </w:p>
    <w:p w14:paraId="7ECFD6AC" w14:textId="77777777" w:rsidR="0001137B" w:rsidRDefault="00000000">
      <w:pPr>
        <w:spacing w:after="251"/>
        <w:ind w:left="-5"/>
      </w:pPr>
      <w:r>
        <w:t xml:space="preserve">Team Empowerment: Mentored and supported teams across various lines of business in the ATL location, driving adoption of </w:t>
      </w:r>
      <w:proofErr w:type="spellStart"/>
      <w:r>
        <w:t>TrueCD</w:t>
      </w:r>
      <w:proofErr w:type="spellEnd"/>
      <w:r>
        <w:t xml:space="preserve"> compliance and fostering a culture of continuous improvement. </w:t>
      </w:r>
    </w:p>
    <w:p w14:paraId="066B8E22" w14:textId="77777777" w:rsidR="0001137B" w:rsidRDefault="00000000">
      <w:pPr>
        <w:pStyle w:val="Heading2"/>
        <w:ind w:left="-5"/>
      </w:pPr>
      <w:r>
        <w:t xml:space="preserve">Associate Director of IT - Virtusa, India and USA - </w:t>
      </w:r>
      <w:r>
        <w:rPr>
          <w:color w:val="000000"/>
          <w:sz w:val="22"/>
        </w:rPr>
        <w:t>May 2022 – March 2023</w:t>
      </w:r>
      <w:r>
        <w:t xml:space="preserve"> </w:t>
      </w:r>
    </w:p>
    <w:p w14:paraId="67385563" w14:textId="77777777" w:rsidR="0001137B" w:rsidRDefault="00000000">
      <w:pPr>
        <w:ind w:left="-5"/>
      </w:pPr>
      <w:r>
        <w:t xml:space="preserve">Pipeline Optimization: Conducted an in-depth analysis of existing CI/CD pipelines to identify areas for improvement, resulting in a 70% reduction in build and deployment times through the application of advanced DevOps practices and automation. </w:t>
      </w:r>
    </w:p>
    <w:p w14:paraId="7730A927" w14:textId="77777777" w:rsidR="0001137B" w:rsidRDefault="00000000">
      <w:pPr>
        <w:spacing w:after="251"/>
        <w:ind w:left="-5"/>
      </w:pPr>
      <w:r>
        <w:t xml:space="preserve">Data Center Migration: Developed and implemented a robust data center migration strategy, leveraging automation to ensure seamless transitions with minimal downtime and enhanced system reliability. </w:t>
      </w:r>
    </w:p>
    <w:p w14:paraId="20D6367B" w14:textId="77777777" w:rsidR="0001137B" w:rsidRDefault="00000000">
      <w:pPr>
        <w:pStyle w:val="Heading2"/>
        <w:ind w:left="-5"/>
      </w:pPr>
      <w:r>
        <w:t xml:space="preserve">Principal Architect - Cloud Infra Services - LTI - </w:t>
      </w:r>
      <w:r>
        <w:rPr>
          <w:color w:val="000000"/>
          <w:sz w:val="22"/>
        </w:rPr>
        <w:t>Oct 2021 – April 2022</w:t>
      </w:r>
      <w:r>
        <w:t xml:space="preserve"> </w:t>
      </w:r>
    </w:p>
    <w:p w14:paraId="54F4C328" w14:textId="77777777" w:rsidR="0001137B" w:rsidRDefault="00000000">
      <w:pPr>
        <w:ind w:left="-5"/>
      </w:pPr>
      <w:r>
        <w:t xml:space="preserve">Full Stack Digital Operations (FSDO) Design: Architected a comprehensive Full Stack Digital Operations (FSDO) offering to demonstrate the full scope of DevOps capabilities and support considerations, guiding clients through platform modernization journeys. </w:t>
      </w:r>
    </w:p>
    <w:p w14:paraId="4CEFB165" w14:textId="77777777" w:rsidR="0001137B" w:rsidRDefault="00000000">
      <w:pPr>
        <w:spacing w:after="250"/>
        <w:ind w:left="-5"/>
      </w:pPr>
      <w:r>
        <w:t xml:space="preserve">Advisory Support: Provided strategic advisory services to an insurance client, focusing on infrastructure and service modernization to enhance operational efficiency and ensure future readiness. </w:t>
      </w:r>
    </w:p>
    <w:p w14:paraId="22753DB2" w14:textId="77777777" w:rsidR="0001137B" w:rsidRDefault="00000000">
      <w:pPr>
        <w:pStyle w:val="Heading2"/>
        <w:ind w:left="-5"/>
      </w:pPr>
      <w:r>
        <w:t xml:space="preserve">Sr. Architect - Cognizant, India, USA - Multiple Clients - </w:t>
      </w:r>
      <w:r>
        <w:rPr>
          <w:color w:val="000000"/>
          <w:sz w:val="22"/>
        </w:rPr>
        <w:t>May 2014 – Oct 2021</w:t>
      </w:r>
      <w:r>
        <w:t xml:space="preserve"> </w:t>
      </w:r>
    </w:p>
    <w:p w14:paraId="06CC8C84" w14:textId="77777777" w:rsidR="0001137B" w:rsidRDefault="00000000">
      <w:pPr>
        <w:ind w:left="-5"/>
      </w:pPr>
      <w:r>
        <w:t xml:space="preserve">DevOps Standardization &amp; SDLC Strategy: Conducted multiple assessments of DevOps processes, tool standardization, and SDLC practices, developing tailored strategies to optimize development lifecycles and enhance organizational efficiency. </w:t>
      </w:r>
    </w:p>
    <w:p w14:paraId="703755ED" w14:textId="77777777" w:rsidR="0001137B" w:rsidRDefault="00000000">
      <w:pPr>
        <w:ind w:left="-5"/>
      </w:pPr>
      <w:r>
        <w:t xml:space="preserve">Hybrid Cloud Migration: Designed and implemented a robust hybrid cloud migration strategy for a leading European pharmaceutical company, ensuring seamless integration and improved performance. </w:t>
      </w:r>
    </w:p>
    <w:p w14:paraId="15E86B39" w14:textId="77777777" w:rsidR="0001137B" w:rsidRDefault="00000000">
      <w:pPr>
        <w:ind w:left="-5"/>
      </w:pPr>
      <w:r>
        <w:t xml:space="preserve">DevOps Metrics &amp; Reporting: Developed comprehensive DevOps metrics and reporting frameworks for a Canadian telecom provider, delivering actionable insights to improve system performance and team productivity. </w:t>
      </w:r>
    </w:p>
    <w:p w14:paraId="10662295" w14:textId="77777777" w:rsidR="0001137B" w:rsidRDefault="00000000">
      <w:pPr>
        <w:ind w:left="-5"/>
      </w:pPr>
      <w:r>
        <w:t xml:space="preserve">Build &amp; Deployment Modernization: Engineered an advanced build and deployment strategy for ADP, successfully containerizing 100% of their HRMS and payroll services to enhance scalability, reliability, and operational efficiency. </w:t>
      </w:r>
    </w:p>
    <w:p w14:paraId="39495C6F" w14:textId="77777777" w:rsidR="0001137B" w:rsidRDefault="00000000">
      <w:pPr>
        <w:pStyle w:val="Heading2"/>
        <w:ind w:left="-5"/>
      </w:pPr>
      <w:r>
        <w:t xml:space="preserve">Advisory IT Architect - IBM, Australia, India, USA - </w:t>
      </w:r>
      <w:r>
        <w:rPr>
          <w:color w:val="000000"/>
          <w:sz w:val="22"/>
        </w:rPr>
        <w:t>Dec 2008 - April 2014</w:t>
      </w:r>
      <w:r>
        <w:t xml:space="preserve"> </w:t>
      </w:r>
    </w:p>
    <w:p w14:paraId="4E6BF1E7" w14:textId="77777777" w:rsidR="0001137B" w:rsidRDefault="00000000">
      <w:pPr>
        <w:spacing w:after="200" w:line="279" w:lineRule="auto"/>
        <w:ind w:left="0" w:right="370" w:firstLine="0"/>
        <w:jc w:val="both"/>
      </w:pPr>
      <w:r>
        <w:t xml:space="preserve">Application Architecture &amp; Change Management: Led architectural support and change management for Telstra's registration and enrollment platform, ensuring seamless updates and operational stability. </w:t>
      </w:r>
    </w:p>
    <w:p w14:paraId="1E2C141F" w14:textId="77777777" w:rsidR="0001137B" w:rsidRDefault="00000000">
      <w:pPr>
        <w:ind w:left="-5"/>
      </w:pPr>
      <w:r>
        <w:lastRenderedPageBreak/>
        <w:t xml:space="preserve">Regulatory Application Architecture: Served as Application Architect for multiple small- and medium-sized regulatory applications at Idea Cellular, optimizing system design to meet compliance and performance requirements. </w:t>
      </w:r>
    </w:p>
    <w:p w14:paraId="1C0C9DA4" w14:textId="77777777" w:rsidR="0001137B" w:rsidRDefault="00000000">
      <w:pPr>
        <w:ind w:left="-5"/>
      </w:pPr>
      <w:r>
        <w:t xml:space="preserve">Integration Architecture Development: Designed a robust integration architecture for automotive head units, facilitating seamless connectivity with entertainment service providers to enhance </w:t>
      </w:r>
      <w:proofErr w:type="spellStart"/>
      <w:r>
        <w:t>incar</w:t>
      </w:r>
      <w:proofErr w:type="spellEnd"/>
      <w:r>
        <w:t xml:space="preserve"> user experiences. </w:t>
      </w:r>
    </w:p>
    <w:p w14:paraId="2B084EC8" w14:textId="77777777" w:rsidR="0001137B" w:rsidRDefault="00000000">
      <w:pPr>
        <w:spacing w:after="538" w:line="279" w:lineRule="auto"/>
        <w:ind w:left="-5"/>
      </w:pPr>
      <w:r>
        <w:t xml:space="preserve">Note: Prior Experiences are excluded. Please email for details  </w:t>
      </w:r>
    </w:p>
    <w:p w14:paraId="78C31CF4" w14:textId="77777777" w:rsidR="0001137B" w:rsidRDefault="00000000">
      <w:pPr>
        <w:pStyle w:val="Heading1"/>
        <w:spacing w:after="98"/>
        <w:ind w:left="-5"/>
      </w:pPr>
      <w:r>
        <w:t xml:space="preserve">Education </w:t>
      </w:r>
    </w:p>
    <w:p w14:paraId="703AB5B9" w14:textId="77777777" w:rsidR="0001137B" w:rsidRDefault="00000000">
      <w:pPr>
        <w:tabs>
          <w:tab w:val="center" w:pos="6805"/>
        </w:tabs>
        <w:spacing w:after="8" w:line="259" w:lineRule="auto"/>
        <w:ind w:left="0" w:firstLine="0"/>
      </w:pPr>
      <w:r>
        <w:t xml:space="preserve">Master of Science in Computer Science </w:t>
      </w:r>
      <w:r>
        <w:tab/>
        <w:t xml:space="preserve">Bachelor of Engineering in Computer Science </w:t>
      </w:r>
    </w:p>
    <w:p w14:paraId="175A686E" w14:textId="77777777" w:rsidR="0001137B" w:rsidRDefault="00000000">
      <w:pPr>
        <w:tabs>
          <w:tab w:val="center" w:pos="6356"/>
        </w:tabs>
        <w:spacing w:after="634" w:line="259" w:lineRule="auto"/>
        <w:ind w:left="0" w:firstLine="0"/>
      </w:pPr>
      <w:r>
        <w:t xml:space="preserve">Manipal University, Pune, Oct 2012 </w:t>
      </w:r>
      <w:r>
        <w:tab/>
        <w:t xml:space="preserve">VNIT, Nagpur, MH, India, May 1997 </w:t>
      </w:r>
    </w:p>
    <w:p w14:paraId="0264FEEF" w14:textId="77777777" w:rsidR="0001137B" w:rsidRDefault="00000000">
      <w:pPr>
        <w:pStyle w:val="Heading1"/>
        <w:spacing w:after="92"/>
        <w:ind w:left="-5"/>
      </w:pPr>
      <w:r>
        <w:t xml:space="preserve">Skills and Certification </w:t>
      </w:r>
    </w:p>
    <w:p w14:paraId="7794C86C" w14:textId="77777777" w:rsidR="0001137B" w:rsidRDefault="00000000">
      <w:pPr>
        <w:numPr>
          <w:ilvl w:val="0"/>
          <w:numId w:val="1"/>
        </w:numPr>
        <w:spacing w:after="18"/>
        <w:ind w:hanging="122"/>
      </w:pPr>
      <w:r>
        <w:t xml:space="preserve">Languages: Python, Java, C#, JavaScript, SQL </w:t>
      </w:r>
      <w:r>
        <w:tab/>
        <w:t xml:space="preserve">AWS Certified Cloud Practitioner - Cloud: AWS, Google Cloud </w:t>
      </w:r>
    </w:p>
    <w:p w14:paraId="21D9E0E2" w14:textId="77777777" w:rsidR="0001137B" w:rsidRDefault="00000000">
      <w:pPr>
        <w:numPr>
          <w:ilvl w:val="0"/>
          <w:numId w:val="1"/>
        </w:numPr>
        <w:spacing w:after="12"/>
        <w:ind w:hanging="122"/>
      </w:pPr>
      <w:r>
        <w:t xml:space="preserve">Tech: Docker, Kubernetes, Jenkins, Ansible, </w:t>
      </w:r>
    </w:p>
    <w:p w14:paraId="3E94FC11" w14:textId="77777777" w:rsidR="0001137B" w:rsidRDefault="00000000">
      <w:pPr>
        <w:spacing w:after="13"/>
        <w:ind w:left="111"/>
      </w:pPr>
      <w:r>
        <w:t xml:space="preserve">Terraform </w:t>
      </w:r>
    </w:p>
    <w:p w14:paraId="7496FA54" w14:textId="77777777" w:rsidR="0001137B" w:rsidRDefault="00000000">
      <w:pPr>
        <w:numPr>
          <w:ilvl w:val="0"/>
          <w:numId w:val="1"/>
        </w:numPr>
        <w:spacing w:after="378"/>
        <w:ind w:hanging="122"/>
      </w:pPr>
      <w:r>
        <w:t xml:space="preserve">AI/ML: TensorFlow - Learning </w:t>
      </w:r>
    </w:p>
    <w:p w14:paraId="5F0E66C5" w14:textId="77777777" w:rsidR="0001137B" w:rsidRDefault="00000000">
      <w:pPr>
        <w:pStyle w:val="Heading1"/>
        <w:ind w:left="0" w:firstLine="0"/>
      </w:pPr>
      <w:r>
        <w:rPr>
          <w:color w:val="366091"/>
        </w:rPr>
        <w:t xml:space="preserve">Industries and Key Clients </w:t>
      </w:r>
    </w:p>
    <w:p w14:paraId="46896FF4" w14:textId="77777777" w:rsidR="0001137B" w:rsidRDefault="00000000">
      <w:pPr>
        <w:spacing w:after="221" w:line="259" w:lineRule="auto"/>
        <w:ind w:left="0" w:firstLine="0"/>
      </w:pPr>
      <w:r>
        <w:t xml:space="preserve"> </w:t>
      </w:r>
    </w:p>
    <w:p w14:paraId="2198BC0F" w14:textId="77777777" w:rsidR="0001137B" w:rsidRDefault="00000000">
      <w:pPr>
        <w:numPr>
          <w:ilvl w:val="0"/>
          <w:numId w:val="2"/>
        </w:numPr>
        <w:spacing w:after="13"/>
        <w:ind w:hanging="360"/>
      </w:pPr>
      <w:r>
        <w:t xml:space="preserve">Telecommunications: Qwest, BT, Cox, Idea Cellular, Telstra </w:t>
      </w:r>
    </w:p>
    <w:p w14:paraId="7B734BCF" w14:textId="77777777" w:rsidR="0001137B" w:rsidRDefault="00000000">
      <w:pPr>
        <w:numPr>
          <w:ilvl w:val="0"/>
          <w:numId w:val="2"/>
        </w:numPr>
        <w:spacing w:after="10"/>
        <w:ind w:hanging="360"/>
      </w:pPr>
      <w:r>
        <w:t xml:space="preserve">Product Development: Veritas/Symantec </w:t>
      </w:r>
    </w:p>
    <w:p w14:paraId="11304587" w14:textId="77777777" w:rsidR="0001137B" w:rsidRDefault="00000000">
      <w:pPr>
        <w:numPr>
          <w:ilvl w:val="0"/>
          <w:numId w:val="2"/>
        </w:numPr>
        <w:spacing w:after="13"/>
        <w:ind w:hanging="360"/>
      </w:pPr>
      <w:r>
        <w:t xml:space="preserve">Banking &amp; Payments: PayPal, BNY Mellon, JPMorgan Chase  </w:t>
      </w:r>
    </w:p>
    <w:p w14:paraId="03E8134E" w14:textId="77777777" w:rsidR="0001137B" w:rsidRDefault="00000000">
      <w:pPr>
        <w:numPr>
          <w:ilvl w:val="0"/>
          <w:numId w:val="2"/>
        </w:numPr>
        <w:spacing w:after="10"/>
        <w:ind w:hanging="360"/>
      </w:pPr>
      <w:r>
        <w:t xml:space="preserve">Media, Entertainment &amp; eSports: Shutterstock, Basik, Sprint/Chrysler </w:t>
      </w:r>
    </w:p>
    <w:p w14:paraId="793940D8" w14:textId="77777777" w:rsidR="0001137B" w:rsidRDefault="00000000">
      <w:pPr>
        <w:numPr>
          <w:ilvl w:val="0"/>
          <w:numId w:val="2"/>
        </w:numPr>
        <w:spacing w:after="21" w:line="259" w:lineRule="auto"/>
        <w:ind w:hanging="360"/>
      </w:pPr>
      <w:r>
        <w:t xml:space="preserve">Pharmaceuticals: Sanofi </w:t>
      </w:r>
    </w:p>
    <w:p w14:paraId="24799070" w14:textId="77777777" w:rsidR="0001137B" w:rsidRDefault="00000000">
      <w:pPr>
        <w:numPr>
          <w:ilvl w:val="0"/>
          <w:numId w:val="2"/>
        </w:numPr>
        <w:spacing w:after="21" w:line="259" w:lineRule="auto"/>
        <w:ind w:hanging="360"/>
      </w:pPr>
      <w:r>
        <w:t xml:space="preserve">Payroll Services: ADP </w:t>
      </w:r>
    </w:p>
    <w:p w14:paraId="66A6D6CD" w14:textId="77777777" w:rsidR="0001137B" w:rsidRDefault="00000000">
      <w:pPr>
        <w:numPr>
          <w:ilvl w:val="0"/>
          <w:numId w:val="2"/>
        </w:numPr>
        <w:spacing w:after="21" w:line="259" w:lineRule="auto"/>
        <w:ind w:hanging="360"/>
      </w:pPr>
      <w:r>
        <w:t xml:space="preserve">Publishing: </w:t>
      </w:r>
      <w:proofErr w:type="spellStart"/>
      <w:r>
        <w:t>Lokmat</w:t>
      </w:r>
      <w:proofErr w:type="spellEnd"/>
      <w:r>
        <w:t xml:space="preserve"> </w:t>
      </w:r>
    </w:p>
    <w:p w14:paraId="298B6691" w14:textId="77777777" w:rsidR="0001137B" w:rsidRDefault="00000000">
      <w:pPr>
        <w:numPr>
          <w:ilvl w:val="0"/>
          <w:numId w:val="2"/>
        </w:numPr>
        <w:spacing w:after="21" w:line="259" w:lineRule="auto"/>
        <w:ind w:hanging="360"/>
      </w:pPr>
      <w:r>
        <w:t xml:space="preserve">Marketing &amp; Advertising: Sensis </w:t>
      </w:r>
    </w:p>
    <w:p w14:paraId="63EA9853" w14:textId="77777777" w:rsidR="0001137B" w:rsidRDefault="00000000">
      <w:pPr>
        <w:numPr>
          <w:ilvl w:val="0"/>
          <w:numId w:val="2"/>
        </w:numPr>
        <w:spacing w:after="10"/>
        <w:ind w:hanging="360"/>
      </w:pPr>
      <w:r>
        <w:t xml:space="preserve">Logistics: JB Hunt </w:t>
      </w:r>
    </w:p>
    <w:p w14:paraId="39E28537" w14:textId="77777777" w:rsidR="0001137B" w:rsidRDefault="00000000">
      <w:pPr>
        <w:numPr>
          <w:ilvl w:val="0"/>
          <w:numId w:val="2"/>
        </w:numPr>
        <w:spacing w:after="252"/>
        <w:ind w:hanging="360"/>
      </w:pPr>
      <w:r>
        <w:t xml:space="preserve">Healthcare: CareFirst </w:t>
      </w:r>
    </w:p>
    <w:p w14:paraId="421D5962" w14:textId="77777777" w:rsidR="0001137B" w:rsidRDefault="00000000">
      <w:pPr>
        <w:spacing w:after="0" w:line="259" w:lineRule="auto"/>
        <w:ind w:left="720" w:firstLine="0"/>
      </w:pPr>
      <w:r>
        <w:t xml:space="preserve"> </w:t>
      </w:r>
    </w:p>
    <w:sectPr w:rsidR="0001137B">
      <w:pgSz w:w="12240" w:h="15840"/>
      <w:pgMar w:top="1480" w:right="1129" w:bottom="15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F625F"/>
    <w:multiLevelType w:val="hybridMultilevel"/>
    <w:tmpl w:val="2374752A"/>
    <w:lvl w:ilvl="0" w:tplc="5CE4042A">
      <w:start w:val="1"/>
      <w:numFmt w:val="bullet"/>
      <w:lvlText w:val="-"/>
      <w:lvlJc w:val="left"/>
      <w:pPr>
        <w:ind w:left="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B416D8">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BA5A04">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AA3860">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07694">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62B09C">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66F0D0">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4E0626">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4AA19A">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B36E3D"/>
    <w:multiLevelType w:val="hybridMultilevel"/>
    <w:tmpl w:val="E3F0F2A0"/>
    <w:lvl w:ilvl="0" w:tplc="9E26C7E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B2D8B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22E88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7E547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FC873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0C981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9C1DF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72920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62697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26328030">
    <w:abstractNumId w:val="0"/>
  </w:num>
  <w:num w:numId="2" w16cid:durableId="145656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7B"/>
    <w:rsid w:val="0001137B"/>
    <w:rsid w:val="000622A2"/>
    <w:rsid w:val="00B3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9523"/>
  <w15:docId w15:val="{555A2E87-DB83-4A9B-8135-7D18AA24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365F91"/>
      <w:sz w:val="28"/>
    </w:rPr>
  </w:style>
  <w:style w:type="paragraph" w:styleId="Heading2">
    <w:name w:val="heading 2"/>
    <w:next w:val="Normal"/>
    <w:link w:val="Heading2Char"/>
    <w:uiPriority w:val="9"/>
    <w:unhideWhenUsed/>
    <w:qFormat/>
    <w:pPr>
      <w:keepNext/>
      <w:keepLines/>
      <w:spacing w:after="11" w:line="259" w:lineRule="auto"/>
      <w:ind w:left="10" w:hanging="10"/>
      <w:outlineLvl w:val="1"/>
    </w:pPr>
    <w:rPr>
      <w:rFonts w:ascii="Times New Roman" w:eastAsia="Times New Roman" w:hAnsi="Times New Roman" w:cs="Times New Roman"/>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F81BD"/>
      <w:sz w:val="26"/>
    </w:rPr>
  </w:style>
  <w:style w:type="character" w:customStyle="1" w:styleId="Heading1Char">
    <w:name w:val="Heading 1 Char"/>
    <w:link w:val="Heading1"/>
    <w:rPr>
      <w:rFonts w:ascii="Times New Roman" w:eastAsia="Times New Roman" w:hAnsi="Times New Roman" w:cs="Times New Roman"/>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Amit Rangari</dc:title>
  <dc:subject/>
  <dc:creator>Amit</dc:creator>
  <cp:keywords/>
  <cp:lastModifiedBy>Amit</cp:lastModifiedBy>
  <cp:revision>2</cp:revision>
  <dcterms:created xsi:type="dcterms:W3CDTF">2025-09-27T01:52:00Z</dcterms:created>
  <dcterms:modified xsi:type="dcterms:W3CDTF">2025-09-27T01:52:00Z</dcterms:modified>
</cp:coreProperties>
</file>