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NETWORK VULNERABILITY ASSESSMENT</w:t>
      </w:r>
    </w:p>
    <w:p>
      <w:pPr>
        <w:jc w:val="center"/>
      </w:pPr>
      <w:r>
        <w:rPr>
          <w:b/>
        </w:rPr>
        <w:t>Local Web Application Security Assessment</w:t>
        <w:br/>
      </w:r>
      <w:r>
        <w:t>Target: OWASP Juice Shop | 127.0.0.1:3000</w:t>
        <w:br/>
        <w:t>Kali Linux | Docker | Nmap | Nikto | cURL</w:t>
        <w:br/>
        <w:t>Assessment date: 24 September 2026</w:t>
      </w:r>
    </w:p>
    <w:p>
      <w:pPr>
        <w:jc w:val="center"/>
      </w:pPr>
      <w:r>
        <w:rPr>
          <w:i/>
        </w:rPr>
        <w:t>Assessment performed in a controlled local laboratory environment.</w:t>
      </w:r>
    </w:p>
    <w:p>
      <w:pPr>
        <w:pStyle w:val="Heading1"/>
      </w:pPr>
      <w:r>
        <w:t>1. Objective</w:t>
      </w:r>
    </w:p>
    <w:p>
      <w:r>
        <w:t>The purpose of this assessment was to perform a basic vulnerability assessment of a web application in a controlled local environment. The assessment focused on identifying exposed services, reviewing HTTP security headers and methods, checking accessible application paths, and documenting security weaknesses with practical remediation recommendations.</w:t>
      </w:r>
    </w:p>
    <w:p>
      <w:pPr>
        <w:pStyle w:val="Heading1"/>
      </w:pPr>
      <w:r>
        <w:t>2. Assessment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Application</w:t>
            </w:r>
          </w:p>
        </w:tc>
        <w:tc>
          <w:tcPr>
            <w:tcW w:type="dxa" w:w="5040"/>
          </w:tcPr>
          <w:p>
            <w:r>
              <w:t>OWASP Juice Shop</w:t>
            </w:r>
          </w:p>
        </w:tc>
      </w:tr>
      <w:tr>
        <w:tc>
          <w:tcPr>
            <w:tcW w:type="dxa" w:w="5040"/>
          </w:tcPr>
          <w:p>
            <w:r>
              <w:t>Target</w:t>
            </w:r>
          </w:p>
        </w:tc>
        <w:tc>
          <w:tcPr>
            <w:tcW w:type="dxa" w:w="5040"/>
          </w:tcPr>
          <w:p>
            <w:r>
              <w:t>127.0.0.1:3000</w:t>
            </w:r>
          </w:p>
        </w:tc>
      </w:tr>
      <w:tr>
        <w:tc>
          <w:tcPr>
            <w:tcW w:type="dxa" w:w="5040"/>
          </w:tcPr>
          <w:p>
            <w:r>
              <w:t>Environment</w:t>
            </w:r>
          </w:p>
        </w:tc>
        <w:tc>
          <w:tcPr>
            <w:tcW w:type="dxa" w:w="5040"/>
          </w:tcPr>
          <w:p>
            <w:r>
              <w:t>Local Docker lab</w:t>
            </w:r>
          </w:p>
        </w:tc>
      </w:tr>
      <w:tr>
        <w:tc>
          <w:tcPr>
            <w:tcW w:type="dxa" w:w="5040"/>
          </w:tcPr>
          <w:p>
            <w:r>
              <w:t>Operating system</w:t>
            </w:r>
          </w:p>
        </w:tc>
        <w:tc>
          <w:tcPr>
            <w:tcW w:type="dxa" w:w="5040"/>
          </w:tcPr>
          <w:p>
            <w:r>
              <w:t>Kali Linux</w:t>
            </w:r>
          </w:p>
        </w:tc>
      </w:tr>
      <w:tr>
        <w:tc>
          <w:tcPr>
            <w:tcW w:type="dxa" w:w="5040"/>
          </w:tcPr>
          <w:p>
            <w:r>
              <w:t>Tools</w:t>
            </w:r>
          </w:p>
        </w:tc>
        <w:tc>
          <w:tcPr>
            <w:tcW w:type="dxa" w:w="5040"/>
          </w:tcPr>
          <w:p>
            <w:r>
              <w:t>Nmap, Nikto, cURL</w:t>
            </w:r>
          </w:p>
        </w:tc>
      </w:tr>
    </w:tbl>
    <w:p>
      <w:pPr>
        <w:pStyle w:val="Heading1"/>
      </w:pPr>
      <w:r>
        <w:t>3. Methodology</w:t>
      </w:r>
    </w:p>
    <w:p>
      <w:pPr>
        <w:pStyle w:val="ListBullet"/>
      </w:pPr>
      <w:r>
        <w:t>Confirmed the Docker container and local service were running.</w:t>
      </w:r>
    </w:p>
    <w:p>
      <w:pPr>
        <w:pStyle w:val="ListBullet"/>
      </w:pPr>
      <w:r>
        <w:t>Used Nmap to check the local TCP service.</w:t>
      </w:r>
    </w:p>
    <w:p>
      <w:pPr>
        <w:pStyle w:val="ListBullet"/>
      </w:pPr>
      <w:r>
        <w:t>Used Nikto for an initial web-security check, treating scanner output as leads rather than confirmed vulnerabilities.</w:t>
      </w:r>
    </w:p>
    <w:p>
      <w:pPr>
        <w:pStyle w:val="ListBullet"/>
      </w:pPr>
      <w:r>
        <w:t>Used cURL to directly verify headers, robots.txt, the OPTIONS response, and the /ftp/ path.</w:t>
      </w:r>
    </w:p>
    <w:p>
      <w:pPr>
        <w:pStyle w:val="ListBullet"/>
      </w:pPr>
      <w:r>
        <w:t>Included only findings supported by direct evidence.</w:t>
      </w:r>
    </w:p>
    <w:p>
      <w:pPr>
        <w:pStyle w:val="Heading1"/>
      </w:pPr>
      <w:r>
        <w:t>4. Service Discovery</w:t>
      </w:r>
    </w:p>
    <w:p>
      <w:r>
        <w:t>Nmap confirmed that TCP port 3000 was open on 127.0.0.1. The service label returned by Nmap was uncertain, so it was not used as proof of the application identity.</w:t>
      </w:r>
    </w:p>
    <w:p>
      <w:r>
        <w:drawing>
          <wp:inline xmlns:a="http://schemas.openxmlformats.org/drawingml/2006/main" xmlns:pic="http://schemas.openxmlformats.org/drawingml/2006/picture">
            <wp:extent cx="5577840" cy="7437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79025059451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43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Nmap showing 3000/tcp open on localhost.</w:t>
      </w:r>
    </w:p>
    <w:p>
      <w:pPr>
        <w:pStyle w:val="Heading1"/>
      </w:pPr>
      <w:r>
        <w:t>5. Security Header Review</w:t>
      </w:r>
    </w:p>
    <w:p>
      <w:r>
        <w:t>Direct HTTP checks showed X-Content-Type-Options: nosniff and X-Frame-Options: SAMEORIGIN. These were treated as existing security controls. The tested response did not show a Content-Security-Policy header, which was recorded as a configuration weakness rather than proof of an exploitable vulnerability.</w:t>
      </w:r>
    </w:p>
    <w:p>
      <w:r>
        <w:drawing>
          <wp:inline xmlns:a="http://schemas.openxmlformats.org/drawingml/2006/main" xmlns:pic="http://schemas.openxmlformats.org/drawingml/2006/picture">
            <wp:extent cx="5577840" cy="7437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79025071469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43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Direct HTTP header and robots.txt checks.</w:t>
      </w:r>
    </w:p>
    <w:p>
      <w:pPr>
        <w:pStyle w:val="Heading1"/>
      </w:pPr>
      <w:r>
        <w:t>6. Findings</w:t>
      </w:r>
    </w:p>
    <w:p>
      <w:pPr>
        <w:pStyle w:val="Heading2"/>
      </w:pPr>
      <w:r>
        <w:t>F-01 — Exposed /ftp/ directory listing</w:t>
      </w:r>
    </w:p>
    <w:p>
      <w:r>
        <w:rPr>
          <w:b/>
        </w:rPr>
        <w:t xml:space="preserve">Severity: </w:t>
      </w:r>
      <w:r>
        <w:t>Medium</w:t>
      </w:r>
    </w:p>
    <w:p>
      <w:r>
        <w:rPr>
          <w:b/>
        </w:rPr>
        <w:t xml:space="preserve">Evidence: </w:t>
      </w:r>
      <w:r>
        <w:t>Requesting /ftp/ returned a directory listing containing multiple files, including backup files and internal-looking documents.</w:t>
      </w:r>
    </w:p>
    <w:p>
      <w:r>
        <w:rPr>
          <w:b/>
        </w:rPr>
        <w:t xml:space="preserve">Potential impact: </w:t>
      </w:r>
      <w:r>
        <w:t>An accessible directory can disclose application information and files that were not intended to be publicly browsable.</w:t>
      </w:r>
    </w:p>
    <w:p>
      <w:r>
        <w:rPr>
          <w:b/>
        </w:rPr>
        <w:t xml:space="preserve">Recommendation: </w:t>
      </w:r>
      <w:r>
        <w:t>Disable directory listing and remove sensitive, backup, database, configuration and internal files from web-accessible locations. Store sensitive material outside the document root and apply access controls where required.</w:t>
      </w:r>
    </w:p>
    <w:p>
      <w:pPr>
        <w:pStyle w:val="Heading2"/>
      </w:pPr>
      <w:r>
        <w:t>F-02 — Broad HTTP method exposure</w:t>
      </w:r>
    </w:p>
    <w:p>
      <w:r>
        <w:rPr>
          <w:b/>
        </w:rPr>
        <w:t xml:space="preserve">Severity: </w:t>
      </w:r>
      <w:r>
        <w:t>Medium</w:t>
      </w:r>
    </w:p>
    <w:p>
      <w:r>
        <w:rPr>
          <w:b/>
        </w:rPr>
        <w:t xml:space="preserve">Evidence: </w:t>
      </w:r>
      <w:r>
        <w:t>The OPTIONS response advertised GET, HEAD, PUT, PATCH, POST and DELETE.</w:t>
      </w:r>
    </w:p>
    <w:p>
      <w:r>
        <w:rPr>
          <w:b/>
        </w:rPr>
        <w:t xml:space="preserve">Potential impact: </w:t>
      </w:r>
      <w:r>
        <w:t>Methods such as PUT, PATCH and DELETE increase the attack surface if exposed on endpoints where they are not required.</w:t>
      </w:r>
    </w:p>
    <w:p>
      <w:r>
        <w:rPr>
          <w:b/>
        </w:rPr>
        <w:t xml:space="preserve">Recommendation: </w:t>
      </w:r>
      <w:r>
        <w:t>Allow only methods needed by each endpoint. Review application routing and server configuration and disable unnecessary methods.</w:t>
      </w:r>
    </w:p>
    <w:p>
      <w:pPr>
        <w:pStyle w:val="Heading2"/>
      </w:pPr>
      <w:r>
        <w:t>F-03 — Content-Security-Policy not observed</w:t>
      </w:r>
    </w:p>
    <w:p>
      <w:r>
        <w:rPr>
          <w:b/>
        </w:rPr>
        <w:t xml:space="preserve">Severity: </w:t>
      </w:r>
      <w:r>
        <w:t>Low/Medium</w:t>
      </w:r>
    </w:p>
    <w:p>
      <w:r>
        <w:rPr>
          <w:b/>
        </w:rPr>
        <w:t xml:space="preserve">Evidence: </w:t>
      </w:r>
      <w:r>
        <w:t>The direct header check did not return a Content-Security-Policy header.</w:t>
      </w:r>
    </w:p>
    <w:p>
      <w:r>
        <w:rPr>
          <w:b/>
        </w:rPr>
        <w:t xml:space="preserve">Potential impact: </w:t>
      </w:r>
      <w:r>
        <w:t>Without CSP, the application lacks an additional browser-enforced control that can restrict where scripts and other resources may be loaded from.</w:t>
      </w:r>
    </w:p>
    <w:p>
      <w:r>
        <w:rPr>
          <w:b/>
        </w:rPr>
        <w:t xml:space="preserve">Recommendation: </w:t>
      </w:r>
      <w:r>
        <w:t>Develop and deploy an appropriate CSP after testing application compatibility.</w:t>
      </w:r>
    </w:p>
    <w:p>
      <w:r>
        <w:drawing>
          <wp:inline xmlns:a="http://schemas.openxmlformats.org/drawingml/2006/main" xmlns:pic="http://schemas.openxmlformats.org/drawingml/2006/picture">
            <wp:extent cx="5577840" cy="27191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From 2026-09-24 17-27-5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19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3. /ftp/ response showing directory listing.</w:t>
      </w:r>
    </w:p>
    <w:p>
      <w:r>
        <w:drawing>
          <wp:inline xmlns:a="http://schemas.openxmlformats.org/drawingml/2006/main" xmlns:pic="http://schemas.openxmlformats.org/drawingml/2006/picture">
            <wp:extent cx="5577840" cy="27191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From 2026-09-24 17-28-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19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4. Files visible in the exposed /ftp/ directory.</w:t>
      </w:r>
    </w:p>
    <w:p>
      <w:r>
        <w:drawing>
          <wp:inline xmlns:a="http://schemas.openxmlformats.org/drawingml/2006/main" xmlns:pic="http://schemas.openxmlformats.org/drawingml/2006/picture">
            <wp:extent cx="5577840" cy="27191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From 2026-09-24 17-26-2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19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5. OPTIONS response showing advertised HTTP methods.</w:t>
      </w:r>
    </w:p>
    <w:p>
      <w:pPr>
        <w:pStyle w:val="Heading1"/>
      </w:pPr>
      <w:r>
        <w:t>7. Positive Security Controls Observed</w:t>
      </w:r>
    </w:p>
    <w:p>
      <w:pPr>
        <w:pStyle w:val="ListBullet"/>
      </w:pPr>
      <w:r>
        <w:t>X-Content-Type-Options: nosniff was present.</w:t>
      </w:r>
    </w:p>
    <w:p>
      <w:pPr>
        <w:pStyle w:val="ListBullet"/>
      </w:pPr>
      <w:r>
        <w:t>X-Frame-Options: SAMEORIGIN was present.</w:t>
      </w:r>
    </w:p>
    <w:p>
      <w:pPr>
        <w:pStyle w:val="ListBullet"/>
      </w:pPr>
      <w:r>
        <w:t>Testing was performed against localhost rather than a public target.</w:t>
      </w:r>
    </w:p>
    <w:p>
      <w:pPr>
        <w:pStyle w:val="Heading1"/>
      </w:pPr>
      <w:r>
        <w:t>8. Scanner Result Validation</w:t>
      </w:r>
    </w:p>
    <w:p>
      <w:r>
        <w:t>Nikto produced several possible findings during the initial scan. These were not automatically accepted as vulnerabilities. Direct verification showed that X-Content-Type-Options was present, and the Nikto run also ended with HTTP response errors. The final findings therefore rely primarily on directly verified responses.</w:t>
      </w:r>
    </w:p>
    <w:p>
      <w:pPr>
        <w:pStyle w:val="Heading1"/>
      </w:pPr>
      <w:r>
        <w:t>9. Risk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ID</w:t>
            </w:r>
          </w:p>
        </w:tc>
        <w:tc>
          <w:tcPr>
            <w:tcW w:type="dxa" w:w="3360"/>
          </w:tcPr>
          <w:p>
            <w:r>
              <w:t>Finding</w:t>
            </w:r>
          </w:p>
        </w:tc>
        <w:tc>
          <w:tcPr>
            <w:tcW w:type="dxa" w:w="3360"/>
          </w:tcPr>
          <w:p>
            <w:r>
              <w:t>Severity</w:t>
            </w:r>
          </w:p>
        </w:tc>
      </w:tr>
      <w:tr>
        <w:tc>
          <w:tcPr>
            <w:tcW w:type="dxa" w:w="3360"/>
          </w:tcPr>
          <w:p>
            <w:r>
              <w:t>F-01</w:t>
            </w:r>
          </w:p>
        </w:tc>
        <w:tc>
          <w:tcPr>
            <w:tcW w:type="dxa" w:w="3360"/>
          </w:tcPr>
          <w:p>
            <w:r>
              <w:t>Medium</w:t>
            </w:r>
          </w:p>
        </w:tc>
        <w:tc>
          <w:tcPr>
            <w:tcW w:type="dxa" w:w="3360"/>
          </w:tcPr>
          <w:p>
            <w:r>
              <w:t>Requesting /ftp/ returned a directory listing containing multiple files, including backup files and internal-looking documents.</w:t>
            </w:r>
          </w:p>
        </w:tc>
      </w:tr>
      <w:tr>
        <w:tc>
          <w:tcPr>
            <w:tcW w:type="dxa" w:w="3360"/>
          </w:tcPr>
          <w:p>
            <w:r>
              <w:t>F-02</w:t>
            </w:r>
          </w:p>
        </w:tc>
        <w:tc>
          <w:tcPr>
            <w:tcW w:type="dxa" w:w="3360"/>
          </w:tcPr>
          <w:p>
            <w:r>
              <w:t>Medium</w:t>
            </w:r>
          </w:p>
        </w:tc>
        <w:tc>
          <w:tcPr>
            <w:tcW w:type="dxa" w:w="3360"/>
          </w:tcPr>
          <w:p>
            <w:r>
              <w:t>The OPTIONS response advertised GET, HEAD, PUT, PATCH, POST and DELETE.</w:t>
            </w:r>
          </w:p>
        </w:tc>
      </w:tr>
      <w:tr>
        <w:tc>
          <w:tcPr>
            <w:tcW w:type="dxa" w:w="3360"/>
          </w:tcPr>
          <w:p>
            <w:r>
              <w:t>F-03</w:t>
            </w:r>
          </w:p>
        </w:tc>
        <w:tc>
          <w:tcPr>
            <w:tcW w:type="dxa" w:w="3360"/>
          </w:tcPr>
          <w:p>
            <w:r>
              <w:t>Low/Medium</w:t>
            </w:r>
          </w:p>
        </w:tc>
        <w:tc>
          <w:tcPr>
            <w:tcW w:type="dxa" w:w="3360"/>
          </w:tcPr>
          <w:p>
            <w:r>
              <w:t>The direct header check did not return a Content-Security-Policy header.</w:t>
            </w:r>
          </w:p>
        </w:tc>
      </w:tr>
    </w:tbl>
    <w:p>
      <w:pPr>
        <w:pStyle w:val="Heading1"/>
      </w:pPr>
      <w:r>
        <w:t>10. Conclusion</w:t>
      </w:r>
    </w:p>
    <w:p>
      <w:r>
        <w:t>The assessment identified several areas where the application's exposure could be reduced. The clearest issue was the accessible /ftp/ directory listing, which revealed multiple files through a normal HTTP request. The application also advertised a broad set of HTTP methods and did not present a Content-Security-Policy header in the tested response. At the same time, X-Content-Type-Options and X-Frame-Options were present.</w:t>
      </w:r>
    </w:p>
    <w:p>
      <w:r>
        <w:t>The main remediation steps are to prevent unnecessary files and directories from being directly accessible, review HTTP method requirements, and introduce an appropriate CSP. Findings should be re-tested after remediation.</w:t>
      </w:r>
    </w:p>
    <w:p>
      <w:pPr>
        <w:pStyle w:val="Heading1"/>
      </w:pPr>
      <w:r>
        <w:t>11. Evidence and Reproducibility</w:t>
      </w:r>
    </w:p>
    <w:p>
      <w:r>
        <w:t>The screenshots included in this report were captured during the local assessment and correspond to the commands and observations described above. The target used throughout the assessment was 127.0.0.1:3000.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