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F532" w14:textId="77777777" w:rsidR="00987F7B" w:rsidRPr="00987F7B" w:rsidRDefault="00987F7B" w:rsidP="00987F7B">
      <w:pPr>
        <w:rPr>
          <w:b/>
          <w:bCs/>
        </w:rPr>
      </w:pPr>
      <w:r w:rsidRPr="00987F7B">
        <w:rPr>
          <w:b/>
          <w:bCs/>
        </w:rPr>
        <w:t>Case Study: Strangler Pattern at Blackboard Learn (2011)</w:t>
      </w:r>
    </w:p>
    <w:p w14:paraId="29D00CC7" w14:textId="77777777" w:rsidR="00987F7B" w:rsidRDefault="00987F7B" w:rsidP="00987F7B">
      <w:pPr>
        <w:ind w:firstLine="720"/>
      </w:pPr>
      <w:r>
        <w:t>The case study in Chapter 13 of the course textbook discusses the use of the Strangler Fig Pattern during the 2011 modernization of Blackboard Learn, a leading learning management system (LMS). At the time, Blackboard was operating with a monolithic legacy architecture that had become difficult to scale, update, and maintain. Due to these limitations, Blackboard’s development team made a strategic decision to gradually refactor the system by applying the Strangler Pattern—a technique that allows legacy functionality to be replaced incrementally by newer components without a full system rewrite.</w:t>
      </w:r>
    </w:p>
    <w:p w14:paraId="2F026107" w14:textId="77777777" w:rsidR="00987F7B" w:rsidRDefault="00987F7B" w:rsidP="00987F7B">
      <w:pPr>
        <w:ind w:firstLine="720"/>
      </w:pPr>
      <w:r>
        <w:t>Instead of rebuilding Blackboard Learn from scratch, the team used incremental migration: routing specific functionality to new services while the remaining legacy features continued to operate. One of the first components targeted was the grading system, which was decoupled and rebuilt as a service. Over time, more core functionalities were restructured using APIs and service boundaries, creating a smoother path for full modernization.</w:t>
      </w:r>
    </w:p>
    <w:p w14:paraId="09510E42" w14:textId="77777777" w:rsidR="00987F7B" w:rsidRPr="00987F7B" w:rsidRDefault="00987F7B" w:rsidP="00987F7B">
      <w:pPr>
        <w:rPr>
          <w:b/>
          <w:bCs/>
        </w:rPr>
      </w:pPr>
      <w:r w:rsidRPr="00987F7B">
        <w:rPr>
          <w:b/>
          <w:bCs/>
        </w:rPr>
        <w:t>Lessons Learned</w:t>
      </w:r>
    </w:p>
    <w:p w14:paraId="081D2356" w14:textId="3F0C0F53" w:rsidR="00987F7B" w:rsidRDefault="00987F7B" w:rsidP="00987F7B">
      <w:r>
        <w:t xml:space="preserve">1. </w:t>
      </w:r>
      <w:r w:rsidRPr="00987F7B">
        <w:rPr>
          <w:b/>
          <w:bCs/>
        </w:rPr>
        <w:t>Incremental Change Is Safer Than Full Rewrites</w:t>
      </w:r>
      <w:r>
        <w:rPr>
          <w:b/>
          <w:bCs/>
        </w:rPr>
        <w:t xml:space="preserve"> - </w:t>
      </w:r>
      <w:r>
        <w:t>Replacing critical systems piece by piece helped Blackboard avoid the risk of a total system failure, a common problem in big-bang rewrites.</w:t>
      </w:r>
    </w:p>
    <w:p w14:paraId="668D7142" w14:textId="6CA4F1C8" w:rsidR="00987F7B" w:rsidRDefault="00987F7B" w:rsidP="00987F7B">
      <w:r>
        <w:t xml:space="preserve">2. </w:t>
      </w:r>
      <w:r w:rsidRPr="00987F7B">
        <w:rPr>
          <w:b/>
          <w:bCs/>
        </w:rPr>
        <w:t>Establishing Clear Boundaries Is Crucial</w:t>
      </w:r>
      <w:r>
        <w:rPr>
          <w:b/>
          <w:bCs/>
        </w:rPr>
        <w:t xml:space="preserve"> - </w:t>
      </w:r>
      <w:r>
        <w:t>The success of the migration relied heavily on defining clean service boundaries and modular APIs, which allowed parallel development and easier deployment.</w:t>
      </w:r>
    </w:p>
    <w:p w14:paraId="48558D76" w14:textId="56F840D3" w:rsidR="00987F7B" w:rsidRDefault="00987F7B" w:rsidP="00987F7B">
      <w:r>
        <w:t xml:space="preserve">3. </w:t>
      </w:r>
      <w:r w:rsidRPr="00987F7B">
        <w:rPr>
          <w:b/>
          <w:bCs/>
        </w:rPr>
        <w:t>Customer Experience Must Remain Stable</w:t>
      </w:r>
      <w:r>
        <w:rPr>
          <w:b/>
          <w:bCs/>
        </w:rPr>
        <w:t xml:space="preserve"> - </w:t>
      </w:r>
      <w:r>
        <w:t>The Strangler approach allowed Blackboard to continue serving users with minimal disruption while gradually rolling out improvements.</w:t>
      </w:r>
    </w:p>
    <w:p w14:paraId="25B1030C" w14:textId="5208851A" w:rsidR="00987F7B" w:rsidRDefault="00987F7B" w:rsidP="00987F7B">
      <w:r>
        <w:t xml:space="preserve">4. </w:t>
      </w:r>
      <w:r w:rsidRPr="00987F7B">
        <w:rPr>
          <w:b/>
          <w:bCs/>
        </w:rPr>
        <w:t>Cultural and Technical Alignment Is Key</w:t>
      </w:r>
      <w:r>
        <w:rPr>
          <w:b/>
          <w:bCs/>
        </w:rPr>
        <w:t xml:space="preserve"> - </w:t>
      </w:r>
      <w:r>
        <w:t>The transition required cross-functional collaboration between developers, operations, and business leaders to align short-term goals with long-term architecture.</w:t>
      </w:r>
    </w:p>
    <w:p w14:paraId="1D90FDFB" w14:textId="77777777" w:rsidR="00987F7B" w:rsidRDefault="00987F7B" w:rsidP="00987F7B">
      <w:pPr>
        <w:ind w:firstLine="720"/>
      </w:pPr>
      <w:r>
        <w:t>The Blackboard Learn case exemplifies how the Strangler Pattern can be a powerful and low-risk strategy for modernizing legacy applications in a live production environment. By gradually replacing outdated components with scalable, service-oriented ones, Blackboard was able to increase agility and reliability without compromising user experience. This case reinforces the value of DevOps culture, modular design, and continuous delivery in enabling long-term modernization efforts.</w:t>
      </w:r>
    </w:p>
    <w:p w14:paraId="5E6C4EF0" w14:textId="77777777" w:rsidR="00987F7B" w:rsidRPr="00987F7B" w:rsidRDefault="00987F7B" w:rsidP="00987F7B">
      <w:pPr>
        <w:rPr>
          <w:b/>
          <w:bCs/>
        </w:rPr>
      </w:pPr>
      <w:r w:rsidRPr="00987F7B">
        <w:rPr>
          <w:b/>
          <w:bCs/>
        </w:rPr>
        <w:lastRenderedPageBreak/>
        <w:t>References</w:t>
      </w:r>
    </w:p>
    <w:p w14:paraId="6038DF25" w14:textId="7C1D3556" w:rsidR="00987F7B" w:rsidRDefault="00987F7B" w:rsidP="00987F7B">
      <w:r>
        <w:t xml:space="preserve">Kim, G., Humble, J., Debois, P., Willis, J., &amp; </w:t>
      </w:r>
      <w:proofErr w:type="spellStart"/>
      <w:r>
        <w:t>Allspaw</w:t>
      </w:r>
      <w:proofErr w:type="spellEnd"/>
      <w:r>
        <w:t>, J. (2021). The DevOps Handbook: How to Create World-Class Agility, Reliability, &amp; Security in Technology Organizations (2nd ed.). IT Revolution Press. Chapter 13.</w:t>
      </w:r>
    </w:p>
    <w:sectPr w:rsidR="00987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7B"/>
    <w:rsid w:val="00987F7B"/>
    <w:rsid w:val="00CE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D18A19"/>
  <w15:chartTrackingRefBased/>
  <w15:docId w15:val="{EC6DF85E-81D0-470D-B8EB-7E8C42C3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367</Words>
  <Characters>2245</Characters>
  <Application>Microsoft Office Word</Application>
  <DocSecurity>0</DocSecurity>
  <Lines>43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Rizal</dc:creator>
  <cp:keywords/>
  <dc:description/>
  <cp:lastModifiedBy>Amit Rizal</cp:lastModifiedBy>
  <cp:revision>1</cp:revision>
  <dcterms:created xsi:type="dcterms:W3CDTF">2025-06-29T23:52:00Z</dcterms:created>
  <dcterms:modified xsi:type="dcterms:W3CDTF">2025-06-29T23:56:00Z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0deed514-5049-40d8-a4de-9fe27a0f2d99</vt:lpwstr>
  </property>
</Properties>
</file>