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E0" w:rsidRDefault="00477AE7">
      <w:pPr>
        <w:tabs>
          <w:tab w:val="center" w:pos="3725"/>
        </w:tabs>
        <w:spacing w:after="183" w:line="259" w:lineRule="auto"/>
        <w:ind w:left="0" w:firstLine="0"/>
        <w:jc w:val="left"/>
      </w:pPr>
      <w:bookmarkStart w:id="0" w:name="_GoBack"/>
      <w:r>
        <w:rPr>
          <w:sz w:val="24"/>
        </w:rPr>
        <w:t>CAREER PATHWAYS COMPARISON</w:t>
      </w:r>
    </w:p>
    <w:bookmarkEnd w:id="0"/>
    <w:p w:rsidR="00C104E0" w:rsidRDefault="00477AE7">
      <w:pPr>
        <w:tabs>
          <w:tab w:val="center" w:pos="2073"/>
        </w:tabs>
        <w:spacing w:after="128"/>
        <w:ind w:left="-15" w:firstLine="0"/>
        <w:jc w:val="left"/>
      </w:pPr>
      <w:r>
        <w:t>1.1</w:t>
      </w:r>
      <w:r>
        <w:tab/>
        <w:t>Discover Your Strongest Career Path</w:t>
      </w:r>
    </w:p>
    <w:p w:rsidR="00C104E0" w:rsidRDefault="00477AE7">
      <w:pPr>
        <w:spacing w:after="281"/>
        <w:ind w:left="-5"/>
      </w:pPr>
      <w:r>
        <w:t>This comparison evaluates your performance across seven career groups, highlighting strengths and gaps to guide your academic and professional journey. Creative &amp; Media Careers show the smallest gap (-52.844), indicating a strong fit, while Management &amp; Co</w:t>
      </w:r>
      <w:r>
        <w:t>rporate Careers have the largest gap (-65.954), requiring focused improvement. Refer to the recommendation pages (47.1– 53.1) for tailored action steps to bridge these gaps and align with your career aspirations.</w:t>
      </w:r>
    </w:p>
    <w:p w:rsidR="00C104E0" w:rsidRDefault="00477AE7">
      <w:pPr>
        <w:tabs>
          <w:tab w:val="center" w:pos="1760"/>
        </w:tabs>
        <w:spacing w:after="420"/>
        <w:ind w:left="-15" w:firstLine="0"/>
        <w:jc w:val="left"/>
      </w:pPr>
      <w:r>
        <w:t>1.2</w:t>
      </w:r>
      <w:r>
        <w:tab/>
        <w:t>Comparison of Career Groups</w:t>
      </w:r>
    </w:p>
    <w:p w:rsidR="00C104E0" w:rsidRDefault="00477AE7">
      <w:pPr>
        <w:spacing w:after="3" w:line="259" w:lineRule="auto"/>
        <w:jc w:val="center"/>
      </w:pPr>
      <w:r>
        <w:t>Table 1: Ca</w:t>
      </w:r>
      <w:r>
        <w:t>reer Group Scores and Recommendations</w:t>
      </w:r>
    </w:p>
    <w:p w:rsidR="00C104E0" w:rsidRDefault="00477AE7">
      <w:pPr>
        <w:spacing w:after="71" w:line="259" w:lineRule="auto"/>
        <w:ind w:left="19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16817" cy="10122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817" cy="10122"/>
                          <a:chOff x="0" y="0"/>
                          <a:chExt cx="5116817" cy="1012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116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817">
                                <a:moveTo>
                                  <a:pt x="0" y="0"/>
                                </a:moveTo>
                                <a:lnTo>
                                  <a:pt x="5116817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402.899pt;height:0.797pt;mso-position-horizontal-relative:char;mso-position-vertical-relative:line" coordsize="51168,101">
                <v:shape id="Shape 18" style="position:absolute;width:51168;height:0;left:0;top:0;" coordsize="5116817,0" path="m0,0l5116817,0">
                  <v:stroke weight="0.797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104E0" w:rsidRDefault="00477AE7">
      <w:pPr>
        <w:tabs>
          <w:tab w:val="center" w:pos="915"/>
          <w:tab w:val="center" w:pos="3662"/>
          <w:tab w:val="center" w:pos="4555"/>
          <w:tab w:val="center" w:pos="5512"/>
          <w:tab w:val="center" w:pos="6576"/>
          <w:tab w:val="center" w:pos="76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Career Group</w:t>
      </w:r>
      <w:r>
        <w:tab/>
        <w:t>Natal</w:t>
      </w:r>
      <w:r>
        <w:tab/>
        <w:t>Present</w:t>
      </w:r>
      <w:r>
        <w:tab/>
        <w:t>Required</w:t>
      </w:r>
      <w:r>
        <w:tab/>
        <w:t>Difference</w:t>
      </w:r>
      <w:r>
        <w:tab/>
        <w:t>Rec. Page</w:t>
      </w:r>
    </w:p>
    <w:p w:rsidR="00C104E0" w:rsidRDefault="00477AE7">
      <w:pPr>
        <w:spacing w:after="68" w:line="259" w:lineRule="auto"/>
        <w:ind w:left="19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16817" cy="6327"/>
                <wp:effectExtent l="0" t="0" r="0" b="0"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817" cy="6327"/>
                          <a:chOff x="0" y="0"/>
                          <a:chExt cx="5116817" cy="632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116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817">
                                <a:moveTo>
                                  <a:pt x="0" y="0"/>
                                </a:moveTo>
                                <a:lnTo>
                                  <a:pt x="5116817" y="0"/>
                                </a:lnTo>
                              </a:path>
                            </a:pathLst>
                          </a:custGeom>
                          <a:ln w="632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" style="width:402.899pt;height:0.4982pt;mso-position-horizontal-relative:char;mso-position-vertical-relative:line" coordsize="51168,63">
                <v:shape id="Shape 21" style="position:absolute;width:51168;height:0;left:0;top:0;" coordsize="5116817,0" path="m0,0l5116817,0">
                  <v:stroke weight="0.49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6024" w:tblpY="-7"/>
        <w:tblOverlap w:val="never"/>
        <w:tblW w:w="1106" w:type="dxa"/>
        <w:tblInd w:w="0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6"/>
      </w:tblGrid>
      <w:tr w:rsidR="00C104E0">
        <w:trPr>
          <w:trHeight w:val="239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DDAD7"/>
          </w:tcPr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-58.533</w:t>
            </w:r>
          </w:p>
        </w:tc>
      </w:tr>
      <w:tr w:rsidR="00C104E0">
        <w:trPr>
          <w:trHeight w:val="47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-55.977</w:t>
            </w:r>
          </w:p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-53.565</w:t>
            </w:r>
          </w:p>
        </w:tc>
      </w:tr>
      <w:tr w:rsidR="00C104E0">
        <w:trPr>
          <w:trHeight w:val="239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DBEFDC"/>
          </w:tcPr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-52.844</w:t>
            </w:r>
          </w:p>
        </w:tc>
      </w:tr>
      <w:tr w:rsidR="00C104E0">
        <w:trPr>
          <w:trHeight w:val="239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BB4AF"/>
          </w:tcPr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-65.954</w:t>
            </w:r>
          </w:p>
        </w:tc>
      </w:tr>
      <w:tr w:rsidR="00C104E0">
        <w:trPr>
          <w:trHeight w:val="47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-56.798</w:t>
            </w:r>
          </w:p>
          <w:p w:rsidR="00C104E0" w:rsidRDefault="00477AE7">
            <w:pPr>
              <w:spacing w:line="259" w:lineRule="auto"/>
              <w:ind w:left="0" w:firstLine="0"/>
              <w:jc w:val="center"/>
            </w:pPr>
            <w:r>
              <w:t>-57.456</w:t>
            </w:r>
          </w:p>
        </w:tc>
      </w:tr>
    </w:tbl>
    <w:p w:rsidR="00C104E0" w:rsidRDefault="00477AE7">
      <w:pPr>
        <w:tabs>
          <w:tab w:val="center" w:pos="1706"/>
          <w:tab w:val="center" w:pos="3662"/>
          <w:tab w:val="center" w:pos="4554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Banking &amp; Money Management</w:t>
      </w:r>
      <w:r>
        <w:tab/>
        <w:t>278.369</w:t>
      </w:r>
      <w:r>
        <w:tab/>
        <w:t>144.749</w:t>
      </w:r>
      <w:r>
        <w:tab/>
        <w:t>203.28247.1</w:t>
      </w:r>
    </w:p>
    <w:p w:rsidR="00C104E0" w:rsidRDefault="00477AE7">
      <w:pPr>
        <w:tabs>
          <w:tab w:val="center" w:pos="1264"/>
          <w:tab w:val="center" w:pos="3662"/>
          <w:tab w:val="center" w:pos="4555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Science &amp; Technology</w:t>
      </w:r>
      <w:r>
        <w:tab/>
      </w:r>
      <w:r>
        <w:t>267.996</w:t>
      </w:r>
      <w:r>
        <w:tab/>
        <w:t>139.357</w:t>
      </w:r>
      <w:r>
        <w:tab/>
        <w:t>195.33448.1</w:t>
      </w:r>
    </w:p>
    <w:p w:rsidR="00C104E0" w:rsidRDefault="00477AE7">
      <w:pPr>
        <w:tabs>
          <w:tab w:val="center" w:pos="1480"/>
          <w:tab w:val="center" w:pos="3662"/>
          <w:tab w:val="center" w:pos="4555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Healthcare &amp; Life Sciences</w:t>
      </w:r>
      <w:r>
        <w:tab/>
        <w:t>261.988</w:t>
      </w:r>
      <w:r>
        <w:tab/>
        <w:t>136.232</w:t>
      </w:r>
      <w:r>
        <w:tab/>
        <w:t>188.78349.1</w:t>
      </w:r>
    </w:p>
    <w:p w:rsidR="00C104E0" w:rsidRDefault="00477AE7">
      <w:pPr>
        <w:tabs>
          <w:tab w:val="center" w:pos="1093"/>
          <w:tab w:val="center" w:pos="3662"/>
          <w:tab w:val="center" w:pos="4555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Creative &amp; Media</w:t>
      </w:r>
      <w:r>
        <w:tab/>
        <w:t>255.007</w:t>
      </w:r>
      <w:r>
        <w:tab/>
        <w:t>132.602</w:t>
      </w:r>
      <w:r>
        <w:tab/>
        <w:t>185.44650.1</w:t>
      </w:r>
    </w:p>
    <w:p w:rsidR="00C104E0" w:rsidRDefault="00477AE7">
      <w:pPr>
        <w:tabs>
          <w:tab w:val="center" w:pos="1459"/>
          <w:tab w:val="center" w:pos="3662"/>
          <w:tab w:val="center" w:pos="4555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Management &amp; Corporate</w:t>
      </w:r>
      <w:r>
        <w:tab/>
        <w:t>313.870</w:t>
      </w:r>
      <w:r>
        <w:tab/>
        <w:t>163.211</w:t>
      </w:r>
      <w:r>
        <w:tab/>
        <w:t>229.16551.1</w:t>
      </w:r>
    </w:p>
    <w:p w:rsidR="00C104E0" w:rsidRDefault="00477AE7">
      <w:pPr>
        <w:tabs>
          <w:tab w:val="center" w:pos="1585"/>
          <w:tab w:val="center" w:pos="3662"/>
          <w:tab w:val="center" w:pos="4554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Public Service &amp; Governance</w:t>
      </w:r>
      <w:r>
        <w:tab/>
        <w:t>275.571</w:t>
      </w:r>
      <w:r>
        <w:tab/>
        <w:t>143.296</w:t>
      </w:r>
      <w:r>
        <w:tab/>
        <w:t>200.09452.1</w:t>
      </w:r>
    </w:p>
    <w:p w:rsidR="00C104E0" w:rsidRDefault="00477AE7">
      <w:pPr>
        <w:tabs>
          <w:tab w:val="center" w:pos="1337"/>
          <w:tab w:val="center" w:pos="3662"/>
          <w:tab w:val="center" w:pos="4555"/>
          <w:tab w:val="center" w:pos="6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Practical &amp; Field Work</w:t>
      </w:r>
      <w:r>
        <w:tab/>
        <w:t>279.210</w:t>
      </w:r>
      <w:r>
        <w:tab/>
        <w:t>145.187</w:t>
      </w:r>
      <w:r>
        <w:tab/>
        <w:t>202.64353.1</w:t>
      </w:r>
    </w:p>
    <w:tbl>
      <w:tblPr>
        <w:tblStyle w:val="TableGrid"/>
        <w:tblW w:w="84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7"/>
        <w:gridCol w:w="5342"/>
      </w:tblGrid>
      <w:tr w:rsidR="00C104E0">
        <w:trPr>
          <w:trHeight w:val="127"/>
        </w:trPr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</w:tcPr>
          <w:p w:rsidR="00C104E0" w:rsidRDefault="00C104E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</w:tcPr>
          <w:p w:rsidR="00C104E0" w:rsidRDefault="00477AE7">
            <w:pPr>
              <w:spacing w:line="259" w:lineRule="auto"/>
              <w:ind w:left="-29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116817" cy="10122"/>
                      <wp:effectExtent l="0" t="0" r="0" b="0"/>
                      <wp:docPr id="1393" name="Group 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6817" cy="10122"/>
                                <a:chOff x="0" y="0"/>
                                <a:chExt cx="5116817" cy="10122"/>
                              </a:xfrm>
                            </wpg:grpSpPr>
                            <wps:wsp>
                              <wps:cNvPr id="55" name="Shape 55"/>
                              <wps:cNvSpPr/>
                              <wps:spPr>
                                <a:xfrm>
                                  <a:off x="0" y="0"/>
                                  <a:ext cx="51168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16817">
                                      <a:moveTo>
                                        <a:pt x="0" y="0"/>
                                      </a:moveTo>
                                      <a:lnTo>
                                        <a:pt x="5116817" y="0"/>
                                      </a:lnTo>
                                    </a:path>
                                  </a:pathLst>
                                </a:custGeom>
                                <a:ln w="1012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3" style="width:402.899pt;height:0.797pt;mso-position-horizontal-relative:char;mso-position-vertical-relative:line" coordsize="51168,101">
                      <v:shape id="Shape 55" style="position:absolute;width:51168;height:0;left:0;top:0;" coordsize="5116817,0" path="m0,0l5116817,0">
                        <v:stroke weight="0.797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:rsidR="00C104E0" w:rsidRDefault="00477AE7">
      <w:pPr>
        <w:tabs>
          <w:tab w:val="center" w:pos="1000"/>
        </w:tabs>
        <w:spacing w:after="130"/>
        <w:ind w:left="-15" w:firstLine="0"/>
        <w:jc w:val="left"/>
      </w:pPr>
      <w:r>
        <w:t>1.3</w:t>
      </w:r>
      <w:r>
        <w:tab/>
        <w:t>Key Insights</w:t>
      </w:r>
    </w:p>
    <w:p w:rsidR="00C104E0" w:rsidRDefault="00477AE7">
      <w:pPr>
        <w:numPr>
          <w:ilvl w:val="0"/>
          <w:numId w:val="1"/>
        </w:numPr>
        <w:spacing w:after="111"/>
        <w:ind w:hanging="255"/>
      </w:pPr>
      <w:r>
        <w:t>Strongest Fit: Creative &amp; Media Careers have the smallest gap (-52.844), suggesting a natural alignment with you</w:t>
      </w:r>
      <w:r>
        <w:t>r current skills. Explore roles like Graphic Designer or Content Creator (see Page 50.1).</w:t>
      </w:r>
    </w:p>
    <w:p w:rsidR="00C104E0" w:rsidRDefault="00477AE7">
      <w:pPr>
        <w:numPr>
          <w:ilvl w:val="0"/>
          <w:numId w:val="1"/>
        </w:numPr>
        <w:spacing w:after="111"/>
        <w:ind w:hanging="255"/>
      </w:pPr>
      <w:r>
        <w:t>Largest Gap: Management &amp; Corporate Careers show the largest gap (-65.954), indicating significant improvement needed in traits like Drive and Communication (see Page</w:t>
      </w:r>
      <w:r>
        <w:t xml:space="preserve"> 51.1).</w:t>
      </w:r>
    </w:p>
    <w:p w:rsidR="00C104E0" w:rsidRDefault="00477AE7">
      <w:pPr>
        <w:numPr>
          <w:ilvl w:val="0"/>
          <w:numId w:val="1"/>
        </w:numPr>
        <w:spacing w:after="271"/>
        <w:ind w:hanging="255"/>
      </w:pPr>
      <w:r>
        <w:t>Action Plan: Focus on improving common traits like Communication (-5.687 across multiple groups) through public speaking or workshops. Leverage recommendation pages for tailored strategies.</w:t>
      </w:r>
    </w:p>
    <w:p w:rsidR="00C104E0" w:rsidRDefault="00477AE7">
      <w:pPr>
        <w:tabs>
          <w:tab w:val="center" w:pos="930"/>
        </w:tabs>
        <w:spacing w:after="128"/>
        <w:ind w:left="-15" w:firstLine="0"/>
        <w:jc w:val="left"/>
      </w:pPr>
      <w:r>
        <w:t>1.4</w:t>
      </w:r>
      <w:r>
        <w:tab/>
        <w:t>Next Steps</w:t>
      </w:r>
    </w:p>
    <w:p w:rsidR="00C104E0" w:rsidRDefault="00477AE7">
      <w:pPr>
        <w:spacing w:after="110"/>
        <w:ind w:left="-5"/>
      </w:pPr>
      <w:r>
        <w:t>Use this comparison to prioritize your care</w:t>
      </w:r>
      <w:r>
        <w:t>er path and follow the tailored recommendations on Pages 47.1–53.1. The SMM program is your guide, empowering you to transform gaps into opportunities for growth and success.</w:t>
      </w:r>
    </w:p>
    <w:p w:rsidR="00C104E0" w:rsidRDefault="00477AE7">
      <w:pPr>
        <w:spacing w:after="3" w:line="259" w:lineRule="auto"/>
        <w:jc w:val="center"/>
      </w:pPr>
      <w:r>
        <w:t>1</w:t>
      </w:r>
    </w:p>
    <w:sectPr w:rsidR="00C104E0">
      <w:pgSz w:w="11906" w:h="16838"/>
      <w:pgMar w:top="1440" w:right="1728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A3FB6"/>
    <w:multiLevelType w:val="hybridMultilevel"/>
    <w:tmpl w:val="E91EBA58"/>
    <w:lvl w:ilvl="0" w:tplc="5366F956">
      <w:start w:val="1"/>
      <w:numFmt w:val="bullet"/>
      <w:lvlText w:val="•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C290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8064B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99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B83F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689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20F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C82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22C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E0"/>
    <w:rsid w:val="00477AE7"/>
    <w:rsid w:val="00C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B3360-5FE9-4276-B04A-AFF656C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2025-05-27T13:56:00Z</dcterms:created>
  <dcterms:modified xsi:type="dcterms:W3CDTF">2025-05-27T13:56:00Z</dcterms:modified>
</cp:coreProperties>
</file>