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BA58F" w14:textId="77777777" w:rsidR="00B20EAE" w:rsidRPr="00A552FB" w:rsidRDefault="00B20EAE" w:rsidP="003F7044">
      <w:pPr>
        <w:spacing w:after="0" w:line="240" w:lineRule="auto"/>
        <w:jc w:val="both"/>
        <w:rPr>
          <w:rFonts w:eastAsia="Times New Roman" w:cstheme="minorHAnsi"/>
          <w:kern w:val="0"/>
          <w:szCs w:val="22"/>
          <w14:ligatures w14:val="none"/>
        </w:rPr>
      </w:pPr>
      <w:r w:rsidRPr="00A552FB">
        <w:rPr>
          <w:rFonts w:eastAsia="Times New Roman" w:cstheme="minorHAnsi"/>
          <w:b/>
          <w:bCs/>
          <w:kern w:val="0"/>
          <w:szCs w:val="22"/>
          <w14:ligatures w14:val="none"/>
        </w:rPr>
        <w:t>A Sacred Collaboration</w:t>
      </w:r>
    </w:p>
    <w:p w14:paraId="6DAB156B" w14:textId="77777777" w:rsidR="00B20EAE" w:rsidRPr="00A552FB" w:rsidRDefault="00B20EAE" w:rsidP="003F7044">
      <w:pPr>
        <w:spacing w:after="0" w:line="240" w:lineRule="auto"/>
        <w:jc w:val="both"/>
        <w:rPr>
          <w:rFonts w:eastAsia="Times New Roman" w:cstheme="minorHAnsi"/>
          <w:kern w:val="0"/>
          <w:szCs w:val="22"/>
          <w14:ligatures w14:val="none"/>
        </w:rPr>
      </w:pPr>
      <w:r w:rsidRPr="00A552FB">
        <w:rPr>
          <w:rFonts w:eastAsia="Times New Roman" w:cstheme="minorHAnsi"/>
          <w:kern w:val="0"/>
          <w:szCs w:val="22"/>
          <w14:ligatures w14:val="none"/>
        </w:rPr>
        <w:t xml:space="preserve">The </w:t>
      </w:r>
      <w:r w:rsidRPr="00A552FB">
        <w:rPr>
          <w:rFonts w:eastAsia="Times New Roman" w:cstheme="minorHAnsi"/>
          <w:i/>
          <w:iCs/>
          <w:kern w:val="0"/>
          <w:szCs w:val="22"/>
          <w14:ligatures w14:val="none"/>
        </w:rPr>
        <w:t>Aitareya Upanishad</w:t>
      </w:r>
      <w:r w:rsidRPr="00A552FB">
        <w:rPr>
          <w:rFonts w:eastAsia="Times New Roman" w:cstheme="minorHAnsi"/>
          <w:kern w:val="0"/>
          <w:szCs w:val="22"/>
          <w14:ligatures w14:val="none"/>
        </w:rPr>
        <w:t xml:space="preserve"> offers a profound perspective on human birth, portraying it as a tripartite spiritual process rather than a singular physical event. Contrary to the conventional belief that life begins solely in the mother’s womb, the Upanishad reveals that both father and mother are spiritually and biologically involved. The soul's journey begins in the father, where it is first hosted before being transferred to the mother. This cosmic collaboration highlights the sacred interconnectedness of both parents in the creation of life.</w:t>
      </w:r>
    </w:p>
    <w:p w14:paraId="5761AC18" w14:textId="77777777" w:rsidR="00B20EAE" w:rsidRPr="00A552FB" w:rsidRDefault="00B20EAE" w:rsidP="003F7044">
      <w:pPr>
        <w:spacing w:after="0" w:line="240" w:lineRule="auto"/>
        <w:jc w:val="both"/>
        <w:rPr>
          <w:rFonts w:eastAsia="Times New Roman" w:cstheme="minorHAnsi"/>
          <w:kern w:val="0"/>
          <w:szCs w:val="22"/>
          <w14:ligatures w14:val="none"/>
        </w:rPr>
      </w:pPr>
      <w:r w:rsidRPr="00A552FB">
        <w:rPr>
          <w:rFonts w:eastAsia="Times New Roman" w:cstheme="minorHAnsi"/>
          <w:kern w:val="0"/>
          <w:szCs w:val="22"/>
          <w14:ligatures w14:val="none"/>
        </w:rPr>
        <w:t>This process, far more than a biological act, is a deeply karmic and spiritual phenomenon. It involves the union of three souls: the father, the mother, and the incoming soul. The karmic histories, intentions, and spiritual states of the parents influence the soul’s entry into the material world, making each birth a reflection of divine orchestration and human energy alignment.</w:t>
      </w:r>
    </w:p>
    <w:p w14:paraId="5914093B" w14:textId="77777777" w:rsidR="00B20EAE" w:rsidRPr="00A552FB" w:rsidRDefault="00B20EAE" w:rsidP="003F7044">
      <w:pPr>
        <w:spacing w:after="0" w:line="240" w:lineRule="auto"/>
        <w:jc w:val="both"/>
        <w:rPr>
          <w:rFonts w:eastAsia="Times New Roman" w:cstheme="minorHAnsi"/>
          <w:kern w:val="0"/>
          <w:szCs w:val="22"/>
          <w14:ligatures w14:val="none"/>
        </w:rPr>
      </w:pPr>
      <w:r w:rsidRPr="00A552FB">
        <w:rPr>
          <w:rFonts w:eastAsia="Times New Roman" w:cstheme="minorHAnsi"/>
          <w:kern w:val="0"/>
          <w:szCs w:val="22"/>
          <w14:ligatures w14:val="none"/>
        </w:rPr>
        <w:t>Scientifically, conception is a miracle of precision. From millions of sperm, only one penetrates the oocyte, passing through protective layers that permit no duplicates. Nilkanth Kesari terms this intricate union "Fusi-fission," where the fusion of sperm and egg draws in Encoded Electrical Energy (EEE)</w:t>
      </w:r>
      <w:r w:rsidR="00414C8C" w:rsidRPr="00A552FB">
        <w:rPr>
          <w:rFonts w:eastAsia="Times New Roman" w:cstheme="minorHAnsi"/>
          <w:kern w:val="0"/>
          <w:szCs w:val="22"/>
          <w14:ligatures w14:val="none"/>
        </w:rPr>
        <w:t xml:space="preserve">, </w:t>
      </w:r>
      <w:r w:rsidRPr="00A552FB">
        <w:rPr>
          <w:rFonts w:eastAsia="Times New Roman" w:cstheme="minorHAnsi"/>
          <w:kern w:val="0"/>
          <w:szCs w:val="22"/>
          <w14:ligatures w14:val="none"/>
        </w:rPr>
        <w:t>the soul itself. If this soul-energy is not attracted, fertilization halts, underscoring the indispensable spiritual element in conception.</w:t>
      </w:r>
    </w:p>
    <w:p w14:paraId="70B30794" w14:textId="77777777" w:rsidR="00B20EAE" w:rsidRPr="00A552FB" w:rsidRDefault="00B20EAE" w:rsidP="003F7044">
      <w:pPr>
        <w:spacing w:after="0" w:line="240" w:lineRule="auto"/>
        <w:jc w:val="both"/>
        <w:rPr>
          <w:rFonts w:eastAsia="Times New Roman" w:cstheme="minorHAnsi"/>
          <w:kern w:val="0"/>
          <w:szCs w:val="22"/>
          <w14:ligatures w14:val="none"/>
        </w:rPr>
      </w:pPr>
      <w:r w:rsidRPr="00A552FB">
        <w:rPr>
          <w:rFonts w:eastAsia="Times New Roman" w:cstheme="minorHAnsi"/>
          <w:kern w:val="0"/>
          <w:szCs w:val="22"/>
          <w14:ligatures w14:val="none"/>
        </w:rPr>
        <w:t>Crucially, this process depends on a precise spiritual resonance. Kesari explains that successful conception requires a combined total of 100 Soul Frequency Points from both parents. This fusion of energies forms a spiritual threshold necessary for the soul to incarnate, elevating conception from a biological event to a sacred energetic alignment.</w:t>
      </w:r>
    </w:p>
    <w:p w14:paraId="1F36AF3B" w14:textId="77777777" w:rsidR="00B20EAE" w:rsidRPr="00A552FB" w:rsidRDefault="00B20EAE" w:rsidP="003F7044">
      <w:pPr>
        <w:spacing w:after="0" w:line="240" w:lineRule="auto"/>
        <w:jc w:val="both"/>
        <w:rPr>
          <w:rFonts w:eastAsia="Times New Roman" w:cstheme="minorHAnsi"/>
          <w:kern w:val="0"/>
          <w:szCs w:val="22"/>
          <w14:ligatures w14:val="none"/>
        </w:rPr>
      </w:pPr>
      <w:r w:rsidRPr="00A552FB">
        <w:rPr>
          <w:rFonts w:eastAsia="Times New Roman" w:cstheme="minorHAnsi"/>
          <w:kern w:val="0"/>
          <w:szCs w:val="22"/>
          <w14:ligatures w14:val="none"/>
        </w:rPr>
        <w:t>These insights have powerful implications for mental health and behavioral sciences. Understanding the energetic and spiritual contributions of parents can shed light on root causes of psychological challenges, allowing for more holistic approaches to prevention and healing. It emphasizes the importance of cultivating spiritual and emotional balance within families.</w:t>
      </w:r>
    </w:p>
    <w:p w14:paraId="17A3F9AE" w14:textId="3E22F4F1" w:rsidR="0030097E" w:rsidRPr="003F7044" w:rsidRDefault="00B20EAE" w:rsidP="003F7044">
      <w:pPr>
        <w:spacing w:after="0" w:line="240" w:lineRule="auto"/>
        <w:jc w:val="both"/>
        <w:rPr>
          <w:rFonts w:eastAsia="Times New Roman" w:cstheme="minorHAnsi"/>
          <w:kern w:val="0"/>
          <w:szCs w:val="22"/>
          <w14:ligatures w14:val="none"/>
        </w:rPr>
      </w:pPr>
      <w:r w:rsidRPr="00A552FB">
        <w:rPr>
          <w:rFonts w:eastAsia="Times New Roman" w:cstheme="minorHAnsi"/>
          <w:kern w:val="0"/>
          <w:szCs w:val="22"/>
          <w14:ligatures w14:val="none"/>
        </w:rPr>
        <w:t>In essence, the Upanishadic view, supported by Kesari’s teachings, frames human birth as a divine symphony of energy, karma, and consciousness. Recognizing and honoring this process offers a deeper reverence for life and a path toward generational well-being.</w:t>
      </w:r>
    </w:p>
    <w:sectPr w:rsidR="0030097E" w:rsidRPr="003F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AE"/>
    <w:rsid w:val="00195FB6"/>
    <w:rsid w:val="001B36DF"/>
    <w:rsid w:val="0030097E"/>
    <w:rsid w:val="00301A39"/>
    <w:rsid w:val="003F7044"/>
    <w:rsid w:val="00414C8C"/>
    <w:rsid w:val="00686C8D"/>
    <w:rsid w:val="00A552FB"/>
    <w:rsid w:val="00B20EAE"/>
    <w:rsid w:val="00ED1A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474B"/>
  <w15:chartTrackingRefBased/>
  <w15:docId w15:val="{08ED7D88-5FE3-4D21-BEF7-3A180E09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0EAE"/>
    <w:rPr>
      <w:b/>
      <w:bCs/>
    </w:rPr>
  </w:style>
  <w:style w:type="character" w:styleId="Emphasis">
    <w:name w:val="Emphasis"/>
    <w:basedOn w:val="DefaultParagraphFont"/>
    <w:uiPriority w:val="20"/>
    <w:qFormat/>
    <w:rsid w:val="00B20E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10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5</cp:revision>
  <dcterms:created xsi:type="dcterms:W3CDTF">2025-05-06T03:34:00Z</dcterms:created>
  <dcterms:modified xsi:type="dcterms:W3CDTF">2025-05-14T15:10:00Z</dcterms:modified>
</cp:coreProperties>
</file>