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b/>
          <w:color w:val="000000"/>
          <w:sz w:val="30"/>
        </w:rPr>
        <w:t>Ramanujan's Interface - Master To-Do List</w:t>
      </w:r>
    </w:p>
    <w:p>
      <w:r>
        <w:rPr>
          <w:color w:val="000000"/>
        </w:rPr>
        <w:t>_Intelligent Cloud Lab | print-and-tick checklist | 2026-07-02_</w:t>
      </w:r>
    </w:p>
    <w:p>
      <w:pPr>
        <w:spacing w:before="200" w:after="60"/>
      </w:pPr>
      <w:r>
        <w:rPr>
          <w:b/>
          <w:color w:val="000000"/>
          <w:sz w:val="25"/>
        </w:rPr>
        <w:t>0. Project setup, IP &amp; infrastructure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Initialize git repo in Ramanujn's-Interface/ (product root)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Configure separate ICL AWS profile (aws configure --profile icl) — new account, never cross-billed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Migrate domain intelligentcloud.guru from old AWS account to new ICL account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Keep pattern library / generators server-side only (no client SDK, never open-source) — moat rule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Build the commercial shell fresh in ICL - use no third-party product code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Convert ICL-1 provisional patent -&gt; utility filing (keep IFS/Banach equations filed, not published)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Founder-only: complete marketplace / seller registrations (legal entity, tax, banking)</w:t>
      </w:r>
    </w:p>
    <w:p>
      <w:pPr>
        <w:spacing w:before="200" w:after="60"/>
      </w:pPr>
      <w:r>
        <w:rPr>
          <w:b/>
          <w:color w:val="000000"/>
          <w:sz w:val="25"/>
        </w:rPr>
        <w:t>1. Deterministic engine - spec-core (LIBRARIES: author the CODE)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Package existing spec-engine (spec_parser.py, component_mapper.py, pattern_library.py, spec-schema.json) into engine/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Prove f(spec)=code running in the new ICL home (parse sample YAML -&gt; emit React)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pattern-lib-web: package the 16 live patterns (L-01..L-06, C-01..C-10)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Add complex component patterns: image, heading/text, nav bar, hero section, feature grid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Expand pattern library from 16 -&gt; 58 patterns (D/E/S/V/A/F/I/X categories) as demand dictates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quality-gates library: accessibility (WCAG) + performance checks, guaranteed by construction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verify-preview library: headless-Chrome render + visual diff (reuse existing pipeline)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commercial-core: build ICL's own auth / api / turnstile / bot-protection</w:t>
      </w:r>
    </w:p>
    <w:p>
      <w:pPr>
        <w:spacing w:before="200" w:after="60"/>
      </w:pPr>
      <w:r>
        <w:rPr>
          <w:b/>
          <w:color w:val="000000"/>
          <w:sz w:val="25"/>
        </w:rPr>
        <w:t>2. Design fidelity &amp; ingest libraries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design-tokens library: extract colors / fonts / spacing -&gt; CSS (so output LOOKS like the design)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ingest-figma: Figma REST/MCP -&gt; normalized design tree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ingest-canva: Canva Connect export -&gt; normalized (lower priority; autofill is Enterprise-gated)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ingest-vision: any custom graphic (PNG/JPG) -&gt; layout structure (hardest; the 'any graphic' unlock)</w:t>
      </w:r>
    </w:p>
    <w:p>
      <w:pPr>
        <w:spacing w:before="200" w:after="60"/>
      </w:pPr>
      <w:r>
        <w:rPr>
          <w:b/>
          <w:color w:val="000000"/>
          <w:sz w:val="25"/>
        </w:rPr>
        <w:t>3. Multi-target emitters (framework-agnostic + mobile)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pattern-lib-html: deterministic HTML/CSS emitter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pattern-lib-native: React Native / Expo emitter (the 'mobile app' output)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(reference only) study Builder.io Mitosis for one-IR -&gt; many-frameworks (do NOT put in the engine)</w:t>
      </w:r>
    </w:p>
    <w:p>
      <w:pPr>
        <w:spacing w:before="200" w:after="60"/>
      </w:pPr>
      <w:r>
        <w:rPr>
          <w:b/>
          <w:color w:val="000000"/>
          <w:sz w:val="25"/>
        </w:rPr>
        <w:t>4. Agents (author the SPEC, never the code)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ingest-agent (vision): Figma / Canva / graphic -&gt; structured design description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spec-author-agent (CORE): design or prompt -&gt; valid YAML spec (schema-constrained, few-shot from reference specs)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token-extract-agent: design -&gt; theme tokens (feeds design-tokens)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spec-repair-agent: validate + auto-fix spec against schema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verify-agent: render vs source visual diff -&gt; feedback loop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orchestrator-agent: MCP tool running ingest -&gt; spec -&gt; generate -&gt; verify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pattern-proposal-agent: unmapped element -&gt; propose new pattern (human-reviewed) [later]</w:t>
      </w:r>
    </w:p>
    <w:p>
      <w:pPr>
        <w:spacing w:before="200" w:after="60"/>
      </w:pPr>
      <w:r>
        <w:rPr>
          <w:b/>
          <w:color w:val="000000"/>
          <w:sz w:val="25"/>
        </w:rPr>
        <w:t>5. API &amp; commercial layer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API layer: POST design|spec -&gt; code (the a-UI-01 / hosted endpoint)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API-key authentication + rate limiting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Usage metering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Stripe metered / subscription billing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Landing page + docs + self-serve signup (build ICL's own UI core)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Pricing tiers: indie $29-49 / Pro $99 / Agency $199+ (protects the $99 blended ARPU)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(Phase 2) subscription hosted model (multi-tenant hosting + per-customer deploy) - DEFER</w:t>
      </w:r>
    </w:p>
    <w:p>
      <w:pPr>
        <w:spacing w:before="200" w:after="60"/>
      </w:pPr>
      <w:r>
        <w:rPr>
          <w:b/>
          <w:color w:val="000000"/>
          <w:sz w:val="25"/>
        </w:rPr>
        <w:t>6. Hosting &amp; deploy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Stand up ICL EC2 / Lambda + API Gateway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nginx config for static React sites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Deploy pipeline (build -&gt; server -&gt; CDN/CloudFront invalidate)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Monitoring / alarms</w:t>
      </w:r>
    </w:p>
    <w:p>
      <w:pPr>
        <w:spacing w:before="200" w:after="60"/>
      </w:pPr>
      <w:r>
        <w:rPr>
          <w:b/>
          <w:color w:val="000000"/>
          <w:sz w:val="25"/>
        </w:rPr>
        <w:t>7. Cloud marketplaces (OUR side by Aug 15; approval time is external)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Research + pick a marketplace-enablement layer (Tackle / Suger / Clazar / Labra) - one integration, not three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FILE GCP Marketplace partner application FIRST (approval-gated even to start building)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AWS Marketplace: seller registration + metering integration + listing content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Azure Marketplace: Partner Center + SaaS fulfillment API + listing content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GCP Marketplace: procurement API integration + listing content (after partner approval)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Submit all three (our side) by Aug 15</w:t>
      </w:r>
    </w:p>
    <w:p>
      <w:pPr>
        <w:spacing w:before="200" w:after="60"/>
      </w:pPr>
      <w:r>
        <w:rPr>
          <w:b/>
          <w:color w:val="000000"/>
          <w:sz w:val="25"/>
        </w:rPr>
        <w:t>8. WP -&gt; React migration (first use cases = dogfood + case studies + alpha)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Restart one WordPress instance briefly OR locate DB/XML backups (content access)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Confirm each site type: brochure/marketing (easy) vs dynamic (forms / WooCommerce / membership)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Site #1 (semi-manual): build &amp; validate spec-core + ingest + design-tokens against it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Per site x6: extract content (WP REST /wp-json or XML export)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Per site x6: capture design -&gt; screenshot -&gt; vision-ingest -&gt; SPEC (or map to L/C patterns)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Per site x6: extract theme tokens (colors / fonts) -&gt; design-tokens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Per site x6: generate React via engine + populate content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Per site x6: deploy to nginx on ICL EC2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Write case studies: migration speed, cost savings (WP servers -&gt; static), perf/SEO gains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Capture the speed-up curve (Site 1 days -&gt; Site 6 hours) as the headline metric</w:t>
      </w:r>
    </w:p>
    <w:p>
      <w:pPr>
        <w:spacing w:before="200" w:after="60"/>
      </w:pPr>
      <w:r>
        <w:rPr>
          <w:b/>
          <w:color w:val="000000"/>
          <w:sz w:val="25"/>
        </w:rPr>
        <w:t>9. Launch milestones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Aug 1, 2026 - ALPHA on Product Hunt + similar (lean metered API: YAML-&gt;code + Stripe + landing; NO Figma/hosted/mobile in alpha)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Aug 15, 2026 - our side of AWS/Azure/GCP marketplace listings submitted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Sept 1, 2026 - full marketing launch (Pune agency)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Mar 31, 2027 - reach 10,000 subscribers (1/3 of target; 30k x $99/mo = ~$3M/mo target)</w:t>
      </w:r>
    </w:p>
    <w:p>
      <w:pPr>
        <w:spacing w:before="200" w:after="60"/>
      </w:pPr>
      <w:r>
        <w:rPr>
          <w:b/>
          <w:color w:val="000000"/>
          <w:sz w:val="25"/>
        </w:rPr>
        <w:t>10. Moat &amp; IP protection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Legal lock: ICL-1 utility conversion; keep equations filed not published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Technical lock: pattern library 100% server-side; no client SDK; never open-source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Compounding lock: data flywheel - log every ingested design to improve agents + grow token/spec corpus</w:t>
      </w:r>
    </w:p>
    <w:p>
      <w:pPr>
        <w:spacing w:before="200" w:after="60"/>
      </w:pPr>
      <w:r>
        <w:rPr>
          <w:b/>
          <w:color w:val="000000"/>
          <w:sz w:val="25"/>
        </w:rPr>
        <w:t>11. Team, offshore &amp; personal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Final interviews of ~10 developers (HR does strict vetting first)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Plan &amp; prepare short-term family relocation to Pune</w:t>
      </w:r>
    </w:p>
    <w:p>
      <w:pPr>
        <w:spacing w:before="200" w:after="60"/>
      </w:pPr>
      <w:r>
        <w:rPr>
          <w:b/>
          <w:color w:val="000000"/>
          <w:sz w:val="25"/>
        </w:rPr>
        <w:t>12. Marketing (SEPARATE TRACK - not built here)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Handled by marketing firm + Google tools, own plan &amp; budget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Reference only in this project; do not build marketing assets in the engineering lane</w:t>
      </w:r>
    </w:p>
    <w:p>
      <w:pPr>
        <w:spacing w:before="200" w:after="60"/>
      </w:pPr>
      <w:r>
        <w:rPr>
          <w:b/>
          <w:color w:val="000000"/>
          <w:sz w:val="25"/>
        </w:rPr>
        <w:t>13. Delivery model - no source export (current plan)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Default delivery = hosted running result via API; NEVER return source code (except vetted Enterprise export tier)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Position as deterministic math-based UI API that replaces the probabilistic LLM call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Reject client-side DRM/encryption; protect by keeping engine server-side</w:t>
      </w:r>
    </w:p>
    <w:p>
      <w:pPr>
        <w:spacing w:before="200" w:after="60"/>
      </w:pPr>
      <w:r>
        <w:rPr>
          <w:b/>
          <w:color w:val="000000"/>
          <w:sz w:val="25"/>
        </w:rPr>
        <w:t>14. Hosted site architecture (hybrid serverless)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Static site served from S3 + CloudFront (on-demand build container, torn down when idle)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Contact form: static form + Cloudflare Turnstile -&gt; API Gateway -&gt; one generic SMTP-relay Lambda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Email offloaded to reseller's own SMTP; write setup docs for ~12 providers (SendGrid, SES, GoDaddy, etc.)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"Post to your own endpoint" mode, automated by an agent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Chat widget calls reseller's own LLM endpoint directly (zero chat cost/liability)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Reseller connects own domain (CNAME to CloudFront); managed DNS = paid add-on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Confirm target ~$1-2/site all-in, ~90% gross margin at $99</w:t>
      </w:r>
    </w:p>
    <w:p>
      <w:pPr>
        <w:spacing w:before="200" w:after="60"/>
      </w:pPr>
      <w:r>
        <w:rPr>
          <w:b/>
          <w:color w:val="000000"/>
          <w:sz w:val="25"/>
        </w:rPr>
        <w:t>15. Canva Premium App - the beachhead (Canva sells it)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Build narrow, delightful in-editor app: "turn your Canva design into a real website" (one-click)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Ingest via Canva Design Editing API (structured design -&gt; high fidelity)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Keep export/upload fallback (non-dependent; serves non-Canva users too)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List via Canva Premium Apps Program (Canva markets, bills, revenue-shares)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Design flow ADDITIVE - output stays in Canva ecosystem (Canva keeps user + hosting + upsell)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Free-to-try -&gt; premium funnel to drive installs + ratings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Seed reviews/installs from WP case studies + first creator-resellers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Keep non-Canva channels live so slow approval can't stall launch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(Earned, later) OEM/embed deal for native my.canva.site output</w:t>
      </w:r>
    </w:p>
    <w:p>
      <w:pPr>
        <w:spacing w:before="200" w:after="60"/>
      </w:pPr>
      <w:r>
        <w:rPr>
          <w:b/>
          <w:color w:val="000000"/>
          <w:sz w:val="25"/>
        </w:rPr>
        <w:t>16. Pricing &amp; upsell ladder (Macy's, not dollar store)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Anchor tier: $99 premium; NOT a race to the bottom vs Canva free Websites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Build upsells from day one: e-commerce/store, multi-site, custom domain + pro email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Advanced functionality: booking, memberships, CRM/forms, analytics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AI features add-on (chat/agent, content, SEO)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Traffic/bandwidth tiers; priority support/SLA; managed "keep it fresh" updates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Agency/team seats + white-label (highest ACV)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Target NRR &gt; 100% (grow MRR, not just logos)</w:t>
      </w:r>
    </w:p>
    <w:p>
      <w:pPr>
        <w:spacing w:before="200" w:after="60"/>
      </w:pPr>
      <w:r>
        <w:rPr>
          <w:b/>
          <w:color w:val="000000"/>
          <w:sz w:val="25"/>
        </w:rPr>
        <w:t>17. Internal moat &amp; agent hardening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Class A (core algorithm, pattern library, IFS) = FOUNDER-ONLY; no engineer touches it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All engineers (trainee or senior) operate through hardened agents (on-call, scaling, features)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Wall Class A off from the trainee/senior repo entirely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Red-team the agents themselves (what can they see/log/return about Class A?)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Break-glass succession envelope for Class A (sealed/encrypted access; bus-factor mitigation)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API-surface defenses: rate limits, enumeration/anomaly detection (IDS/IPS agent), per-tenant sets, output fingerprinting</w:t>
      </w:r>
    </w:p>
    <w:p>
      <w:pPr>
        <w:spacing w:before="200" w:after="60"/>
      </w:pPr>
      <w:r>
        <w:rPr>
          <w:b/>
          <w:color w:val="000000"/>
          <w:sz w:val="25"/>
        </w:rPr>
        <w:t>18. Go-to-market &amp; business plan (current)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Canva Premium App launch: first week of August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Full product (APIs + features) complete by mid-August (excl. marketplace approval)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Relocate to India mid-August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Sign India web-design/marketing firm as first reseller + marketing arm (barter or paid)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Stand up YouTube channel + ads (studied YouTube/Google algorithm approach)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4-person offsite marketing team (~$2k/mo) + ~$3k ads; ~$5k initial push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Recruit Canva-ecosystem creators (educators, VAs, template sellers, small agencies) as resellers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Hold M/E ratio ~6 (product built -&gt; distribution is the bottleneck); reinvest all margin</w:t>
      </w:r>
    </w:p>
    <w:p>
      <w:pPr>
        <w:spacing w:before="200" w:after="60"/>
      </w:pPr>
      <w:r>
        <w:rPr>
          <w:b/>
          <w:color w:val="000000"/>
          <w:sz w:val="25"/>
        </w:rPr>
        <w:t>19. Validation gate &amp; reliability (first 1,000)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Instrument from customer #1: conversion by channel, churn/retention, NRR/expansion, CAC by channel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First 1,000 paying at $99 = validation gate; scale what converts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Target ~$1M/month combined within 6 months of hitting 1,000 (target, not forecast until validated)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Senior anchor (founder + AI review) for reliability/security/incident response (hosted = critical infra)</w:t>
      </w:r>
    </w:p>
    <w:p>
      <w:pPr>
        <w:spacing w:after="40"/>
        <w:ind w:left="200"/>
      </w:pPr>
      <w:r>
        <w:rPr>
          <w:color w:val="000000"/>
          <w:sz w:val="24"/>
        </w:rPr>
        <w:t xml:space="preserve">☐  </w:t>
      </w:r>
      <w:r>
        <w:rPr>
          <w:color w:val="000000"/>
        </w:rPr>
        <w:t>India trainee hiring: walk-in interviews; ~$10k for 4 trainees / 6 months for feature work via agents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