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b/>
          <w:color w:val="000000"/>
          <w:sz w:val="30"/>
        </w:rPr>
        <w:t>Ramanujan's Interface</w:t>
      </w:r>
    </w:p>
    <w:p>
      <w:r>
        <w:rPr>
          <w:color w:val="000000"/>
        </w:rPr>
        <w:t>The deterministic UI API — a math-based, reproducible replacement for probabilistic LLM code generation. Turns any design (Canva, Figma, or any graphic) into a real, hosted production website, with mathematically guaranteed identical output.</w:t>
      </w:r>
    </w:p>
    <w:p>
      <w:pPr>
        <w:pStyle w:val="ListBullet"/>
      </w:pPr>
      <w:r>
        <w:rPr>
          <w:color w:val="000000"/>
        </w:rPr>
        <w:t>Position: Ramanujan's Interface is the first product of Intelligent Cloud Lab, Inc.</w:t>
      </w:r>
    </w:p>
    <w:p>
      <w:pPr>
        <w:pStyle w:val="ListBullet"/>
      </w:pPr>
      <w:r>
        <w:rPr>
          <w:color w:val="000000"/>
        </w:rPr>
        <w:t>Entity: Intelligent Cloud Lab, Inc. (ICL) — Delaware C-Corp. Wholly owned by ICL; no external stakeholder claim.</w:t>
      </w:r>
    </w:p>
    <w:p>
      <w:pPr>
        <w:pStyle w:val="ListBullet"/>
      </w:pPr>
      <w:r>
        <w:rPr>
          <w:color w:val="000000"/>
        </w:rPr>
        <w:t>Engine: Ramanujan Engine (ICL). Core algorithm = Class A, founder-only.</w:t>
      </w:r>
    </w:p>
    <w:p>
      <w:pPr>
        <w:pStyle w:val="ListBullet"/>
      </w:pPr>
      <w:r>
        <w:rPr>
          <w:color w:val="000000"/>
        </w:rPr>
        <w:t>Patent: ICL-1 provisional filed; utility to be developed and filed within the priority window. Portfolio: ICL-2, ICL-6, ICL-UX1 to UX4.</w:t>
      </w:r>
    </w:p>
    <w:p>
      <w:pPr>
        <w:pStyle w:val="ListBullet"/>
      </w:pPr>
      <w:r>
        <w:rPr>
          <w:color w:val="000000"/>
        </w:rPr>
        <w:t>Domain: intelligentcloud.guru</w:t>
      </w:r>
    </w:p>
    <w:p>
      <w:pPr>
        <w:pStyle w:val="ListBullet"/>
      </w:pPr>
      <w:r>
        <w:rPr>
          <w:color w:val="000000"/>
        </w:rPr>
        <w:t>Inventor: Amit Sarkar</w:t>
      </w:r>
    </w:p>
    <w:p>
      <w:pPr>
        <w:pStyle w:val="ListBullet"/>
      </w:pPr>
      <w:r>
        <w:rPr>
          <w:color w:val="000000"/>
        </w:rPr>
        <w:t>Doc type: consolidated strategy and architecture reference. Mathematical equations kept separately.</w:t>
      </w:r>
    </w:p>
    <w:p>
      <w:pPr>
        <w:spacing w:before="200" w:after="60"/>
      </w:pPr>
      <w:r>
        <w:rPr>
          <w:b/>
          <w:color w:val="000000"/>
          <w:sz w:val="25"/>
        </w:rPr>
        <w:t>1. Thesis</w:t>
      </w:r>
    </w:p>
    <w:p>
      <w:r>
        <w:rPr>
          <w:color w:val="000000"/>
        </w:rPr>
        <w:t>Every developer has an LLM. What they cannot get from any LLM, at any prompt quality, is determinism, guaranteed quality, and reproducibility. Ramanujan's Interface sits downstream of the LLM: the LLM authors the SPEC (probabilistic front half); the deterministic engine authors the CODE (guaranteed back half). f(spec)=code, byte-identical, every time. Delivered as a hosted API and hosted sites — the code is never exported by default.</w:t>
      </w:r>
    </w:p>
    <w:p>
      <w:pPr>
        <w:spacing w:before="200" w:after="60"/>
      </w:pPr>
      <w:r>
        <w:rPr>
          <w:b/>
          <w:color w:val="000000"/>
          <w:sz w:val="25"/>
        </w:rPr>
        <w:t>2. The moat — what the LLM structurally cannot do</w:t>
      </w:r>
    </w:p>
    <w:p>
      <w:r>
        <w:rPr>
          <w:color w:val="000000"/>
        </w:rPr>
        <w:t>These gaps are inherent to LLMs; no prompt fixes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The LLM does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It structurally cannot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Draft a component fast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Reproduce it — same prompt, different 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Explore layouts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Guarantee accessibility / performance / test coverage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Write plausible code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Not hallucinate — invented props/APIs are inherent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Help edit code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Version intent — you version output, lose the 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Work in one file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Hold a large app consistently (drift)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Answer today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Survive its own model updates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Serve one developer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Govern 50 developers to one standard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Produce a draft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Prove anything — no mathematical/legal guarantee</w:t>
            </w:r>
          </w:p>
        </w:tc>
      </w:tr>
    </w:tbl>
    <w:p>
      <w:pPr>
        <w:spacing w:before="200" w:after="60"/>
      </w:pPr>
      <w:r>
        <w:rPr>
          <w:b/>
          <w:color w:val="000000"/>
          <w:sz w:val="25"/>
        </w:rPr>
        <w:t>3. The two guarantees</w:t>
      </w:r>
    </w:p>
    <w:p>
      <w:r>
        <w:rPr>
          <w:color w:val="000000"/>
        </w:rPr>
        <w:t>Determinism with mathematical certainty (IFS / Banach): the same spec produces the same graphic, font, layout, features, and byte-identical result, every time. No competitor can claim this.</w:t>
      </w:r>
    </w:p>
    <w:p>
      <w:r>
        <w:rPr>
          <w:color w:val="000000"/>
        </w:rPr>
        <w:t>Cost collapse: what took a guru team 2 to 4 weeks per screen becomes hours for a semi-skilled operator — roughly 50 to 100x cheaper and faster, zero drift. A semi-skilled operator plus the engine equals a guru team's output, with certainty.</w:t>
      </w:r>
    </w:p>
    <w:p>
      <w:pPr>
        <w:spacing w:before="200" w:after="60"/>
      </w:pPr>
      <w:r>
        <w:rPr>
          <w:b/>
          <w:color w:val="000000"/>
          <w:sz w:val="25"/>
        </w:rPr>
        <w:t>4. The engine (ICL-1 grounded)</w:t>
      </w:r>
    </w:p>
    <w:p>
      <w:r>
        <w:rPr>
          <w:color w:val="000000"/>
        </w:rPr>
        <w:t>Executable YAML/JSON spec language; a human-curated, quality-gated pattern library (16 live: L-01 to L-06, C-01 to C-10; target 58 across 10 categories); an orchestration engine (parser to mapper to pattern library to assembly); a pure-function determinism guarantee (no randomness, no side effects, no LLM inference in code generation), formalized via contraction mappings and a Banach unique attractor. Five quality gates per pattern (usability, WCAG AAA, sub-50ms render, cross-browser, full tests).</w:t>
      </w:r>
    </w:p>
    <w:p>
      <w:pPr>
        <w:spacing w:before="200" w:after="60"/>
      </w:pPr>
      <w:r>
        <w:rPr>
          <w:b/>
          <w:color w:val="000000"/>
          <w:sz w:val="25"/>
        </w:rPr>
        <w:t>5. Architecture — agents author the SPEC, libraries author the CODE</w:t>
      </w:r>
    </w:p>
    <w:p>
      <w:r>
        <w:rPr>
          <w:color w:val="000000"/>
        </w:rPr>
        <w:t>Design source (Canva / Figma / any graphic / prompt) to INGEST to DESIGN-TO-SPEC (agents, probabilistic) to SPEC-TO-CODE (Ramanujan Engine, deterministic) to hosted output. The boundary between spec and code is the moat: flexibility from the agents, guarantee from the libraries.</w:t>
      </w:r>
    </w:p>
    <w:p>
      <w:pPr>
        <w:spacing w:before="200" w:after="60"/>
      </w:pPr>
      <w:r>
        <w:rPr>
          <w:b/>
          <w:color w:val="000000"/>
          <w:sz w:val="25"/>
        </w:rPr>
        <w:t>6. Delivery model — no source export by default</w:t>
      </w:r>
    </w:p>
    <w:p>
      <w:r>
        <w:rPr>
          <w:color w:val="000000"/>
        </w:rPr>
        <w:t>The API returns a running, hosted result — never source code — by default. This makes the engine a true black box: usage exposes only rendered UI, never the generator, pattern library, or math. Positioning: a deterministic, math-based UI API that replaces the probabilistic LLM call for UI. Source export exists only as a vetted, contract-bound Enterprise tier. Client-side DRM/encryption is rejected — it breaks the value proposition and cannot protect code that runs on someone else's machine; protection comes from keeping the magic server-side, not from encrypting output.</w:t>
      </w:r>
    </w:p>
    <w:p>
      <w:pPr>
        <w:spacing w:before="200" w:after="60"/>
      </w:pPr>
      <w:r>
        <w:rPr>
          <w:b/>
          <w:color w:val="000000"/>
          <w:sz w:val="25"/>
        </w:rPr>
        <w:t>7. The hosted site architecture (hybrid serverless)</w:t>
      </w:r>
    </w:p>
    <w:p>
      <w:pPr>
        <w:pStyle w:val="ListBullet"/>
      </w:pPr>
      <w:r>
        <w:rPr>
          <w:color w:val="000000"/>
        </w:rPr>
        <w:t>Static site (HTML/CSS/JS) served from S3 and CloudFront — pennies, infinite scale, no persistent per-site server.</w:t>
      </w:r>
    </w:p>
    <w:p>
      <w:pPr>
        <w:pStyle w:val="ListBullet"/>
      </w:pPr>
      <w:r>
        <w:rPr>
          <w:color w:val="000000"/>
        </w:rPr>
        <w:t>Contact form: static form plus Cloudflare Turnstile to API Gateway to one generic Lambda that verifies Turnstile and relays via the reseller's own SMTP. Email is offloaded — the reseller's provider, reputation, and cost. A dozen provider setup guides (SendGrid, SES, GoDaddy, and others) are docs, not code. The flow can also post to the reseller's own endpoint, automated by an agent.</w:t>
      </w:r>
    </w:p>
    <w:p>
      <w:pPr>
        <w:pStyle w:val="ListBullet"/>
      </w:pPr>
      <w:r>
        <w:rPr>
          <w:color w:val="000000"/>
        </w:rPr>
        <w:t>Chat: static widget calling the reseller's own LLM endpoint directly — zero chat cost and zero LLM liability for ICL.</w:t>
      </w:r>
    </w:p>
    <w:p>
      <w:pPr>
        <w:pStyle w:val="ListBullet"/>
      </w:pPr>
      <w:r>
        <w:rPr>
          <w:color w:val="000000"/>
        </w:rPr>
        <w:t>DNS: reseller connects their own domain (CNAME to CloudFront); managed DNS is a paid add-on.</w:t>
      </w:r>
    </w:p>
    <w:p>
      <w:pPr>
        <w:pStyle w:val="ListBullet"/>
      </w:pPr>
      <w:r>
        <w:rPr>
          <w:color w:val="000000"/>
        </w:rPr>
        <w:t>Build/edit engine runs on-demand only (torn down when idle); idle sites cost pennies.</w:t>
      </w:r>
    </w:p>
    <w:p>
      <w:pPr>
        <w:spacing w:before="200" w:after="60"/>
      </w:pPr>
      <w:r>
        <w:rPr>
          <w:b/>
          <w:color w:val="000000"/>
          <w:sz w:val="25"/>
        </w:rPr>
        <w:t>8. Unit economics</w:t>
      </w:r>
    </w:p>
    <w:p>
      <w:r>
        <w:rPr>
          <w:color w:val="000000"/>
        </w:rPr>
        <w:t>All-in roughly 1 to 2 dollars per site per month (bandwidth is the only variable); about 90 percent gross margin at a 99-dollar price, before upsell. No persistent containers; serverless-first.</w:t>
      </w:r>
    </w:p>
    <w:p>
      <w:pPr>
        <w:spacing w:before="200" w:after="60"/>
      </w:pPr>
      <w:r>
        <w:rPr>
          <w:b/>
          <w:color w:val="000000"/>
          <w:sz w:val="25"/>
        </w:rPr>
        <w:t>9. The real moat (reframed, honest)</w:t>
      </w:r>
    </w:p>
    <w:p>
      <w:pPr>
        <w:pStyle w:val="ListBullet"/>
      </w:pPr>
      <w:r>
        <w:rPr>
          <w:color w:val="000000"/>
        </w:rPr>
        <w:t>Patent is a deterrent, a valuation and licensing asset, and marketing — it is geographically limited and not global protection. Do not bet the company on it. Draft the utility around the technical improvement (reproducible UI serving), not the mathematics, to survive eligibility challenges.</w:t>
      </w:r>
    </w:p>
    <w:p>
      <w:pPr>
        <w:pStyle w:val="ListBullet"/>
      </w:pPr>
      <w:r>
        <w:rPr>
          <w:color w:val="000000"/>
        </w:rPr>
        <w:t>The durable moat is architectural: engine server-side, no source export (nothing to reverse-engineer from usage), hosted delivery, plus velocity, distribution, and the data flywheel.</w:t>
      </w:r>
    </w:p>
    <w:p>
      <w:pPr>
        <w:pStyle w:val="ListBullet"/>
      </w:pPr>
      <w:r>
        <w:rPr>
          <w:color w:val="000000"/>
        </w:rPr>
        <w:t>Trade secret: the pattern library and generators never leave the server; no client SDK; never open-sourced.</w:t>
      </w:r>
    </w:p>
    <w:p>
      <w:pPr>
        <w:pStyle w:val="ListBullet"/>
      </w:pPr>
      <w:r>
        <w:rPr>
          <w:color w:val="000000"/>
        </w:rPr>
        <w:t>Internal moat: engineers (trainee or senior) operate only through hardened agents for on-call maintenance, scaling, and some feature work. Only the founder touches Class A (the core algorithm, pattern library, IFS). The agent boundary is the security perimeter.</w:t>
      </w:r>
    </w:p>
    <w:p>
      <w:pPr>
        <w:pStyle w:val="ListBullet"/>
      </w:pPr>
      <w:r>
        <w:rPr>
          <w:color w:val="000000"/>
        </w:rPr>
        <w:t>Continuity: founder-only Class A means bus-factor equals 1; maintain a break-glass succession envelope (sealed/encrypted access for a trustee, co-founder, or estate) and keep Class A stable and version-pinned so it rarely needs touching.</w:t>
      </w:r>
    </w:p>
    <w:p>
      <w:pPr>
        <w:pStyle w:val="ListBullet"/>
      </w:pPr>
      <w:r>
        <w:rPr>
          <w:color w:val="000000"/>
        </w:rPr>
        <w:t>Red-team the agents themselves: harden what an agent can see, log, or return; pen-test the agent layer as you would an API.</w:t>
      </w:r>
    </w:p>
    <w:p>
      <w:pPr>
        <w:spacing w:before="200" w:after="60"/>
      </w:pPr>
      <w:r>
        <w:rPr>
          <w:b/>
          <w:color w:val="000000"/>
          <w:sz w:val="25"/>
        </w:rPr>
        <w:t>10. Cloning reality</w:t>
      </w:r>
    </w:p>
    <w:p>
      <w:r>
        <w:rPr>
          <w:color w:val="000000"/>
        </w:rPr>
        <w:t>If code is exported, the output templates can be reverse-engineered from usage in weeks to a few months (the pattern space is small; determinism gives clean signal; an LLM generalizes templates fast). With no source export (hosted), the product cannot be cloned by using it — usage reveals only rendered pixels. Defenses on the API surface: rate limits, anomaly and enumeration detection (an IDS/IPS-style monitoring agent), per-tenant component sets, output fingerprinting, tiered exposure.</w:t>
      </w:r>
    </w:p>
    <w:p>
      <w:pPr>
        <w:spacing w:before="200" w:after="60"/>
      </w:pPr>
      <w:r>
        <w:rPr>
          <w:b/>
          <w:color w:val="000000"/>
          <w:sz w:val="25"/>
        </w:rPr>
        <w:t>11. Go-to-market — Canva-first, marketplace-first (FBA)</w:t>
      </w:r>
    </w:p>
    <w:p>
      <w:pPr>
        <w:pStyle w:val="ListBullet"/>
      </w:pPr>
      <w:r>
        <w:rPr>
          <w:color w:val="000000"/>
        </w:rPr>
        <w:t>Sell where the buyers already are, not by paying to drag cold strangers to an unknown site. Canva is beachhead one for fast early traction and borrowed credibility.</w:t>
      </w:r>
    </w:p>
    <w:p>
      <w:pPr>
        <w:pStyle w:val="ListBullet"/>
      </w:pPr>
      <w:r>
        <w:rPr>
          <w:color w:val="000000"/>
        </w:rPr>
        <w:t>Canva is deliberately building an ecosystem (a Creative Operating System; the visual output layer for the AI ecosystem; over a thousand third-party apps; over 150M paid to creators; a Premium Apps Program; Design Editing and Data Connector APIs). Operating there is participating in their marketplace, like an Amazon or Walmart third-party seller — not fighting the giant. Their own roadmap (AI, enterprise, marketing) avoids production web development, so real production sites are a gap they will not fill deeply.</w:t>
      </w:r>
    </w:p>
    <w:p>
      <w:pPr>
        <w:pStyle w:val="ListBullet"/>
      </w:pPr>
      <w:r>
        <w:rPr>
          <w:color w:val="000000"/>
        </w:rPr>
        <w:t>Let Canva sell it: list via the Premium Apps Program — Canva markets, bills, and revenue-shares. Design the flow additive (output stays in Canva's ecosystem; Canva keeps the user, the hosting, and a premium upsell). The invisible engine is ICL's; the storefront is Canva's.</w:t>
      </w:r>
    </w:p>
    <w:p>
      <w:pPr>
        <w:pStyle w:val="ListBullet"/>
      </w:pPr>
      <w:r>
        <w:rPr>
          <w:color w:val="000000"/>
        </w:rPr>
        <w:t>Ingest via the Canva App Design Editing API (structured design to high fidelity), with export/upload as the non-dependent fallback (also serves non-Canva users). Earned destination: an OEM/embed deal (native my.canva.site output), negotiated from traction — not day one.</w:t>
      </w:r>
    </w:p>
    <w:p>
      <w:pPr>
        <w:pStyle w:val="ListBullet"/>
      </w:pPr>
      <w:r>
        <w:rPr>
          <w:color w:val="000000"/>
        </w:rPr>
        <w:t>Position as Macy's, not a dollar store: the premium upgrade (Canva makes it look great; we make it a real website), not a race to the bottom against Canva's free Websites. The premium buyer is a Canva user with a real business need.</w:t>
      </w:r>
    </w:p>
    <w:p>
      <w:pPr>
        <w:pStyle w:val="ListBullet"/>
      </w:pPr>
      <w:r>
        <w:rPr>
          <w:color w:val="000000"/>
        </w:rPr>
        <w:t>Channel accelerant: recruit Canva-ecosystem creators (educators, template sellers, VAs, small agencies) as first resellers — they arrive with pre-aggregated Canva audiences.</w:t>
      </w:r>
    </w:p>
    <w:p>
      <w:pPr>
        <w:pStyle w:val="ListBullet"/>
      </w:pPr>
      <w:r>
        <w:rPr>
          <w:color w:val="000000"/>
        </w:rPr>
        <w:t>Platform independence: keep non-Canva channels (own sites, resellers, YouTube) live so a slow approval or policy change cannot stall the launch.</w:t>
      </w:r>
    </w:p>
    <w:p>
      <w:pPr>
        <w:spacing w:before="200" w:after="60"/>
      </w:pPr>
      <w:r>
        <w:rPr>
          <w:b/>
          <w:color w:val="000000"/>
          <w:sz w:val="25"/>
        </w:rPr>
        <w:t>12. The Canva-native audience</w:t>
      </w:r>
    </w:p>
    <w:p>
      <w:r>
        <w:rPr>
          <w:color w:val="000000"/>
        </w:rPr>
        <w:t>A large, underserved segment: design-fluent but code-incapable, visual, color-oriented — millions of Canva users who can design but cannot build a website. The engine supplies the exact missing piece (the code), deterministically. Product consequences: visual (Canva/image) ingest is the primary on-ramp; zero code exposure in the UX; design fidelity is the acceptance test; hosted, no-export fits them exactly.</w:t>
      </w:r>
    </w:p>
    <w:p>
      <w:pPr>
        <w:spacing w:before="200" w:after="60"/>
      </w:pPr>
      <w:r>
        <w:rPr>
          <w:b/>
          <w:color w:val="000000"/>
          <w:sz w:val="25"/>
        </w:rPr>
        <w:t>13. Pricing and the upsell ladder</w:t>
      </w:r>
    </w:p>
    <w:p>
      <w:r>
        <w:rPr>
          <w:color w:val="000000"/>
        </w:rPr>
        <w:t>Anchor: 99 dollars (premium). Upsell and expansion (drives net revenue retention above 100 percent): e-commerce/store (Canva's gap), multi-site (per-site), custom domain and professional email, advanced functionality (booking, memberships, CRM, analytics), AI features (chat/agent, content, SEO), traffic/bandwidth tiers, priority support/SLA, managed updates (done-for-you), agency/team seats and white-label (highest ACV). Grow MRR, not just logos — expansion lets revenue outrun customer count.</w:t>
      </w:r>
    </w:p>
    <w:p>
      <w:pPr>
        <w:spacing w:before="200" w:after="60"/>
      </w:pPr>
      <w:r>
        <w:rPr>
          <w:b/>
          <w:color w:val="000000"/>
          <w:sz w:val="25"/>
        </w:rPr>
        <w:t>14. Business plan and timeline</w:t>
      </w:r>
    </w:p>
    <w:p>
      <w:pPr>
        <w:pStyle w:val="ListBullet"/>
      </w:pPr>
      <w:r>
        <w:rPr>
          <w:color w:val="000000"/>
        </w:rPr>
        <w:t>Canva Premium App launch: first week of August. Full product (APIs and features) complete by mid-August (excluding marketplace approval time). Founder relocates to India mid-August.</w:t>
      </w:r>
    </w:p>
    <w:p>
      <w:pPr>
        <w:pStyle w:val="ListBullet"/>
      </w:pPr>
      <w:r>
        <w:rPr>
          <w:color w:val="000000"/>
        </w:rPr>
        <w:t>First reseller: an India web-design and marketing firm — also the marketing arm (barter or paid) for social media, retargeting ads, and a YouTube channel (leveraging a studied YouTube and Google-algorithm approach). Four-person offsite marketing team about 2,000 per month plus about 3,000 ads; about 5,000 initial push.</w:t>
      </w:r>
    </w:p>
    <w:p>
      <w:pPr>
        <w:pStyle w:val="ListBullet"/>
      </w:pPr>
      <w:r>
        <w:rPr>
          <w:color w:val="000000"/>
        </w:rPr>
        <w:t>Funding: founder is salaried and needs no income for at least a year; reinvest all margin into marketing and sales.</w:t>
      </w:r>
    </w:p>
    <w:p>
      <w:pPr>
        <w:pStyle w:val="ListBullet"/>
      </w:pPr>
      <w:r>
        <w:rPr>
          <w:color w:val="000000"/>
        </w:rPr>
        <w:t>M/E ratio: the product and moat are built, so distribution is the bottleneck — allocate heavily to marketing (M/E roughly 6). High M/E is necessary but not sufficient; marketing must convert (the warm Canva channel, the reseller, and YouTube improve the odds).</w:t>
      </w:r>
    </w:p>
    <w:p>
      <w:pPr>
        <w:pStyle w:val="ListBullet"/>
      </w:pPr>
      <w:r>
        <w:rPr>
          <w:color w:val="000000"/>
        </w:rPr>
        <w:t>First 1,000 customers is the validation gate. Instrument from customer one: conversion by channel, churn and retention, NRR and expansion, CAC by channel. Then scale what converts.</w:t>
      </w:r>
    </w:p>
    <w:p>
      <w:pPr>
        <w:pStyle w:val="ListBullet"/>
      </w:pPr>
      <w:r>
        <w:rPr>
          <w:color w:val="000000"/>
        </w:rPr>
        <w:t>Target: 1,000,000 per month combined across services within 6 months of hitting 1,000 (roughly 10,000 at 99, or about 5,000 to 6,500 with upsell lifting ARPU). Aggressive; a target, not a forecast until the first 1,000 validate the funnel.</w:t>
      </w:r>
    </w:p>
    <w:p>
      <w:pPr>
        <w:spacing w:before="200" w:after="60"/>
      </w:pPr>
      <w:r>
        <w:rPr>
          <w:b/>
          <w:color w:val="000000"/>
          <w:sz w:val="25"/>
        </w:rPr>
        <w:t>15. Team and internal security</w:t>
      </w:r>
    </w:p>
    <w:p>
      <w:pPr>
        <w:pStyle w:val="ListBullet"/>
      </w:pPr>
      <w:r>
        <w:rPr>
          <w:color w:val="000000"/>
        </w:rPr>
        <w:t>Post-launch engineering: hire India trainee engineers (a deep buyer's market; walk-in interviews) — about 10,000 for four trainees over six months — for feature work via agents. Keep a senior anchor (founder plus AI-assisted review) for reliability, security, and incident response; hosting live customer sites makes ICL critical infrastructure, and uptime protects churn.</w:t>
      </w:r>
    </w:p>
    <w:p>
      <w:pPr>
        <w:pStyle w:val="ListBullet"/>
      </w:pPr>
      <w:r>
        <w:rPr>
          <w:color w:val="000000"/>
        </w:rPr>
        <w:t>No engineer, trainee or senior, touches Class A — only the founder. Everyone else operates through hardened agents. Maintain the break-glass succession envelope and red-team the agent layer.</w:t>
      </w:r>
    </w:p>
    <w:p>
      <w:pPr>
        <w:spacing w:before="200" w:after="60"/>
      </w:pPr>
      <w:r>
        <w:rPr>
          <w:b/>
          <w:color w:val="000000"/>
          <w:sz w:val="25"/>
        </w:rPr>
        <w:t>16. IP and entity separation</w:t>
      </w:r>
    </w:p>
    <w:p>
      <w:r>
        <w:rPr>
          <w:color w:val="000000"/>
        </w:rPr>
        <w:t>Wholly ICL-owned; no external stakeholder claim. Dedicated repo; separate AWS account and profile; never cross-billed. The spec-engine is ICL-owned (patent assignee is ICL). Build the commercial shell fresh; use no third-party product code. ICL deliverable documents contain no reference to any other company.</w:t>
      </w:r>
    </w:p>
    <w:p>
      <w:pPr>
        <w:spacing w:before="200" w:after="60"/>
      </w:pPr>
      <w:r>
        <w:rPr>
          <w:b/>
          <w:color w:val="000000"/>
          <w:sz w:val="25"/>
        </w:rPr>
        <w:t>Appendix A — ICL-1 claim spine</w:t>
      </w:r>
    </w:p>
    <w:p>
      <w:r>
        <w:rPr>
          <w:color w:val="000000"/>
        </w:rPr>
        <w:t>Independent claims: the deterministic system (spec language plus curated pattern library plus orchestration plus pure-function guarantee plus version control); the generation method (receive, validate, extract tree, type-map, generate fragments, assemble); the extensible pattern-library system (register and lookup, no engine change); the IFS convergence proof (contraction mappings to Hutchinson operator to Banach unique attractor). Dependents: dual flat and sectioned formats, per-tenant component sets, zero-deployment modification, type inference, five quality gates, contraction factors below 1, spec-level accessibility. Utility to add: the hosted deterministic UI-serving method, the agent-authored-spec and engine-authored-code boundary, multi-target emitters, server-side-only delivery.</w:t>
      </w:r>
    </w:p>
    <w:p>
      <w:pPr>
        <w:spacing w:before="200" w:after="60"/>
      </w:pPr>
      <w:r>
        <w:rPr>
          <w:b/>
          <w:color w:val="000000"/>
          <w:sz w:val="25"/>
        </w:rPr>
        <w:t>Appendix B — portfolio</w:t>
      </w:r>
    </w:p>
    <w:p>
      <w:r>
        <w:rPr>
          <w:color w:val="000000"/>
        </w:rPr>
        <w:t>ICL-1 (this), ICL-2 (IFS math foundation), ICL-2-D, ICL-6 (cascading query builder / QueryShield), ICL-UX1 to UX4.</w:t>
      </w:r>
    </w:p>
    <w:p>
      <w:r>
        <w:rPr>
          <w:color w:val="000000"/>
        </w:rPr>
        <w:t>Proprietary and confidential — contains trade secrets. The pattern library, generators, and Class A internals are not for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