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7707F" w:val="clear"/>
            <w:tcMar>
              <w:top w:type="dxa" w:w="520"/>
              <w:left w:type="dxa" w:w="300"/>
              <w:bottom w:type="dxa" w:w="52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HCL Software</w:t>
            </w:r>
          </w:p>
          <w:p>
            <w:pPr>
              <w:spacing w:after="240"/>
            </w:pPr>
            <w:r>
              <w:rPr>
                <w:rFonts w:ascii="Arial" w:cs="Arial" w:eastAsia="Arial" w:hAnsi="Arial"/>
                <w:color w:val="36D6D9"/>
                <w:sz w:val="20"/>
                <w:szCs w:val="20"/>
              </w:rPr>
              <w:t xml:space="preserve">Strategy &amp; Market Intelligence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Private, Specialized SLMs for the Enterprise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Market Validation — Does the Wedge Hold in 2026?</w:t>
            </w:r>
          </w:p>
        </w:tc>
      </w:tr>
    </w:tbl>
    <w:p>
      <w:pPr>
        <w:spacing w:after="4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Prepared for: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Internal review — strategy + product leadership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29 June 2026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Confidential — internal use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Can a customer-owned small language model (SLM), fine-tuned on private data and deployed on-prem/edge, integrate with (not replace) Oracle, Salesforce, and IBM — and is it a sound opportunity for an enterprise software vendor?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0CB" w:sz="18"/>
              <w:left w:val="single" w:color="DCE6F0" w:sz="6"/>
              <w:bottom w:val="single" w:color="DCE6F0" w:sz="6"/>
              <w:right w:val="single" w:color="DCE6F0" w:sz="6"/>
            </w:tcBorders>
            <w:shd w:fill="F7F7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707F"/>
                <w:sz w:val="26"/>
                <w:szCs w:val="26"/>
              </w:rPr>
              <w:t xml:space="preserve">Verdict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7707F"/>
                <w:sz w:val="22"/>
                <w:szCs w:val="22"/>
              </w:rPr>
              <w:t xml:space="preserve">A correct opportunity — but conditional. </w:t>
            </w: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The demand signal for private, specialized small models is real and analyst-backed, and all three incumbents (Oracle, Salesforce, IBM) expose “bring-your-own-model” paths, so integration beats replacement. But the case must rest on </w:t>
            </w:r>
            <w:r>
              <w:rPr>
                <w:rFonts w:ascii="Arial" w:cs="Arial" w:eastAsia="Arial" w:hAnsi="Arial"/>
                <w:b/>
                <w:bCs/>
                <w:color w:val="14142B"/>
                <w:sz w:val="22"/>
                <w:szCs w:val="22"/>
              </w:rPr>
              <w:t xml:space="preserve">data sovereignty, volume economics, control, and task-specialization — never on raw capability or beating frontier unit prices</w:t>
            </w: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, which collapse ~10x/year. The winning posture is a </w:t>
            </w:r>
            <w:r>
              <w:rPr>
                <w:rFonts w:ascii="Arial" w:cs="Arial" w:eastAsia="Arial" w:hAnsi="Arial"/>
                <w:b/>
                <w:bCs/>
                <w:color w:val="14142B"/>
                <w:sz w:val="22"/>
                <w:szCs w:val="22"/>
              </w:rPr>
              <w:t xml:space="preserve">productized, governed specialist offering</w:t>
            </w: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 (delivered + integrated), not a tool that asks customers to do it themselves — MIT data shows buying from specialists succeeds roughly three times more often than internal builds.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How to read this report</w:t>
      </w:r>
    </w:p>
    <w:p>
      <w:pPr>
        <w:spacing w:after="140" w:line="276"/>
      </w:pPr>
      <w:r>
        <w:rPr>
          <w:rFonts w:ascii="Arial" w:cs="Arial" w:eastAsia="Arial" w:hAnsi="Arial"/>
          <w:color w:val="14142B"/>
          <w:sz w:val="22"/>
          <w:szCs w:val="22"/>
        </w:rPr>
        <w:t xml:space="preserve">This is a multi-source, evidence-graded market check. Each claim carries a confidence level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(High / Medium / Low)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reflecting source quality, and conflicting evidence is shown rather than hidden. Primary analyst and vendor-primary sources (Gartner, NVIDIA Research, a16z, MIT NANDA, vendor docs/press) are weighted above secondary aggregators and SEO blogs. Bracketed numbers [n] map to the Sources list at the end.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Confidence legend: </w:t>
      </w:r>
      <w:r>
        <w:rPr>
          <w:rFonts w:ascii="Arial" w:cs="Arial" w:eastAsia="Arial" w:hAnsi="Arial"/>
          <w:b/>
          <w:bCs/>
          <w:color w:val="0E8A8F"/>
          <w:sz w:val="22"/>
          <w:szCs w:val="22"/>
        </w:rPr>
        <w:t xml:space="preserve">High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= primary/authoritative source, corroborated. 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= credible but single-source or vendor-reported.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Low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= blog/aggregator figure, directional only.</w:t>
      </w:r>
    </w:p>
    <w:p>
      <w:pPr>
        <w:pStyle w:val="Heading1"/>
      </w:pPr>
      <w:r>
        <w:t xml:space="preserve">2. Demand drivers — the case FOR a private specialized-SLM wedge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3300"/>
        <w:gridCol w:w="1000"/>
      </w:tblGrid>
      <w:tr>
        <w:trPr>
          <w:tblHeader/>
        </w:trPr>
        <w:tc>
          <w:tcPr>
            <w:tcW w:type="dxa" w:w="506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3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&amp; source</w:t>
            </w:r>
          </w:p>
        </w:tc>
        <w:tc>
          <w:tcPr>
            <w:tcW w:type="dxa" w:w="10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Conf.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Task-specific small models overtaking general LLMs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By 2027, organizations will use small, task-specific AI models ~3x more (by volume) than general-purpose LLMs. </w:t>
            </w:r>
            <w:hyperlink w:history="1" r:id="rIdczlw6xf4xmsy9ic3fzgt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Gartner, Apr 2025 [1]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Small models are the economic unit of agentic AI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Serving a ~7B SLM is ~10–30x cheaper (latency/energy/FLOPs) than a 70–175B LLM; NVIDIA researchers argue SLMs are “the future of agentic AI.” </w:t>
            </w:r>
            <w:hyperlink w:history="1" r:id="rIdlufnzm6t_g5ynhafr8dd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NVIDIA, Jun 2025 [2]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AI bills are over budget despite cheaper tokens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73% of enterprises reported AI costs exceeded projections (agentic volume is the driver). </w:t>
            </w:r>
            <w:hyperlink w:history="1" r:id="rIdqhjnoa_wehxrln-xu_nc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FinOps / TechCrunch, Jun 2026 [3]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Specialization + integration wins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Vertical, deeply-integrated, compliance-aware AI succeeds at ~2x the rate of generic approaches. </w:t>
            </w:r>
            <w:hyperlink w:history="1" r:id="rIda4absyuaunqnfxnpapfkz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MIT NANDA, Aug 2025 [4]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Regulation pushes data in-house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EU AI Act broadly applicable 2 Aug 2026 (GPAI duties live since Aug 2025); fines up to 7% of global turnover. High-risk duties deferred to Dec 2027. </w:t>
            </w:r>
            <w:hyperlink w:history="1" r:id="rIdi0j6sclobful-4ewrhym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European Commission [5]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SLM market growing double-digit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CAGR estimates 15–29% across firms (absolute size disputed; cite direction not level). </w:t>
            </w:r>
            <w:hyperlink w:history="1" r:id="rIdplzdphprezgpjhprvg8s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Grand View / M&amp;M / Polaris [6]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Sovereign-AI momentum is hardware-backed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NVIDIA sovereign-AI revenue reportedly tripled YoY to &gt;$30B in FY26; 2026 framed as “the year of sovereign AI.” </w:t>
            </w:r>
            <w:hyperlink w:history="1" r:id="rId11xqudy-qxsik5s568hn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McKinsey / industry [7]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line="276"/>
      </w:pPr>
      <w:r>
        <w:t xml:space="preserve"/>
      </w:r>
    </w:p>
    <w:p>
      <w:pPr>
        <w:pStyle w:val="Heading1"/>
      </w:pPr>
      <w:r>
        <w:t xml:space="preserve">3. Counter-trends — the case AGAINST (risks to underwrite)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3300"/>
        <w:gridCol w:w="1000"/>
      </w:tblGrid>
      <w:tr>
        <w:trPr>
          <w:tblHeader/>
        </w:trPr>
        <w:tc>
          <w:tcPr>
            <w:tcW w:type="dxa" w:w="506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3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&amp; source</w:t>
            </w:r>
          </w:p>
        </w:tc>
        <w:tc>
          <w:tcPr>
            <w:tcW w:type="dxa" w:w="10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Conf.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“LLMflation” erodes the cost argument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Equivalent-quality inference cost falls ~10x/year (GPT-3-quality dropped ~1000x in 3 years). </w:t>
            </w:r>
            <w:hyperlink w:history="1" r:id="rIdrxhl3a2ucmt6ozbreygh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a16z / Epoch AI [8]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Enterprises are pulling back from fine-tuning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CIO survey: fine-tuning ROI down YoY; better base models + long context make prompting + routing competitive. FT persists for “hyper-specific” cases. </w:t>
            </w:r>
            <w:hyperlink w:history="1" r:id="rIdbtzssqaup83lmbzkxsai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a16z CIO survey, Jun 2025 [9]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Build-your-own usually loses to buy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~95% of GenAI pilots show no measurable P&amp;L; internal builds succeed ~1/3 as often as buying from specialist vendors (the 95% figure is contested). </w:t>
            </w:r>
            <w:hyperlink w:history="1" r:id="rIdgje3zslcoxan5kon5xk1_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MIT NANDA, Aug 2025 [4]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8A8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Cheap small models from big labs undercut DIY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GPT-5 mini, Gemini Flash/Flash-Lite, Claude Haiku, DeepSeek-Flash price routine tokens at fractions of a cent. </w:t>
            </w:r>
            <w:hyperlink w:history="1" r:id="rIdsiya3qgyex3s9vz7levjm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vendor pricing [10]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MLOps + governance + talent burden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~94% of leaders report AI-critical skill shortages, sharpest in governance &amp; MLOps; serving/registry/evals are the hard 80%. </w:t>
            </w:r>
            <w:hyperlink w:history="1" r:id="rIdegh7b1lmbhbusmdvqo539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industry surveys [11]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6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On-prem readiness is thin today</w:t>
            </w:r>
          </w:p>
        </w:tc>
        <w:tc>
          <w:tcPr>
            <w:tcW w:type="dxa" w:w="33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Only ~11% run AI fully on-prem; ~82% say infra isn’t ready for on-prem AI workloads. </w:t>
            </w:r>
            <w:hyperlink w:history="1" r:id="rIdbogugkhwmd6ou_95crtt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Nutanix ECI / aggregators [12]</w:t>
              </w:r>
            </w:hyperlink>
          </w:p>
        </w:tc>
        <w:tc>
          <w:tcPr>
            <w:tcW w:type="dxa" w:w="10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Embedded “good-enough” SaaS AI + lock-in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Incumbents bundle metered, governed AI into the suite, reducing the build-your-own incentive. </w:t>
            </w:r>
            <w:hyperlink w:history="1" r:id="rId-fulaiq6hjyhbvlsidzg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analyst synthesis [13]</w:t>
              </w:r>
            </w:hyperlink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Oracle, Salesforce, IBM — compete or complement?</w:t>
      </w:r>
    </w:p>
    <w:p>
      <w:pPr>
        <w:spacing w:after="140" w:line="276"/>
      </w:pPr>
      <w:r>
        <w:rPr>
          <w:rFonts w:ascii="Arial" w:cs="Arial" w:eastAsia="Arial" w:hAnsi="Arial"/>
          <w:color w:val="14142B"/>
          <w:sz w:val="22"/>
          <w:szCs w:val="22"/>
        </w:rPr>
        <w:t xml:space="preserve">The key finding: all three both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compete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(they sell their own AI layer) and </w:t>
      </w:r>
      <w:r>
        <w:rPr>
          <w:rFonts w:ascii="Arial" w:cs="Arial" w:eastAsia="Arial" w:hAnsi="Arial"/>
          <w:b/>
          <w:bCs/>
          <w:color w:val="0E8A8F"/>
          <w:sz w:val="22"/>
          <w:szCs w:val="22"/>
        </w:rPr>
        <w:t xml:space="preserve">complement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(they expose bring-your-own-model paths). A private SLM does not replace them; it plugs into them where privacy, cost-at-volume, ownership, or use cases outside their embedded agents matter.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393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Competes (their AI add-on)</w:t>
            </w:r>
          </w:p>
        </w:tc>
        <w:tc>
          <w:tcPr>
            <w:tcW w:type="dxa" w:w="3930"/>
            <w:shd w:fill="1770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Complements (BYO-model path)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Oracle</w:t>
            </w:r>
          </w:p>
        </w:tc>
        <w:tc>
          <w:tcPr>
            <w:tcW w:type="dxa" w:w="3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Free AI agents embedded in Fusion ERP/HCM/SCM/CX at no extra cost — undercuts DIY for in-app workflows. </w:t>
            </w:r>
            <w:hyperlink w:history="1" r:id="rIdiursminmn9e8yct6-vlq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[14]</w:t>
              </w:r>
            </w:hyperlink>
          </w:p>
        </w:tc>
        <w:tc>
          <w:tcPr>
            <w:tcW w:type="dxa" w:w="3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OCI GenAI fine-tuning (LoRA / T-Few on a curated model list) </w:t>
            </w:r>
            <w:hyperlink w:history="1" r:id="rId60zyi1toil8dcymzw0sd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[15]</w:t>
              </w:r>
            </w:hyperlink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; BYOC on OCI Data Science; sovereign/Alloy on-prem. Caveat: dedicated-cluster ~744 unit-hour hosting commitment </w:t>
            </w:r>
            <w:hyperlink w:history="1" r:id="rId2m-lxtisumw_jgmlvye0t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[16]</w:t>
              </w:r>
            </w:hyperlink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50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Salesforce</w:t>
            </w:r>
          </w:p>
        </w:tc>
        <w:tc>
          <w:tcPr>
            <w:tcW w:type="dxa" w:w="393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Agentforce is a premium add-on with churning pricing (~$0.10/action; ~$125–550/user/mo) and documented adoption friction; Data 360 is a costly prerequisite. </w:t>
            </w:r>
            <w:hyperlink w:history="1" r:id="rId3tcghhpuvgsfo0yem2uy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[17]</w:t>
              </w:r>
            </w:hyperlink>
          </w:p>
        </w:tc>
        <w:tc>
          <w:tcPr>
            <w:tcW w:type="dxa" w:w="3930"/>
            <w:shd w:fill="F7F7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Bring-Your-Own-LLM via Einstein Studio + LLM Open Connector — the customer hosts the model and Salesforce calls out to it via the Models API + Trust Layer. </w:t>
            </w:r>
            <w:hyperlink w:history="1" r:id="rIdnb-sbr7gruc5xjwwh6qg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[18]</w:t>
              </w:r>
            </w:hyperlink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 Privacy wedge: “zero data retention” still routes data to external frontier providers.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2B"/>
                <w:sz w:val="19"/>
                <w:szCs w:val="19"/>
              </w:rPr>
              <w:t xml:space="preserve">IBM</w:t>
            </w:r>
          </w:p>
        </w:tc>
        <w:tc>
          <w:tcPr>
            <w:tcW w:type="dxa" w:w="3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watsonx.ai Tuning Studio + InstructLab + Granite small models overlap directly with a DIY fine-tune/serve workflow. </w:t>
            </w:r>
            <w:hyperlink w:history="1" r:id="rIdzxta0ypbylw8axlr-fvb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[19]</w:t>
              </w:r>
            </w:hyperlink>
          </w:p>
        </w:tc>
        <w:tc>
          <w:tcPr>
            <w:tcW w:type="dxa" w:w="3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4142B"/>
                <w:sz w:val="22"/>
                <w:szCs w:val="22"/>
              </w:rPr>
              <w:t xml:space="preserve">Model-agnostic substrate: Model Gateway (OpenAI-compatible, 1000+ models), BYOM upload, on-prem OpenShift/air-gapped, Sovereign Core. Granite is Apache-2.0 + ISO 42001. IBM itself preaches “fit-for-purpose” models 3–23x cheaper. </w:t>
            </w:r>
            <w:hyperlink w:history="1" r:id="rIdifapmxdpxkfzba_moyo4w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[20]</w:t>
              </w:r>
            </w:hyperlink>
          </w:p>
        </w:tc>
      </w:tr>
    </w:tbl>
    <w:p>
      <w:pPr>
        <w:spacing w:after="60" w:line="276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Net read: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Oracle is best treated as a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host + integration target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(replace nothing inside Fusion). Salesforce wants the private SLM to be the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in-house brain behind Agentforce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. IBM is the closest philosophical ally — simultaneously a rival on the tuning/serving layer and the most open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deployment substrate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for a customer-owned model.</w:t>
      </w:r>
    </w:p>
    <w:p>
      <w:pPr>
        <w:pStyle w:val="Heading1"/>
      </w:pPr>
      <w:r>
        <w:t xml:space="preserve">5. Reconciling the conflicts — what to actually believe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Cost is two-sided.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Unit token prices are collapsing (against), yet total enterprise AI bills are rising on agentic volume (for). The SLM case rests on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volume economics + control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, not on beating frontier price-per-token.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Specialize, but sell it — don’t ask customers to DIY.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MIT supports specialized + integrated models, but specifically rewards buying from specialist vendors over internal builds. A productized, delivered offering is the right shape.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Fine-tuning is narrowing, not dying.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It is consolidating around hyper-specific, high-volume, regulated tasks — exactly the wedge — while general use trends to prompting + RAG + routing.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Treat market-size dollars with suspicion.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Firm estimates disagree by an order of magnitude; the durable signal is the double-digit CAGR and the Gartner 3x adoption shift, not any single TAM number.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Regulatory tailwind is real but partly deferred. 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EU AI Act core duties land Aug 2026; high-risk obligations slipped to Dec 2027 — so sovereignty is a durable driver, not a 2026 emergency.</w:t>
      </w:r>
    </w:p>
    <w:p>
      <w:pPr>
        <w:pStyle w:val="Heading1"/>
      </w:pPr>
      <w:r>
        <w:t xml:space="preserve">6. Implications for an enterprise software vendor (HCL)</w:t>
      </w:r>
    </w:p>
    <w:p>
      <w:pPr>
        <w:spacing w:after="140" w:line="276"/>
      </w:pPr>
      <w:r>
        <w:rPr>
          <w:rFonts w:ascii="Arial" w:cs="Arial" w:eastAsia="Arial" w:hAnsi="Arial"/>
          <w:color w:val="14142B"/>
          <w:sz w:val="22"/>
          <w:szCs w:val="22"/>
        </w:rPr>
        <w:t xml:space="preserve">The opportunity is not “beat the big tools on capability.” It is to be the </w:t>
      </w:r>
      <w:r>
        <w:rPr>
          <w:rFonts w:ascii="Arial" w:cs="Arial" w:eastAsia="Arial" w:hAnsi="Arial"/>
          <w:b/>
          <w:bCs/>
          <w:color w:val="14142B"/>
          <w:sz w:val="22"/>
          <w:szCs w:val="22"/>
        </w:rPr>
        <w:t xml:space="preserve">governed, private, domain-specialized model layer that makes a customer’s existing Oracle / Salesforce / IBM investment smarter — on their own data, behind their own firewall.</w:t>
      </w:r>
      <w:r>
        <w:rPr>
          <w:rFonts w:ascii="Arial" w:cs="Arial" w:eastAsia="Arial" w:hAnsi="Arial"/>
          <w:color w:val="14142B"/>
          <w:sz w:val="22"/>
          <w:szCs w:val="22"/>
        </w:rPr>
        <w:t xml:space="preserve"> That framing plays to an enterprise vendor’s structural strengths: integration, services, on-prem credibility, and support — the very “hard 80%” where DIY and pure-play model labs are weakest.</w:t>
      </w:r>
    </w:p>
    <w:p>
      <w:pPr>
        <w:spacing w:after="140" w:line="276"/>
      </w:pPr>
      <w:r>
        <w:rPr>
          <w:rFonts w:ascii="Arial" w:cs="Arial" w:eastAsia="Arial" w:hAnsi="Arial"/>
          <w:color w:val="14142B"/>
          <w:sz w:val="22"/>
          <w:szCs w:val="22"/>
        </w:rPr>
        <w:t xml:space="preserve">To convert the wedge, the product must move from a single-user, local-first lab to an enterprise stack: serving/inference, a model registry + versioning, an evaluation harness, governance/audit, multi-tenancy, and security. The accompanying positioning brief details the use cases, integration points, and the specific gaps to close.</w:t>
      </w:r>
    </w:p>
    <w:p>
      <w:r>
        <w:br w:type="page"/>
      </w:r>
    </w:p>
    <w:p>
      <w:pPr>
        <w:pStyle w:val="Heading1"/>
      </w:pPr>
      <w:r>
        <w:t xml:space="preserve">Sources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[1] </w:t>
      </w:r>
      <w:hyperlink w:history="1" r:id="rIdtpjowlwrbqrytocujh8h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Gartner — small task-specific models 3x by 2027 (Apr 2025)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[2] </w:t>
      </w:r>
      <w:hyperlink w:history="1" r:id="rIdtw8__epf4rxxpdqizm6m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NVIDIA Research — Small Language Models are the Future of Agentic AI (arXiv 2506.02153, Jun 2025)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[3] </w:t>
      </w:r>
      <w:hyperlink w:history="1" r:id="rId0bchuunteewy__t4r-pm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TechCrunch / FinOps Foundation — the token bill comes due (Jun 2026)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[4] </w:t>
      </w:r>
      <w:hyperlink w:history="1" r:id="rIdciewvcexu5uqoq_aa4rm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MIT NANDA — GenAI Divide / 95% pilots (via Fortune, Aug 2025)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[5] </w:t>
      </w:r>
      <w:hyperlink w:history="1" r:id="rId7b2znzk2g0gsusvuwhb_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European Commission — AI Act regulatory framework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[6] </w:t>
      </w:r>
      <w:hyperlink w:history="1" r:id="rIdiquifo9_t1smt2nkphwi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Grand View Research — Small Language Model market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[7] </w:t>
      </w:r>
      <w:hyperlink w:history="1" r:id="rIda9fyaac4sgardjm2-80-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McKinsey — Sovereign AI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[8] </w:t>
      </w:r>
      <w:hyperlink w:history="1" r:id="rId8ilpa2ggwo-e4217t1uo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a16z — LLMflation (Nov 2024)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[9] </w:t>
      </w:r>
      <w:hyperlink w:history="1" r:id="rIdoseifpw_u974rthjacuu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a16z — How 100 Enterprise CIOs Build &amp; Buy GenAI 2025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[10] </w:t>
      </w:r>
      <w:hyperlink w:history="1" r:id="rIdjgtxz8r_g58nl58bowiv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Anthropic — Claude Haiku 4.5 pricing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[11] </w:t>
      </w:r>
      <w:hyperlink w:history="1" r:id="rIdo8gl-lhjg8yb9jck-qje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Durapid — AI skills gap 2026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[12] </w:t>
      </w:r>
      <w:hyperlink w:history="1" r:id="rId0oxjewo3ok6gajlq9cbx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Nutanix Enterprise Cloud Index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[13] </w:t>
      </w:r>
      <w:hyperlink w:history="1" r:id="rIdcifcpdbcmiraqhqjzc7p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Kai Waehner — Enterprise Agentic AI landscape &amp; lock-in (2026)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[14] </w:t>
      </w:r>
      <w:hyperlink w:history="1" r:id="rIdqq4eagx1ketrpv1ejwdc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Oracle — AI agents across Fusion Applications (Oct 2025)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[15] </w:t>
      </w:r>
      <w:hyperlink w:history="1" r:id="rIdc7v1mu-ge5eh76ktayin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Oracle docs — selecting a fine-tuning method (OCI GenAI)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[16] </w:t>
      </w:r>
      <w:hyperlink w:history="1" r:id="rIdx1ydsfn-jrtawg6pkskg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Oracle docs — paying for dedicated AI clusters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[17] </w:t>
      </w:r>
      <w:hyperlink w:history="1" r:id="rIdi7krg670mgxmwk_bt6ab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Salesforce — Agentforce flexible pricing (May 2025)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[18] </w:t>
      </w:r>
      <w:hyperlink w:history="1" r:id="rIdmdl72ahtqpk_swedxbl7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Salesforce — LLM Open Connector (BYO model)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[19] </w:t>
      </w:r>
      <w:hyperlink w:history="1" r:id="rIdraaohifsypdnujjrq9b6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IBM — watsonx.ai model customization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7707F"/>
          <w:sz w:val="18"/>
          <w:szCs w:val="18"/>
        </w:rPr>
        <w:t xml:space="preserve">[20] </w:t>
      </w:r>
      <w:hyperlink w:history="1" r:id="rIdnry3r_tkhplaii-8zjvv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IBM — Granite 4.0 announcement (Oct 2025)</w:t>
        </w:r>
      </w:hyperlink>
    </w:p>
    <w:p>
      <w:pPr>
        <w:spacing w:after="60" w:line="276"/>
      </w:pPr>
      <w: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i/>
          <w:iCs/>
          <w:color w:val="14142B"/>
          <w:sz w:val="22"/>
          <w:szCs w:val="22"/>
        </w:rPr>
        <w:t xml:space="preserve">Methodology &amp; caveats. </w:t>
      </w:r>
      <w:r>
        <w:rPr>
          <w:rFonts w:ascii="Arial" w:cs="Arial" w:eastAsia="Arial" w:hAnsi="Arial"/>
          <w:i/>
          <w:iCs/>
          <w:color w:val="14142B"/>
          <w:sz w:val="18"/>
          <w:szCs w:val="18"/>
        </w:rPr>
        <w:t xml:space="preserve">Findings were gathered via parallel multi-angle web research with per-claim confidence grading and explicit conflict-flagging. Several quantified figures (dollar costs, on-prem percentages, the NVIDIA $30B sovereign number, exact Agentforce per-seat pricing) come through secondary aggregators or vendor blogs and are marked Medium/Low — verify against primary sources before external publication. Vendor benchmark and cost-multiple claims (e.g., IBM “3–23x cheaper”, Microsoft Phi benchmark wins) are vendor-reported.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HCL Software — Confidential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7707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770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zlw6xf4xmsy9ic3fzgtp" Type="http://schemas.openxmlformats.org/officeDocument/2006/relationships/hyperlink" Target="https://www.gartner.com/en/newsroom/press-releases/2025-04-09-gartner-predicts-by-2027-organizations-will-use-small-task-specific-ai-models-three-times-more-than-general-purpose-large-language-models" TargetMode="External"/><Relationship Id="rIdlufnzm6t_g5ynhafr8ddf" Type="http://schemas.openxmlformats.org/officeDocument/2006/relationships/hyperlink" Target="https://arxiv.org/pdf/2506.02153" TargetMode="External"/><Relationship Id="rIdqhjnoa_wehxrln-xu_ncq" Type="http://schemas.openxmlformats.org/officeDocument/2006/relationships/hyperlink" Target="https://techcrunch.com/2026/06/05/the-token-bill-comes-due-inside-the-industry-scramble-to-manage-ais-runaway-costs/" TargetMode="External"/><Relationship Id="rIda4absyuaunqnfxnpapfkz" Type="http://schemas.openxmlformats.org/officeDocument/2006/relationships/hyperlink" Target="https://fortune.com/2025/08/18/mit-report-95-percent-generative-ai-pilots-at-companies-failing-cfo/" TargetMode="External"/><Relationship Id="rIdi0j6sclobful-4ewrhymf" Type="http://schemas.openxmlformats.org/officeDocument/2006/relationships/hyperlink" Target="https://digital-strategy.ec.europa.eu/en/policies/regulatory-framework-ai" TargetMode="External"/><Relationship Id="rIdplzdphprezgpjhprvg8st" Type="http://schemas.openxmlformats.org/officeDocument/2006/relationships/hyperlink" Target="https://www.grandviewresearch.com/industry-analysis/small-language-model-market-report" TargetMode="External"/><Relationship Id="rId11xqudy-qxsik5s568hnp" Type="http://schemas.openxmlformats.org/officeDocument/2006/relationships/hyperlink" Target="https://www.mckinsey.com/industries/technology-media-and-telecommunications/our-insights/sovereign-ai-building-ecosystems-for-strategic-resilience-and-impact" TargetMode="External"/><Relationship Id="rIdrxhl3a2ucmt6ozbreyghq" Type="http://schemas.openxmlformats.org/officeDocument/2006/relationships/hyperlink" Target="https://a16z.com/llmflation-llm-inference-cost/" TargetMode="External"/><Relationship Id="rIdbtzssqaup83lmbzkxsaif" Type="http://schemas.openxmlformats.org/officeDocument/2006/relationships/hyperlink" Target="https://a16z.com/ai-enterprise-2025/" TargetMode="External"/><Relationship Id="rIdgje3zslcoxan5kon5xk1_" Type="http://schemas.openxmlformats.org/officeDocument/2006/relationships/hyperlink" Target="https://fortune.com/2025/08/18/mit-report-95-percent-generative-ai-pilots-at-companies-failing-cfo/" TargetMode="External"/><Relationship Id="rIdsiya3qgyex3s9vz7levjm" Type="http://schemas.openxmlformats.org/officeDocument/2006/relationships/hyperlink" Target="https://www.anthropic.com/news/claude-haiku-4-5" TargetMode="External"/><Relationship Id="rIdegh7b1lmbhbusmdvqo539" Type="http://schemas.openxmlformats.org/officeDocument/2006/relationships/hyperlink" Target="https://durapid.com/blog/ai-skills-gap-2026/" TargetMode="External"/><Relationship Id="rIdbogugkhwmd6ou_95crttg" Type="http://schemas.openxmlformats.org/officeDocument/2006/relationships/hyperlink" Target="https://www.nutanix.com/enterprise-cloud-index" TargetMode="External"/><Relationship Id="rId-fulaiq6hjyhbvlsidzgf" Type="http://schemas.openxmlformats.org/officeDocument/2006/relationships/hyperlink" Target="https://www.kai-waehner.de/blog/2026/04/06/enterprise-agentic-ai-landscape-2026-trust-flexibility-and-vendor-lock-in/" TargetMode="External"/><Relationship Id="rIdiursminmn9e8yct6-vlqv" Type="http://schemas.openxmlformats.org/officeDocument/2006/relationships/hyperlink" Target="https://www.oracle.com/news/announcement/ai-world-oracle-advances-enterprise-ai-with-new-agents-across-fusion-applications-2025-10-15/" TargetMode="External"/><Relationship Id="rId60zyi1toil8dcymzw0sde" Type="http://schemas.openxmlformats.org/officeDocument/2006/relationships/hyperlink" Target="https://docs.oracle.com/en-us/iaas/Content/generative-ai/choose-method.htm" TargetMode="External"/><Relationship Id="rId2m-lxtisumw_jgmlvye0t" Type="http://schemas.openxmlformats.org/officeDocument/2006/relationships/hyperlink" Target="https://docs.oracle.com/en-us/iaas/Content/generative-ai/pay-dedicated.htm" TargetMode="External"/><Relationship Id="rId3tcghhpuvgsfo0yem2uyb" Type="http://schemas.openxmlformats.org/officeDocument/2006/relationships/hyperlink" Target="https://www.salesforce.com/news/press-releases/2025/05/15/agentforce-flexible-pricing-news/" TargetMode="External"/><Relationship Id="rIdnb-sbr7gruc5xjwwh6qgv" Type="http://schemas.openxmlformats.org/officeDocument/2006/relationships/hyperlink" Target="https://developer.salesforce.com/blogs/2024/10/build-generative-ai-solutions-with-llm-open-connector" TargetMode="External"/><Relationship Id="rIdzxta0ypbylw8axlr-fvbi" Type="http://schemas.openxmlformats.org/officeDocument/2006/relationships/hyperlink" Target="https://www.ibm.com/products/watsonx-ai/model-customization" TargetMode="External"/><Relationship Id="rIdifapmxdpxkfzba_moyo4w" Type="http://schemas.openxmlformats.org/officeDocument/2006/relationships/hyperlink" Target="https://www.ibm.com/new/announcements/ibm-granite-4-0-hyper-efficient-high-performance-hybrid-models" TargetMode="External"/><Relationship Id="rIdtpjowlwrbqrytocujh8hp" Type="http://schemas.openxmlformats.org/officeDocument/2006/relationships/hyperlink" Target="https://www.gartner.com/en/newsroom/press-releases/2025-04-09-gartner-predicts-by-2027-organizations-will-use-small-task-specific-ai-models-three-times-more-than-general-purpose-large-language-models" TargetMode="External"/><Relationship Id="rIdtw8__epf4rxxpdqizm6mc" Type="http://schemas.openxmlformats.org/officeDocument/2006/relationships/hyperlink" Target="https://arxiv.org/pdf/2506.02153" TargetMode="External"/><Relationship Id="rId0bchuunteewy__t4r-pma" Type="http://schemas.openxmlformats.org/officeDocument/2006/relationships/hyperlink" Target="https://techcrunch.com/2026/06/05/the-token-bill-comes-due-inside-the-industry-scramble-to-manage-ais-runaway-costs/" TargetMode="External"/><Relationship Id="rIdciewvcexu5uqoq_aa4rmx" Type="http://schemas.openxmlformats.org/officeDocument/2006/relationships/hyperlink" Target="https://fortune.com/2025/08/18/mit-report-95-percent-generative-ai-pilots-at-companies-failing-cfo/" TargetMode="External"/><Relationship Id="rId7b2znzk2g0gsusvuwhb_n" Type="http://schemas.openxmlformats.org/officeDocument/2006/relationships/hyperlink" Target="https://digital-strategy.ec.europa.eu/en/policies/regulatory-framework-ai" TargetMode="External"/><Relationship Id="rIdiquifo9_t1smt2nkphwi-" Type="http://schemas.openxmlformats.org/officeDocument/2006/relationships/hyperlink" Target="https://www.grandviewresearch.com/industry-analysis/small-language-model-market-report" TargetMode="External"/><Relationship Id="rIda9fyaac4sgardjm2-80-k" Type="http://schemas.openxmlformats.org/officeDocument/2006/relationships/hyperlink" Target="https://www.mckinsey.com/industries/technology-media-and-telecommunications/our-insights/sovereign-ai-building-ecosystems-for-strategic-resilience-and-impact" TargetMode="External"/><Relationship Id="rId8ilpa2ggwo-e4217t1uor" Type="http://schemas.openxmlformats.org/officeDocument/2006/relationships/hyperlink" Target="https://a16z.com/llmflation-llm-inference-cost/" TargetMode="External"/><Relationship Id="rIdoseifpw_u974rthjacuum" Type="http://schemas.openxmlformats.org/officeDocument/2006/relationships/hyperlink" Target="https://a16z.com/ai-enterprise-2025/" TargetMode="External"/><Relationship Id="rIdjgtxz8r_g58nl58bowive" Type="http://schemas.openxmlformats.org/officeDocument/2006/relationships/hyperlink" Target="https://www.anthropic.com/news/claude-haiku-4-5" TargetMode="External"/><Relationship Id="rIdo8gl-lhjg8yb9jck-qjec" Type="http://schemas.openxmlformats.org/officeDocument/2006/relationships/hyperlink" Target="https://durapid.com/blog/ai-skills-gap-2026/" TargetMode="External"/><Relationship Id="rId0oxjewo3ok6gajlq9cbxs" Type="http://schemas.openxmlformats.org/officeDocument/2006/relationships/hyperlink" Target="https://www.nutanix.com/enterprise-cloud-index" TargetMode="External"/><Relationship Id="rIdcifcpdbcmiraqhqjzc7pl" Type="http://schemas.openxmlformats.org/officeDocument/2006/relationships/hyperlink" Target="https://www.kai-waehner.de/blog/2026/04/06/enterprise-agentic-ai-landscape-2026-trust-flexibility-and-vendor-lock-in/" TargetMode="External"/><Relationship Id="rIdqq4eagx1ketrpv1ejwdcw" Type="http://schemas.openxmlformats.org/officeDocument/2006/relationships/hyperlink" Target="https://www.oracle.com/news/announcement/ai-world-oracle-advances-enterprise-ai-with-new-agents-across-fusion-applications-2025-10-15/" TargetMode="External"/><Relationship Id="rIdc7v1mu-ge5eh76ktayin_" Type="http://schemas.openxmlformats.org/officeDocument/2006/relationships/hyperlink" Target="https://docs.oracle.com/en-us/iaas/Content/generative-ai/choose-method.htm" TargetMode="External"/><Relationship Id="rIdx1ydsfn-jrtawg6pkskge" Type="http://schemas.openxmlformats.org/officeDocument/2006/relationships/hyperlink" Target="https://docs.oracle.com/en-us/iaas/Content/generative-ai/pay-dedicated.htm" TargetMode="External"/><Relationship Id="rIdi7krg670mgxmwk_bt6abh" Type="http://schemas.openxmlformats.org/officeDocument/2006/relationships/hyperlink" Target="https://www.salesforce.com/news/press-releases/2025/05/15/agentforce-flexible-pricing-news/" TargetMode="External"/><Relationship Id="rIdmdl72ahtqpk_swedxbl7d" Type="http://schemas.openxmlformats.org/officeDocument/2006/relationships/hyperlink" Target="https://developer.salesforce.com/blogs/2024/10/build-generative-ai-solutions-with-llm-open-connector" TargetMode="External"/><Relationship Id="rIdraaohifsypdnujjrq9b6g" Type="http://schemas.openxmlformats.org/officeDocument/2006/relationships/hyperlink" Target="https://www.ibm.com/products/watsonx-ai/model-customization" TargetMode="External"/><Relationship Id="rIdnry3r_tkhplaii-8zjvvd" Type="http://schemas.openxmlformats.org/officeDocument/2006/relationships/hyperlink" Target="https://www.ibm.com/new/announcements/ibm-granite-4-0-hyper-efficient-high-performance-hybrid-models" TargetMode="External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SLM Market Validation</dc:title>
  <dc:creator>HCL Software</dc:creator>
  <cp:lastModifiedBy>Un-named</cp:lastModifiedBy>
  <cp:revision>1</cp:revision>
  <dcterms:created xsi:type="dcterms:W3CDTF">2026-06-29T07:27:12.135Z</dcterms:created>
  <dcterms:modified xsi:type="dcterms:W3CDTF">2026-06-29T07:27:12.135Z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