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7707F" w:val="clear"/>
            <w:tcMar>
              <w:top w:type="dxa" w:w="520"/>
              <w:left w:type="dxa" w:w="300"/>
              <w:bottom w:type="dxa" w:w="52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HCL Software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color w:val="36D6D9"/>
                <w:sz w:val="20"/>
                <w:szCs w:val="20"/>
              </w:rPr>
              <w:t xml:space="preserve">Opportunity &amp; Positioning Brief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SLM-Forge as an Enterprise Capability</w:t>
            </w:r>
          </w:p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Private, specialized models that make Oracle / Salesforce / IBM smarter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29 June 2026    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Confidential — internal    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Companion to: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“Private, Specialized SLMs for the Enterprise — Market Validation.”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0CB" w:sz="18"/>
              <w:left w:val="single" w:color="DCE6F0" w:sz="6"/>
              <w:bottom w:val="single" w:color="DCE6F0" w:sz="6"/>
              <w:right w:val="single" w:color="DCE6F0" w:sz="6"/>
            </w:tcBorders>
            <w:shd w:fill="F7F7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707F"/>
                <w:sz w:val="26"/>
                <w:szCs w:val="26"/>
              </w:rPr>
              <w:t xml:space="preserve">Recommendation: Conditional GO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Pursue SLM-Forge not as a rival to Oracle/Salesforce/IBM, but as a </w:t>
            </w:r>
            <w:r>
              <w:rPr>
                <w:rFonts w:ascii="Arial" w:cs="Arial" w:eastAsia="Arial" w:hAnsi="Arial"/>
                <w:b/>
                <w:bCs/>
                <w:color w:val="14142B"/>
                <w:sz w:val="22"/>
                <w:szCs w:val="22"/>
              </w:rPr>
              <w:t xml:space="preserve">governed, private, domain-specialized model layer that plugs into them</w:t>
            </w: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. Win on </w:t>
            </w:r>
            <w:r>
              <w:rPr>
                <w:rFonts w:ascii="Arial" w:cs="Arial" w:eastAsia="Arial" w:hAnsi="Arial"/>
                <w:b/>
                <w:bCs/>
                <w:color w:val="14142B"/>
                <w:sz w:val="22"/>
                <w:szCs w:val="22"/>
              </w:rPr>
              <w:t xml:space="preserve">data sovereignty, cost-at-volume, control, and task-specialization</w:t>
            </w: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 — delivered as a productized + services offering, integrated through each vendor’s bring-your-own-model connector. Gate the investment on closing the enterprise-grade gaps in §6.</w:t>
            </w:r>
          </w:p>
        </w:tc>
      </w:tr>
    </w:tbl>
    <w:p>
      <w:pPr>
        <w:pStyle w:val="Heading1"/>
      </w:pPr>
      <w:r>
        <w:t xml:space="preserve">1. Positioning in one line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7707F"/>
          <w:sz w:val="22"/>
          <w:szCs w:val="22"/>
        </w:rPr>
        <w:t xml:space="preserve">“Fine-tune small, private, domain-specialized language models on your own data — and run them behind your firewall, inside the Oracle, Salesforce, and IBM workflows you already own.”</w:t>
      </w:r>
    </w:p>
    <w:p>
      <w:pPr>
        <w:pStyle w:val="Heading1"/>
      </w:pPr>
      <w:r>
        <w:t xml:space="preserve">2. What it is — and what it is not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It IS a model factory.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SLM-Forge turns proprietary data into small specialized models (LoRA/QLoRA → quantized GGUF), multi-backend (MLX on Apple Silicon, CUDA on NVIDIA), with dataset ingest/synthesis, an autoresearch tuning loop, GGUF export, auth (Keycloak+OPA), observability, and an MCP server already in place.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It is NOT a system of record.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It does not replace ERP, CRM, or middleware. It produces the AI capability those systems call.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The unit of value is a task, not a chatbot.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One model tuned for one narrow job (classify, extract, summarize, route, draft) — cheap, fast, private, and good enough to beat a general model on that task.</w:t>
      </w:r>
    </w:p>
    <w:p>
      <w:pPr>
        <w:pStyle w:val="Heading1"/>
      </w:pPr>
      <w:r>
        <w:t xml:space="preserve">3. Why an enterprise buys this — four levers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Privacy / sovereignty: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training and inference stay in-house; nothing leaves the firewall (decisive in finance, healthcare, public sector, and under EU AI Act / data-residency rules).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Cost at volume: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a tuned 3–8B model on one GPU is far cheaper than per-token frontier calls for high-volume, repetitive tasks. The case is volume economics + control, not beating frontier price-per-token.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Specialization: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narrow, domain-tuned models outperform general models on the specific task and are easier to validate.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Control: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the customer owns the weights, the data lineage, and the upgrade cadence — no vendor lock-in to a metered AI add-on.</w:t>
      </w:r>
    </w:p>
    <w:p>
      <w:r>
        <w:br w:type="page"/>
      </w:r>
    </w:p>
    <w:p>
      <w:pPr>
        <w:pStyle w:val="Heading1"/>
      </w:pPr>
      <w:r>
        <w:t xml:space="preserve">4. Use case → integration map</w:t>
      </w:r>
    </w:p>
    <w:p>
      <w:pPr>
        <w:spacing w:after="140" w:line="276"/>
      </w:pPr>
      <w:r>
        <w:rPr>
          <w:rFonts w:ascii="Arial" w:cs="Arial" w:eastAsia="Arial" w:hAnsi="Arial"/>
          <w:color w:val="14142B"/>
          <w:sz w:val="22"/>
          <w:szCs w:val="22"/>
        </w:rPr>
        <w:t xml:space="preserve">Concrete entry points. Each maps a high-volume, narrow task to an integration point the incumbent already exposes — the SLM is the “brain,” the suite stays the system of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300"/>
        <w:gridCol w:w="3000"/>
      </w:tblGrid>
      <w:tr>
        <w:trPr>
          <w:tblHeader/>
        </w:trPr>
        <w:tc>
          <w:tcPr>
            <w:tcW w:type="dxa" w:w="306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 (narrow, high-volume)</w:t>
            </w:r>
          </w:p>
        </w:tc>
        <w:tc>
          <w:tcPr>
            <w:tcW w:type="dxa" w:w="33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 system &amp; integration point</w:t>
            </w:r>
          </w:p>
        </w:tc>
        <w:tc>
          <w:tcPr>
            <w:tcW w:type="dxa" w:w="30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a private SLM fits</w:t>
            </w:r>
          </w:p>
        </w:tc>
      </w:tr>
      <w:tr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Support-case triage + draft replies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Salesforce Agentforce via the LLM Open Connector / Models API (Trust Layer)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Keeps customer PII in-house vs. routing to external frontier providers; cheaper per-case at volume.</w:t>
            </w:r>
          </w:p>
        </w:tc>
      </w:tr>
      <w:tr>
        <w:tc>
          <w:tcPr>
            <w:tcW w:type="dxa" w:w="3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Invoice / PO field extraction + GL coding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Oracle Fusion ERP (agent action) / OCI BYOC endpoint</w:t>
            </w:r>
          </w:p>
        </w:tc>
        <w:tc>
          <w:tcPr>
            <w:tcW w:type="dxa" w:w="3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Deterministic, repetitive extraction — ideal small-model task; avoids per-token cost on millions of lines.</w:t>
            </w:r>
          </w:p>
        </w:tc>
      </w:tr>
      <w:tr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Contract / policy clause summarization + risk flags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On-prem endpoint feeding any system; deployable on IBM watsonx (BYOM / OpenShift, air-gapped)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Sensitive legal text never leaves the boundary; tuned to the org’s clause taxonomy.</w:t>
            </w:r>
          </w:p>
        </w:tc>
      </w:tr>
      <w:tr>
        <w:tc>
          <w:tcPr>
            <w:tcW w:type="dxa" w:w="3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Email / ticket classification + routing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ServiceNow / Salesforce / IBM pipelines via REST</w:t>
            </w:r>
          </w:p>
        </w:tc>
        <w:tc>
          <w:tcPr>
            <w:tcW w:type="dxa" w:w="3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Classification is where small models match large ones at a fraction of the cost and latency.</w:t>
            </w:r>
          </w:p>
        </w:tc>
      </w:tr>
      <w:tr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HR / IT policy Q&amp;A (employee assist)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Oracle HCM / intranet; RAG + a tuned SLM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Grounded on internal docs; private; predictable cost for steady internal traffic.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Pattern, not exception: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every integration uses the vendor’s own “bring-your-own-model” path — Salesforce LLM Open Connector, Oracle OCI BYOC, IBM watsonx BYOM / Model Gateway — so the SLM augments rather than displaces.</w:t>
      </w:r>
    </w:p>
    <w:p>
      <w:pPr>
        <w:pStyle w:val="Heading1"/>
      </w:pPr>
      <w:r>
        <w:t xml:space="preserve">5. Reference architecture (integration shape)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Ingest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domain data from the source system (CRM/ERP/tickets/docs) into the lab, in the customer’s VPC or data centre.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Fine-tune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a small base model (LoRA/QLoRA) per task; autoresearch loop tunes hyperparameters.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Register, evaluate, govern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the resulting model — version, eval against a task suite, record lineage, apply access policy (this is partly built, partly the gap in §6).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Serve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the model as a private inference endpoint (or push a GGUF to edge), all inside the boundary.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Call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it from the enterprise workflow via the vendor’s BYO-model connector — the suite orchestrates, the SLM answers.</w:t>
      </w:r>
    </w:p>
    <w:p>
      <w:pPr>
        <w:pStyle w:val="Heading1"/>
      </w:pPr>
      <w:r>
        <w:t xml:space="preserve">6. Gap analysis — what to close to be enterprise-grade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500"/>
        <w:gridCol w:w="1500"/>
      </w:tblGrid>
      <w:tr>
        <w:trPr>
          <w:tblHeader/>
        </w:trPr>
        <w:tc>
          <w:tcPr>
            <w:tcW w:type="dxa" w:w="336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5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in SLM-Forge today</w:t>
            </w:r>
          </w:p>
        </w:tc>
        <w:tc>
          <w:tcPr>
            <w:tcW w:type="dxa" w:w="15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Training (multi-backend), tuning loop, GGUF export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Built (MLX + CUDA, autoresearch ratchet, export)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Have</w:t>
            </w:r>
          </w:p>
        </w:tc>
      </w:tr>
      <w:tr>
        <w:tc>
          <w:tcPr>
            <w:tcW w:type="dxa" w:w="33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AuthN/Z + audit (Keycloak + OPA), observability, MCP</w:t>
            </w:r>
          </w:p>
        </w:tc>
        <w:tc>
          <w:tcPr>
            <w:tcW w:type="dxa" w:w="4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Built but early; harden for enterprise</w:t>
            </w:r>
          </w:p>
        </w:tc>
        <w:tc>
          <w:tcPr>
            <w:tcW w:type="dxa" w:w="1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Managed serving / inference endpoints + autoscaling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Missing — only training/export today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3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Model registry, versioning, lineage</w:t>
            </w:r>
          </w:p>
        </w:tc>
        <w:tc>
          <w:tcPr>
            <w:tcW w:type="dxa" w:w="4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Catalog exists; no full registry/lineage</w:t>
            </w:r>
          </w:p>
        </w:tc>
        <w:tc>
          <w:tcPr>
            <w:tcW w:type="dxa" w:w="1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Evaluation harness (task + safety + regression)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Missing — the credibility gate for buyers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3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Connectors to Salesforce / Oracle / ServiceNow</w:t>
            </w:r>
          </w:p>
        </w:tc>
        <w:tc>
          <w:tcPr>
            <w:tcW w:type="dxa" w:w="4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Not built — needed for the integration story</w:t>
            </w:r>
          </w:p>
        </w:tc>
        <w:tc>
          <w:tcPr>
            <w:tcW w:type="dxa" w:w="1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Multi-tenancy + data isolation at scale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Partial; single-user/local-first origins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33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Compliance posture (SOC2 / ISO 42001 / audit depth)</w:t>
            </w:r>
          </w:p>
        </w:tc>
        <w:tc>
          <w:tcPr>
            <w:tcW w:type="dxa" w:w="4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Not yet; required for regulated buyers</w:t>
            </w:r>
          </w:p>
        </w:tc>
        <w:tc>
          <w:tcPr>
            <w:tcW w:type="dxa" w:w="1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Go-to-market shape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Productized specialist + services, not DIY.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MIT data shows buying from specialist vendors beats internal builds ~3:1 — deliver the tuned model and the integration, don’t hand customers a toolkit.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Lead with privacy + cost + control,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not “smarter than GPT.” Frontier capability is not the battlefield and unit prices fall ~10x/year.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Land in one narrow, high-volume task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with measurable ROI (e.g., case-reply drafting or invoice extraction), then expand to a portfolio of task-models.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Use HCL’s structural strengths: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integration, services, on-prem credibility, and support — the “hard 80%” where pure-play model labs are weakest.</w:t>
      </w:r>
    </w:p>
    <w:p>
      <w:pPr>
        <w:pStyle w:val="Heading1"/>
      </w:pPr>
      <w: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8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LLMflation erodes the cost case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Anchor value on sovereignty, control, and volume economics; show TCO at the customer’s real call volume, not unit price.</w:t>
            </w:r>
          </w:p>
        </w:tc>
      </w:tr>
      <w:tr>
        <w:tc>
          <w:tcPr>
            <w:tcW w:type="dxa" w:w="468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Incumbents’ free/embedded AI (Oracle agents, Copilot)</w:t>
            </w:r>
          </w:p>
        </w:tc>
        <w:tc>
          <w:tcPr>
            <w:tcW w:type="dxa" w:w="468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Target tasks outside their embedded scope and regulated data they cannot keep in-house; integrate rather than compete head-on.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On-prem readiness is thin (~11% fully on-prem)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Offer VPC/private-cloud deployment as the default, on-prem as premium; meet customers where their infra actually is.</w:t>
            </w:r>
          </w:p>
        </w:tc>
      </w:tr>
      <w:tr>
        <w:tc>
          <w:tcPr>
            <w:tcW w:type="dxa" w:w="468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MLOps / talent burden, build-vs-buy skepticism</w:t>
            </w:r>
          </w:p>
        </w:tc>
        <w:tc>
          <w:tcPr>
            <w:tcW w:type="dxa" w:w="468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Deliver as a managed, productized service with evals + governance included — remove the customer’s operational load.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Fine-tuning ROI narrowing industry-wide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Focus strictly on hyper-specific, high-volume, regulated tasks where fine-tuning still wins; pair with RAG where freshness matters.</w:t>
            </w:r>
          </w:p>
        </w:tc>
      </w:tr>
    </w:tbl>
    <w:p>
      <w:pPr>
        <w:pStyle w:val="Heading1"/>
      </w:pPr>
      <w:r>
        <w:t xml:space="preserve">9. Recommended next steps (90 days)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Pick one lighthouse task + one design-partner customer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in a regulated vertical; define a measurable ROI baseline.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Build the thinnest enterprise slice: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serving endpoint + a task eval harness + one connector (start with Salesforce LLM Open Connector or IBM watsonx BYOM).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Prove TCO + privacy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against the customer’s real volume and a frontier-API baseline.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Decide scale-up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on evidence from the pilot, then prioritise the remaining §6 gaps (registry, multi-tenancy, compliance).</w:t>
      </w:r>
    </w:p>
    <w:p>
      <w:pPr>
        <w:spacing w:after="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Bottom line.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The opportunity is real and well-aligned to an enterprise software vendor — provided it is framed as a private, specialized, integrated model layer and the serving/registry/eval/governance gaps are funded. Replace nothing; make what the customer already runs measurably smarter on their own data.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HCL Software — Confidential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7707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SLM-Forge Enterprise Opportunity &amp; Positioning Brief</dc:title>
  <dc:creator>HCL Software</dc:creator>
  <cp:lastModifiedBy>Un-named</cp:lastModifiedBy>
  <cp:revision>1</cp:revision>
  <dcterms:created xsi:type="dcterms:W3CDTF">2026-06-29T07:28:57.711Z</dcterms:created>
  <dcterms:modified xsi:type="dcterms:W3CDTF">2026-06-29T07:28:57.712Z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