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812C" w14:textId="77777777" w:rsidR="003E5E70" w:rsidRDefault="003E5E70"/>
    <w:p w14:paraId="41BE4F6C" w14:textId="77777777" w:rsidR="003E5E70" w:rsidRDefault="003E5E70"/>
    <w:p w14:paraId="3CF9C54A" w14:textId="77777777" w:rsidR="003E5E70" w:rsidRDefault="00000000">
      <w:pPr>
        <w:jc w:val="center"/>
      </w:pPr>
      <w:r>
        <w:rPr>
          <w:noProof/>
        </w:rPr>
        <w:drawing>
          <wp:inline distT="0" distB="0" distL="0" distR="0" wp14:anchorId="697115CC" wp14:editId="325E1EA2">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512.png"/>
                    <pic:cNvPicPr/>
                  </pic:nvPicPr>
                  <pic:blipFill>
                    <a:blip r:embed="rId8"/>
                    <a:stretch>
                      <a:fillRect/>
                    </a:stretch>
                  </pic:blipFill>
                  <pic:spPr>
                    <a:xfrm>
                      <a:off x="0" y="0"/>
                      <a:ext cx="868680" cy="868680"/>
                    </a:xfrm>
                    <a:prstGeom prst="rect">
                      <a:avLst/>
                    </a:prstGeom>
                  </pic:spPr>
                </pic:pic>
              </a:graphicData>
            </a:graphic>
          </wp:inline>
        </w:drawing>
      </w:r>
    </w:p>
    <w:p w14:paraId="551286AB" w14:textId="77777777" w:rsidR="003E5E70" w:rsidRDefault="00000000">
      <w:pPr>
        <w:spacing w:before="440"/>
        <w:jc w:val="center"/>
      </w:pPr>
      <w:r>
        <w:rPr>
          <w:b/>
          <w:color w:val="C2453C"/>
          <w:sz w:val="21"/>
        </w:rPr>
        <w:t>FRTB DEFAULT RISK CHARGE  ·  SECURITISATION (NON-CTP)</w:t>
      </w:r>
    </w:p>
    <w:p w14:paraId="42C51F58" w14:textId="77777777" w:rsidR="003E5E70" w:rsidRDefault="00000000">
      <w:pPr>
        <w:spacing w:before="200"/>
        <w:jc w:val="center"/>
      </w:pPr>
      <w:r>
        <w:rPr>
          <w:b/>
          <w:color w:val="0E2C4B"/>
          <w:sz w:val="54"/>
        </w:rPr>
        <w:t>Simple, Transparent and Comparable</w:t>
      </w:r>
      <w:r>
        <w:rPr>
          <w:b/>
          <w:color w:val="0E2C4B"/>
          <w:sz w:val="54"/>
        </w:rPr>
        <w:br/>
        <w:t>Securitisations</w:t>
      </w:r>
    </w:p>
    <w:p w14:paraId="1F5048EA" w14:textId="77777777" w:rsidR="003E5E70" w:rsidRDefault="00000000">
      <w:pPr>
        <w:spacing w:before="160"/>
        <w:jc w:val="center"/>
      </w:pPr>
      <w:r>
        <w:rPr>
          <w:color w:val="355574"/>
          <w:sz w:val="30"/>
        </w:rPr>
        <w:t>Due Diligence as the Gateway to Preferential</w:t>
      </w:r>
      <w:r>
        <w:rPr>
          <w:color w:val="355574"/>
          <w:sz w:val="30"/>
        </w:rPr>
        <w:br/>
        <w:t>Default Risk Capital</w:t>
      </w:r>
    </w:p>
    <w:p w14:paraId="6609F998" w14:textId="77777777" w:rsidR="003E5E70" w:rsidRDefault="003E5E70">
      <w:pPr>
        <w:pBdr>
          <w:bottom w:val="single" w:sz="6" w:space="4" w:color="C0C0C0"/>
        </w:pBdr>
        <w:spacing w:before="320" w:after="320"/>
        <w:jc w:val="center"/>
      </w:pPr>
    </w:p>
    <w:p w14:paraId="27B92C17" w14:textId="77777777" w:rsidR="003E5E70" w:rsidRDefault="00000000">
      <w:pPr>
        <w:jc w:val="center"/>
      </w:pPr>
      <w:r>
        <w:rPr>
          <w:i/>
          <w:color w:val="555555"/>
          <w:sz w:val="21"/>
        </w:rPr>
        <w:t>Methodology &amp; Impact Note   ·   Worked example: AUTO-2024-1 (prime auto ABS)</w:t>
      </w:r>
    </w:p>
    <w:p w14:paraId="05DD291A" w14:textId="24322166" w:rsidR="003E5E70" w:rsidRDefault="00000000">
      <w:pPr>
        <w:spacing w:before="680"/>
        <w:jc w:val="center"/>
      </w:pPr>
      <w:r>
        <w:rPr>
          <w:color w:val="555555"/>
          <w:sz w:val="20"/>
        </w:rPr>
        <w:br/>
        <w:t>Prepared by  ·  Market Risk — FRTB Programme</w:t>
      </w:r>
      <w:r>
        <w:rPr>
          <w:color w:val="555555"/>
          <w:sz w:val="20"/>
        </w:rPr>
        <w:br/>
        <w:t>Date  ·  22 May 2026</w:t>
      </w:r>
      <w:r>
        <w:rPr>
          <w:color w:val="555555"/>
          <w:sz w:val="20"/>
        </w:rPr>
        <w:br/>
      </w:r>
      <w:r>
        <w:rPr>
          <w:color w:val="555555"/>
          <w:sz w:val="18"/>
        </w:rPr>
        <w:br/>
        <w:t>Reference portfolio    ·  Engine  ·  drc_securitisation</w:t>
      </w:r>
    </w:p>
    <w:p w14:paraId="107E8D82" w14:textId="77777777" w:rsidR="003E5E70" w:rsidRDefault="00000000">
      <w:r>
        <w:br w:type="page"/>
      </w:r>
    </w:p>
    <w:p w14:paraId="62077D81" w14:textId="77777777" w:rsidR="003E5E70" w:rsidRDefault="00000000">
      <w:pPr>
        <w:keepNext/>
        <w:pBdr>
          <w:bottom w:val="single" w:sz="10" w:space="4" w:color="0E2C4B"/>
        </w:pBdr>
        <w:spacing w:before="400" w:after="140"/>
      </w:pPr>
      <w:r>
        <w:rPr>
          <w:b/>
          <w:color w:val="0E2C4B"/>
          <w:sz w:val="32"/>
        </w:rPr>
        <w:lastRenderedPageBreak/>
        <w:t>Contents</w:t>
      </w:r>
    </w:p>
    <w:p w14:paraId="5466B06D" w14:textId="77777777" w:rsidR="003E5E70" w:rsidRDefault="00000000">
      <w:pPr>
        <w:spacing w:before="40" w:after="40"/>
      </w:pPr>
      <w:r>
        <w:rPr>
          <w:color w:val="0E2C4B"/>
          <w:sz w:val="21"/>
        </w:rPr>
        <w:t>1.  Executive Summary</w:t>
      </w:r>
    </w:p>
    <w:p w14:paraId="028B3B64" w14:textId="77777777" w:rsidR="003E5E70" w:rsidRDefault="00000000">
      <w:pPr>
        <w:spacing w:before="40" w:after="40"/>
      </w:pPr>
      <w:r>
        <w:rPr>
          <w:color w:val="0E2C4B"/>
          <w:sz w:val="21"/>
        </w:rPr>
        <w:t>2.  What STC Is — and What It Is Not</w:t>
      </w:r>
    </w:p>
    <w:p w14:paraId="32720D1F" w14:textId="77777777" w:rsidR="003E5E70" w:rsidRDefault="00000000">
      <w:pPr>
        <w:spacing w:before="40" w:after="40"/>
      </w:pPr>
      <w:r>
        <w:rPr>
          <w:color w:val="0E2C4B"/>
          <w:sz w:val="21"/>
        </w:rPr>
        <w:t>3.  Regulatory Regime — Where STC Applies</w:t>
      </w:r>
    </w:p>
    <w:p w14:paraId="5C6E3508" w14:textId="77777777" w:rsidR="003E5E70" w:rsidRDefault="00000000">
      <w:pPr>
        <w:spacing w:before="40" w:after="40"/>
      </w:pPr>
      <w:r>
        <w:rPr>
          <w:color w:val="0E2C4B"/>
          <w:sz w:val="21"/>
        </w:rPr>
        <w:t>4.  Which Securitisations Qualify</w:t>
      </w:r>
    </w:p>
    <w:p w14:paraId="0AF54B6D" w14:textId="77777777" w:rsidR="003E5E70" w:rsidRDefault="00000000">
      <w:pPr>
        <w:spacing w:before="40" w:after="40"/>
      </w:pPr>
      <w:r>
        <w:rPr>
          <w:color w:val="0E2C4B"/>
          <w:sz w:val="21"/>
        </w:rPr>
        <w:t>5.  Due Diligence — The Gateway to the Benefit</w:t>
      </w:r>
    </w:p>
    <w:p w14:paraId="7F5B4E10" w14:textId="77777777" w:rsidR="003E5E70" w:rsidRDefault="00000000">
      <w:pPr>
        <w:spacing w:before="40" w:after="40"/>
      </w:pPr>
      <w:r>
        <w:rPr>
          <w:color w:val="0E2C4B"/>
          <w:sz w:val="21"/>
        </w:rPr>
        <w:t>6.  Proof of Benefit — AUTO-2024-1</w:t>
      </w:r>
    </w:p>
    <w:p w14:paraId="6CCEC83A" w14:textId="77777777" w:rsidR="003E5E70" w:rsidRDefault="00000000">
      <w:pPr>
        <w:spacing w:before="40" w:after="40"/>
      </w:pPr>
      <w:r>
        <w:rPr>
          <w:color w:val="0E2C4B"/>
          <w:sz w:val="21"/>
        </w:rPr>
        <w:t>7.  The STC Capital Mechanism</w:t>
      </w:r>
    </w:p>
    <w:p w14:paraId="53E44232" w14:textId="77777777" w:rsidR="003E5E70" w:rsidRDefault="00000000">
      <w:pPr>
        <w:spacing w:before="40" w:after="40"/>
      </w:pPr>
      <w:r>
        <w:rPr>
          <w:color w:val="0E2C4B"/>
          <w:sz w:val="21"/>
        </w:rPr>
        <w:t>8.  Conclusions &amp; Recommendations</w:t>
      </w:r>
    </w:p>
    <w:p w14:paraId="76CC4C01" w14:textId="77777777" w:rsidR="003E5E70" w:rsidRDefault="00000000">
      <w:pPr>
        <w:spacing w:before="40" w:after="40"/>
      </w:pPr>
      <w:r>
        <w:rPr>
          <w:b/>
          <w:color w:val="355574"/>
          <w:sz w:val="21"/>
        </w:rPr>
        <w:t>Appendix A — Full STC Eligibility Criteria</w:t>
      </w:r>
    </w:p>
    <w:p w14:paraId="168CCC62" w14:textId="77777777" w:rsidR="003E5E70" w:rsidRDefault="00000000">
      <w:pPr>
        <w:spacing w:before="40" w:after="40"/>
      </w:pPr>
      <w:r>
        <w:rPr>
          <w:b/>
          <w:color w:val="355574"/>
          <w:sz w:val="21"/>
        </w:rPr>
        <w:t>Appendix B — Risk-Weight Reconciliation</w:t>
      </w:r>
    </w:p>
    <w:p w14:paraId="3289958F" w14:textId="77777777" w:rsidR="003E5E70" w:rsidRDefault="00000000">
      <w:pPr>
        <w:spacing w:before="40" w:after="40"/>
      </w:pPr>
      <w:r>
        <w:rPr>
          <w:b/>
          <w:color w:val="355574"/>
          <w:sz w:val="21"/>
        </w:rPr>
        <w:t>References</w:t>
      </w:r>
    </w:p>
    <w:p w14:paraId="633B4D23" w14:textId="77777777" w:rsidR="003E5E70" w:rsidRDefault="00000000">
      <w:r>
        <w:br w:type="page"/>
      </w:r>
    </w:p>
    <w:p w14:paraId="750B2EC6" w14:textId="77777777" w:rsidR="003E5E70" w:rsidRDefault="00000000">
      <w:pPr>
        <w:keepNext/>
        <w:pBdr>
          <w:bottom w:val="single" w:sz="10" w:space="4" w:color="0E2C4B"/>
        </w:pBdr>
        <w:spacing w:before="400" w:after="140"/>
      </w:pPr>
      <w:r>
        <w:rPr>
          <w:b/>
          <w:color w:val="0E2C4B"/>
          <w:sz w:val="32"/>
        </w:rPr>
        <w:lastRenderedPageBreak/>
        <w:t>1.  Executive Summary</w:t>
      </w:r>
    </w:p>
    <w:p w14:paraId="490E53D2" w14:textId="77777777" w:rsidR="003E5E70" w:rsidRDefault="00000000">
      <w:pPr>
        <w:spacing w:before="40" w:after="100" w:line="269" w:lineRule="auto"/>
      </w:pPr>
      <w:r>
        <w:rPr>
          <w:color w:val="1A1A1A"/>
          <w:sz w:val="21"/>
        </w:rPr>
        <w:t xml:space="preserve">Simple, Transparent and Comparable (STC) is a regulatory </w:t>
      </w:r>
      <w:r>
        <w:rPr>
          <w:b/>
          <w:color w:val="1A1A1A"/>
          <w:sz w:val="21"/>
        </w:rPr>
        <w:t>quality label</w:t>
      </w:r>
      <w:r>
        <w:rPr>
          <w:color w:val="1A1A1A"/>
          <w:sz w:val="21"/>
        </w:rPr>
        <w:t xml:space="preserve"> for securitisations. A securitisation that meets the STC criteria attracts </w:t>
      </w:r>
      <w:r>
        <w:rPr>
          <w:b/>
          <w:color w:val="1A1A1A"/>
          <w:sz w:val="21"/>
        </w:rPr>
        <w:t>lower regulatory capital</w:t>
      </w:r>
      <w:r>
        <w:rPr>
          <w:color w:val="1A1A1A"/>
          <w:sz w:val="21"/>
        </w:rPr>
        <w:t xml:space="preserve"> than an otherwise identical non-STC deal. The purpose of this note is to explain what that label rewards, where it applies, which securitisations can carry it, and — most importantly — why the capital benefit cannot be banked without rigorous </w:t>
      </w:r>
      <w:r>
        <w:rPr>
          <w:b/>
          <w:color w:val="1A1A1A"/>
          <w:sz w:val="21"/>
        </w:rPr>
        <w:t>due diligence</w:t>
      </w:r>
      <w:r>
        <w:rPr>
          <w:color w:val="1A1A1A"/>
          <w:sz w:val="21"/>
        </w:rPr>
        <w:t>.</w:t>
      </w:r>
    </w:p>
    <w:p w14:paraId="45B27CBA" w14:textId="77777777" w:rsidR="003E5E70" w:rsidRDefault="00000000">
      <w:pPr>
        <w:spacing w:before="40" w:after="100" w:line="269" w:lineRule="auto"/>
      </w:pPr>
      <w:r>
        <w:rPr>
          <w:color w:val="1A1A1A"/>
          <w:sz w:val="21"/>
        </w:rPr>
        <w:t xml:space="preserve">Crucially, STC is </w:t>
      </w:r>
      <w:r>
        <w:rPr>
          <w:b/>
          <w:color w:val="1A1A1A"/>
          <w:sz w:val="21"/>
        </w:rPr>
        <w:t>not a statement that a securitisation is low-risk</w:t>
      </w:r>
      <w:r>
        <w:rPr>
          <w:color w:val="1A1A1A"/>
          <w:sz w:val="21"/>
        </w:rPr>
        <w:t xml:space="preserve">. It certifies that the deal's </w:t>
      </w:r>
      <w:r>
        <w:rPr>
          <w:b/>
          <w:color w:val="1A1A1A"/>
          <w:sz w:val="21"/>
        </w:rPr>
        <w:t>structure</w:t>
      </w:r>
      <w:r>
        <w:rPr>
          <w:color w:val="1A1A1A"/>
          <w:sz w:val="21"/>
        </w:rPr>
        <w:t xml:space="preserve"> is simple and transparent — that an investor can understand it and is not exposed to hidden structural complexity. The benefit is deliberately modest and bounded, precisely so that it does not recreate the cliff-edge incentives that the pre-2008 reliance on top credit ratings produced.</w:t>
      </w:r>
    </w:p>
    <w:p w14:paraId="6B67B273" w14:textId="082507F4" w:rsidR="003E5E70" w:rsidRDefault="00000000">
      <w:pPr>
        <w:spacing w:before="40" w:after="100" w:line="269" w:lineRule="auto"/>
      </w:pPr>
      <w:r>
        <w:rPr>
          <w:color w:val="1A1A1A"/>
          <w:sz w:val="21"/>
        </w:rPr>
        <w:t xml:space="preserve">Using the </w:t>
      </w:r>
      <w:r w:rsidR="006F12A0">
        <w:rPr>
          <w:color w:val="1A1A1A"/>
          <w:sz w:val="21"/>
        </w:rPr>
        <w:t xml:space="preserve"> </w:t>
      </w:r>
      <w:r>
        <w:rPr>
          <w:color w:val="1A1A1A"/>
          <w:sz w:val="21"/>
        </w:rPr>
        <w:t xml:space="preserve"> reference portfolio, this note designates one deal — </w:t>
      </w:r>
      <w:r>
        <w:rPr>
          <w:b/>
          <w:color w:val="1A1A1A"/>
          <w:sz w:val="21"/>
        </w:rPr>
        <w:t>AUTO-2024-1</w:t>
      </w:r>
      <w:r>
        <w:rPr>
          <w:color w:val="1A1A1A"/>
          <w:sz w:val="21"/>
        </w:rPr>
        <w:t>, a granular prime auto-loan ABS — as STC-compliant and measures the capital effect through the FRTB Default Risk Charge (DRC) securitisation engine. The result:</w:t>
      </w:r>
    </w:p>
    <w:tbl>
      <w:tblPr>
        <w:tblStyle w:val="TableGrid"/>
        <w:tblW w:w="0" w:type="auto"/>
        <w:jc w:val="center"/>
        <w:tblLook w:val="04A0" w:firstRow="1" w:lastRow="0" w:firstColumn="1" w:lastColumn="0" w:noHBand="0" w:noVBand="1"/>
      </w:tblPr>
      <w:tblGrid>
        <w:gridCol w:w="3526"/>
        <w:gridCol w:w="2025"/>
        <w:gridCol w:w="1901"/>
        <w:gridCol w:w="2124"/>
      </w:tblGrid>
      <w:tr w:rsidR="003E5E70" w14:paraId="4E010416" w14:textId="77777777">
        <w:trPr>
          <w:jc w:val="center"/>
        </w:trPr>
        <w:tc>
          <w:tcPr>
            <w:tcW w:w="3888" w:type="dxa"/>
            <w:shd w:val="clear" w:color="auto" w:fill="0E2C4B"/>
          </w:tcPr>
          <w:p w14:paraId="0435DF8A" w14:textId="77777777" w:rsidR="003E5E70" w:rsidRDefault="00000000">
            <w:pPr>
              <w:spacing w:before="40" w:after="40"/>
            </w:pPr>
            <w:r>
              <w:rPr>
                <w:b/>
                <w:color w:val="FFFFFF"/>
                <w:sz w:val="19"/>
              </w:rPr>
              <w:t>Measure</w:t>
            </w:r>
          </w:p>
        </w:tc>
        <w:tc>
          <w:tcPr>
            <w:tcW w:w="2160" w:type="dxa"/>
            <w:shd w:val="clear" w:color="auto" w:fill="0E2C4B"/>
          </w:tcPr>
          <w:p w14:paraId="21CD6B0E" w14:textId="77777777" w:rsidR="003E5E70" w:rsidRDefault="00000000">
            <w:pPr>
              <w:spacing w:before="40" w:after="40"/>
            </w:pPr>
            <w:r>
              <w:rPr>
                <w:b/>
                <w:color w:val="FFFFFF"/>
                <w:sz w:val="19"/>
              </w:rPr>
              <w:t>Non-STC (standard)</w:t>
            </w:r>
          </w:p>
        </w:tc>
        <w:tc>
          <w:tcPr>
            <w:tcW w:w="2016" w:type="dxa"/>
            <w:shd w:val="clear" w:color="auto" w:fill="0E2C4B"/>
          </w:tcPr>
          <w:p w14:paraId="6090BB38" w14:textId="77777777" w:rsidR="003E5E70" w:rsidRDefault="00000000">
            <w:pPr>
              <w:spacing w:before="40" w:after="40"/>
            </w:pPr>
            <w:r>
              <w:rPr>
                <w:b/>
                <w:color w:val="FFFFFF"/>
                <w:sz w:val="19"/>
              </w:rPr>
              <w:t>STC-compliant</w:t>
            </w:r>
          </w:p>
        </w:tc>
        <w:tc>
          <w:tcPr>
            <w:tcW w:w="2304" w:type="dxa"/>
            <w:shd w:val="clear" w:color="auto" w:fill="0E2C4B"/>
          </w:tcPr>
          <w:p w14:paraId="2B6B49F5" w14:textId="77777777" w:rsidR="003E5E70" w:rsidRDefault="00000000">
            <w:pPr>
              <w:spacing w:before="40" w:after="40"/>
            </w:pPr>
            <w:r>
              <w:rPr>
                <w:b/>
                <w:color w:val="FFFFFF"/>
                <w:sz w:val="19"/>
              </w:rPr>
              <w:t>Change</w:t>
            </w:r>
          </w:p>
        </w:tc>
      </w:tr>
      <w:tr w:rsidR="003E5E70" w14:paraId="0A8BDD27" w14:textId="77777777">
        <w:trPr>
          <w:jc w:val="center"/>
        </w:trPr>
        <w:tc>
          <w:tcPr>
            <w:tcW w:w="3888" w:type="dxa"/>
            <w:shd w:val="clear" w:color="auto" w:fill="F2F2F2"/>
          </w:tcPr>
          <w:p w14:paraId="18068FCB" w14:textId="77777777" w:rsidR="003E5E70" w:rsidRDefault="00000000">
            <w:pPr>
              <w:spacing w:before="40" w:after="40"/>
            </w:pPr>
            <w:r>
              <w:rPr>
                <w:color w:val="1A1A1A"/>
                <w:sz w:val="18"/>
              </w:rPr>
              <w:t>AUTO-2024-1 — DRC contribution</w:t>
            </w:r>
          </w:p>
        </w:tc>
        <w:tc>
          <w:tcPr>
            <w:tcW w:w="2160" w:type="dxa"/>
            <w:shd w:val="clear" w:color="auto" w:fill="F2F2F2"/>
          </w:tcPr>
          <w:p w14:paraId="4EC72361" w14:textId="77777777" w:rsidR="003E5E70" w:rsidRDefault="00000000">
            <w:pPr>
              <w:spacing w:before="40" w:after="40"/>
            </w:pPr>
            <w:r>
              <w:rPr>
                <w:color w:val="1A1A1A"/>
                <w:sz w:val="18"/>
              </w:rPr>
              <w:t>$1,651,200</w:t>
            </w:r>
          </w:p>
        </w:tc>
        <w:tc>
          <w:tcPr>
            <w:tcW w:w="2016" w:type="dxa"/>
            <w:shd w:val="clear" w:color="auto" w:fill="F2F2F2"/>
          </w:tcPr>
          <w:p w14:paraId="48A528C3" w14:textId="77777777" w:rsidR="003E5E70" w:rsidRDefault="00000000">
            <w:pPr>
              <w:spacing w:before="40" w:after="40"/>
            </w:pPr>
            <w:r>
              <w:rPr>
                <w:color w:val="1A1A1A"/>
                <w:sz w:val="18"/>
              </w:rPr>
              <w:t>$1,158,400</w:t>
            </w:r>
          </w:p>
        </w:tc>
        <w:tc>
          <w:tcPr>
            <w:tcW w:w="2304" w:type="dxa"/>
            <w:shd w:val="clear" w:color="auto" w:fill="F2F2F2"/>
          </w:tcPr>
          <w:p w14:paraId="0319A998" w14:textId="77777777" w:rsidR="003E5E70" w:rsidRDefault="00000000">
            <w:pPr>
              <w:spacing w:before="40" w:after="40"/>
            </w:pPr>
            <w:r>
              <w:rPr>
                <w:b/>
                <w:color w:val="C2453C"/>
                <w:sz w:val="18"/>
              </w:rPr>
              <w:t>-$492,800  (-29.8%)</w:t>
            </w:r>
          </w:p>
        </w:tc>
      </w:tr>
      <w:tr w:rsidR="003E5E70" w14:paraId="2A6B5370" w14:textId="77777777">
        <w:trPr>
          <w:jc w:val="center"/>
        </w:trPr>
        <w:tc>
          <w:tcPr>
            <w:tcW w:w="3888" w:type="dxa"/>
            <w:shd w:val="clear" w:color="auto" w:fill="FFFFFF"/>
          </w:tcPr>
          <w:p w14:paraId="32AFC5BD" w14:textId="2A0A9575" w:rsidR="003E5E70" w:rsidRDefault="006F12A0">
            <w:pPr>
              <w:spacing w:before="40" w:after="40"/>
            </w:pPr>
            <w:r>
              <w:rPr>
                <w:color w:val="1A1A1A"/>
                <w:sz w:val="18"/>
              </w:rPr>
              <w:t xml:space="preserve"> </w:t>
            </w:r>
            <w:r w:rsidR="00000000">
              <w:rPr>
                <w:color w:val="1A1A1A"/>
                <w:sz w:val="18"/>
              </w:rPr>
              <w:t xml:space="preserve"> portfolio — total securitisation DRC</w:t>
            </w:r>
          </w:p>
        </w:tc>
        <w:tc>
          <w:tcPr>
            <w:tcW w:w="2160" w:type="dxa"/>
            <w:shd w:val="clear" w:color="auto" w:fill="FFFFFF"/>
          </w:tcPr>
          <w:p w14:paraId="1C41A058" w14:textId="77777777" w:rsidR="003E5E70" w:rsidRDefault="00000000">
            <w:pPr>
              <w:spacing w:before="40" w:after="40"/>
            </w:pPr>
            <w:r>
              <w:rPr>
                <w:color w:val="1A1A1A"/>
                <w:sz w:val="18"/>
              </w:rPr>
              <w:t>$11,670,840</w:t>
            </w:r>
          </w:p>
        </w:tc>
        <w:tc>
          <w:tcPr>
            <w:tcW w:w="2016" w:type="dxa"/>
            <w:shd w:val="clear" w:color="auto" w:fill="FFFFFF"/>
          </w:tcPr>
          <w:p w14:paraId="1CB11F82" w14:textId="77777777" w:rsidR="003E5E70" w:rsidRDefault="00000000">
            <w:pPr>
              <w:spacing w:before="40" w:after="40"/>
            </w:pPr>
            <w:r>
              <w:rPr>
                <w:color w:val="1A1A1A"/>
                <w:sz w:val="18"/>
              </w:rPr>
              <w:t>$11,178,040</w:t>
            </w:r>
          </w:p>
        </w:tc>
        <w:tc>
          <w:tcPr>
            <w:tcW w:w="2304" w:type="dxa"/>
            <w:shd w:val="clear" w:color="auto" w:fill="FFFFFF"/>
          </w:tcPr>
          <w:p w14:paraId="52127DA7" w14:textId="77777777" w:rsidR="003E5E70" w:rsidRDefault="00000000">
            <w:pPr>
              <w:spacing w:before="40" w:after="40"/>
            </w:pPr>
            <w:r>
              <w:rPr>
                <w:b/>
                <w:color w:val="C2453C"/>
                <w:sz w:val="18"/>
              </w:rPr>
              <w:t>-$492,800  (-4.2%)</w:t>
            </w:r>
          </w:p>
        </w:tc>
      </w:tr>
      <w:tr w:rsidR="003E5E70" w14:paraId="48EA19AA" w14:textId="77777777">
        <w:trPr>
          <w:jc w:val="center"/>
        </w:trPr>
        <w:tc>
          <w:tcPr>
            <w:tcW w:w="3888" w:type="dxa"/>
            <w:shd w:val="clear" w:color="auto" w:fill="F2F2F2"/>
          </w:tcPr>
          <w:p w14:paraId="726CB0B9" w14:textId="77777777" w:rsidR="003E5E70" w:rsidRDefault="00000000">
            <w:pPr>
              <w:spacing w:before="40" w:after="40"/>
            </w:pPr>
            <w:r>
              <w:rPr>
                <w:color w:val="1A1A1A"/>
                <w:sz w:val="18"/>
              </w:rPr>
              <w:t>AUTO-2024-1 senior tranche risk weight</w:t>
            </w:r>
          </w:p>
        </w:tc>
        <w:tc>
          <w:tcPr>
            <w:tcW w:w="2160" w:type="dxa"/>
            <w:shd w:val="clear" w:color="auto" w:fill="F2F2F2"/>
          </w:tcPr>
          <w:p w14:paraId="4EC49C85" w14:textId="77777777" w:rsidR="003E5E70" w:rsidRDefault="00000000">
            <w:pPr>
              <w:spacing w:before="40" w:after="40"/>
            </w:pPr>
            <w:r>
              <w:rPr>
                <w:color w:val="1A1A1A"/>
                <w:sz w:val="18"/>
              </w:rPr>
              <w:t>15%</w:t>
            </w:r>
          </w:p>
        </w:tc>
        <w:tc>
          <w:tcPr>
            <w:tcW w:w="2016" w:type="dxa"/>
            <w:shd w:val="clear" w:color="auto" w:fill="F2F2F2"/>
          </w:tcPr>
          <w:p w14:paraId="67B58922" w14:textId="77777777" w:rsidR="003E5E70" w:rsidRDefault="00000000">
            <w:pPr>
              <w:spacing w:before="40" w:after="40"/>
            </w:pPr>
            <w:r>
              <w:rPr>
                <w:color w:val="1A1A1A"/>
                <w:sz w:val="18"/>
              </w:rPr>
              <w:t>10%</w:t>
            </w:r>
          </w:p>
        </w:tc>
        <w:tc>
          <w:tcPr>
            <w:tcW w:w="2304" w:type="dxa"/>
            <w:shd w:val="clear" w:color="auto" w:fill="F2F2F2"/>
          </w:tcPr>
          <w:p w14:paraId="3A5ACFFE" w14:textId="77777777" w:rsidR="003E5E70" w:rsidRDefault="00000000">
            <w:pPr>
              <w:spacing w:before="40" w:after="40"/>
            </w:pPr>
            <w:r>
              <w:rPr>
                <w:b/>
                <w:color w:val="C2453C"/>
                <w:sz w:val="18"/>
              </w:rPr>
              <w:t>-5 ppts  (-33.3% capital)</w:t>
            </w:r>
          </w:p>
        </w:tc>
      </w:tr>
      <w:tr w:rsidR="003E5E70" w14:paraId="6FD02F3A" w14:textId="77777777">
        <w:trPr>
          <w:jc w:val="center"/>
        </w:trPr>
        <w:tc>
          <w:tcPr>
            <w:tcW w:w="3888" w:type="dxa"/>
            <w:shd w:val="clear" w:color="auto" w:fill="FFFFFF"/>
          </w:tcPr>
          <w:p w14:paraId="57E77928" w14:textId="77777777" w:rsidR="003E5E70" w:rsidRDefault="00000000">
            <w:pPr>
              <w:spacing w:before="40" w:after="40"/>
            </w:pPr>
            <w:r>
              <w:rPr>
                <w:color w:val="1A1A1A"/>
                <w:sz w:val="18"/>
              </w:rPr>
              <w:t>AUTO-2024-1 non-senior tranche risk weight</w:t>
            </w:r>
          </w:p>
        </w:tc>
        <w:tc>
          <w:tcPr>
            <w:tcW w:w="2160" w:type="dxa"/>
            <w:shd w:val="clear" w:color="auto" w:fill="FFFFFF"/>
          </w:tcPr>
          <w:p w14:paraId="661FCAAC" w14:textId="77777777" w:rsidR="003E5E70" w:rsidRDefault="00000000">
            <w:pPr>
              <w:spacing w:before="40" w:after="40"/>
            </w:pPr>
            <w:r>
              <w:rPr>
                <w:color w:val="1A1A1A"/>
                <w:sz w:val="18"/>
              </w:rPr>
              <w:t>72%</w:t>
            </w:r>
          </w:p>
        </w:tc>
        <w:tc>
          <w:tcPr>
            <w:tcW w:w="2016" w:type="dxa"/>
            <w:shd w:val="clear" w:color="auto" w:fill="FFFFFF"/>
          </w:tcPr>
          <w:p w14:paraId="6CAF0BD6" w14:textId="77777777" w:rsidR="003E5E70" w:rsidRDefault="00000000">
            <w:pPr>
              <w:spacing w:before="40" w:after="40"/>
            </w:pPr>
            <w:r>
              <w:rPr>
                <w:color w:val="1A1A1A"/>
                <w:sz w:val="18"/>
              </w:rPr>
              <w:t>54%</w:t>
            </w:r>
          </w:p>
        </w:tc>
        <w:tc>
          <w:tcPr>
            <w:tcW w:w="2304" w:type="dxa"/>
            <w:shd w:val="clear" w:color="auto" w:fill="FFFFFF"/>
          </w:tcPr>
          <w:p w14:paraId="12660B67" w14:textId="77777777" w:rsidR="003E5E70" w:rsidRDefault="00000000">
            <w:pPr>
              <w:spacing w:before="40" w:after="40"/>
            </w:pPr>
            <w:r>
              <w:rPr>
                <w:b/>
                <w:color w:val="C2453C"/>
                <w:sz w:val="18"/>
              </w:rPr>
              <w:t>-18 ppts  (-25.0% capital)</w:t>
            </w:r>
          </w:p>
        </w:tc>
      </w:tr>
    </w:tbl>
    <w:p w14:paraId="20B0C8D8" w14:textId="723C7874" w:rsidR="003E5E70" w:rsidRDefault="00000000">
      <w:pPr>
        <w:spacing w:before="60"/>
      </w:pPr>
      <w:r>
        <w:rPr>
          <w:b/>
          <w:color w:val="0E2C4B"/>
          <w:sz w:val="17"/>
        </w:rPr>
        <w:t xml:space="preserve">Exhibit 1.  </w:t>
      </w:r>
      <w:r>
        <w:rPr>
          <w:i/>
          <w:color w:val="555555"/>
          <w:sz w:val="17"/>
        </w:rPr>
        <w:t xml:space="preserve">Headline capital effect of designating AUTO-2024-1 as STC-compliant. Source: FRTB DRC securitisation engine, </w:t>
      </w:r>
      <w:r w:rsidR="006F12A0">
        <w:rPr>
          <w:i/>
          <w:color w:val="555555"/>
          <w:sz w:val="17"/>
        </w:rPr>
        <w:t xml:space="preserve"> </w:t>
      </w:r>
      <w:r>
        <w:rPr>
          <w:i/>
          <w:color w:val="555555"/>
          <w:sz w:val="17"/>
        </w:rPr>
        <w:t xml:space="preserve"> reference portfolio.</w:t>
      </w:r>
    </w:p>
    <w:p w14:paraId="3915DB37" w14:textId="77777777" w:rsidR="003E5E70" w:rsidRDefault="00000000">
      <w:pPr>
        <w:pBdr>
          <w:left w:val="single" w:sz="18" w:space="4" w:color="2E6B4F"/>
        </w:pBdr>
        <w:shd w:val="clear" w:color="auto" w:fill="E7F0EC"/>
        <w:spacing w:before="120" w:after="120"/>
        <w:ind w:left="72" w:right="72"/>
      </w:pPr>
      <w:r>
        <w:rPr>
          <w:b/>
          <w:color w:val="2E6B4F"/>
          <w:sz w:val="19"/>
        </w:rPr>
        <w:t xml:space="preserve">  KEY MESSAGE   </w:t>
      </w:r>
      <w:r>
        <w:rPr>
          <w:color w:val="2A2A2A"/>
          <w:sz w:val="19"/>
        </w:rPr>
        <w:t xml:space="preserve">The STC discount is </w:t>
      </w:r>
      <w:r>
        <w:rPr>
          <w:b/>
          <w:color w:val="2A2A2A"/>
          <w:sz w:val="19"/>
        </w:rPr>
        <w:t>conditional, not automatic</w:t>
      </w:r>
      <w:r>
        <w:rPr>
          <w:color w:val="2A2A2A"/>
          <w:sz w:val="19"/>
        </w:rPr>
        <w:t xml:space="preserve">. Under the Basel securitisation framework an institution may apply STC treatment — or indeed any modelled risk-weight approach — </w:t>
      </w:r>
      <w:r>
        <w:rPr>
          <w:b/>
          <w:color w:val="2A2A2A"/>
          <w:sz w:val="19"/>
        </w:rPr>
        <w:t>only if it has performed and can evidence the required due diligence</w:t>
      </w:r>
      <w:r>
        <w:rPr>
          <w:color w:val="2A2A2A"/>
          <w:sz w:val="19"/>
        </w:rPr>
        <w:t xml:space="preserve">. A due-diligence failure does not demote the position to a less favourable modelled approach; it forces a </w:t>
      </w:r>
      <w:r>
        <w:rPr>
          <w:b/>
          <w:color w:val="2A2A2A"/>
          <w:sz w:val="19"/>
        </w:rPr>
        <w:t>1250% risk weight</w:t>
      </w:r>
      <w:r>
        <w:rPr>
          <w:color w:val="2A2A2A"/>
          <w:sz w:val="19"/>
        </w:rPr>
        <w:t xml:space="preserve"> (effectively a full capital deduction). Due diligence is therefore the precondition for the benefit, not paperwork around it.</w:t>
      </w:r>
    </w:p>
    <w:p w14:paraId="1687912B" w14:textId="77777777" w:rsidR="003E5E70" w:rsidRDefault="00000000">
      <w:pPr>
        <w:keepNext/>
        <w:pBdr>
          <w:bottom w:val="single" w:sz="10" w:space="4" w:color="0E2C4B"/>
        </w:pBdr>
        <w:spacing w:before="400" w:after="140"/>
      </w:pPr>
      <w:r>
        <w:rPr>
          <w:b/>
          <w:color w:val="0E2C4B"/>
          <w:sz w:val="32"/>
        </w:rPr>
        <w:t>2.  What STC Is — and What It Is Not</w:t>
      </w:r>
    </w:p>
    <w:p w14:paraId="69D8DD55" w14:textId="77777777" w:rsidR="003E5E70" w:rsidRDefault="00000000">
      <w:pPr>
        <w:spacing w:before="40" w:after="100" w:line="269" w:lineRule="auto"/>
      </w:pPr>
      <w:r>
        <w:rPr>
          <w:color w:val="1A1A1A"/>
          <w:sz w:val="21"/>
        </w:rPr>
        <w:t xml:space="preserve">STC was introduced by the global standard-setters after the 2007-09 crisis to distinguish securitisations whose structure is genuinely simple and transparent from those whose complexity made them hard — or impossible — for investors and supervisors to assess. The label is built from a defined set of </w:t>
      </w:r>
      <w:r>
        <w:rPr>
          <w:b/>
          <w:color w:val="1A1A1A"/>
          <w:sz w:val="21"/>
        </w:rPr>
        <w:t>objective, largely binary criteria</w:t>
      </w:r>
      <w:r>
        <w:rPr>
          <w:color w:val="1A1A1A"/>
          <w:sz w:val="21"/>
        </w:rPr>
        <w:t xml:space="preserve"> grouped under three headings:</w:t>
      </w:r>
    </w:p>
    <w:p w14:paraId="3FB0075B" w14:textId="77777777" w:rsidR="003E5E70" w:rsidRDefault="00000000">
      <w:pPr>
        <w:pStyle w:val="ListBullet"/>
        <w:spacing w:before="20" w:after="40" w:line="264" w:lineRule="auto"/>
        <w:ind w:left="403"/>
      </w:pPr>
      <w:r>
        <w:rPr>
          <w:b/>
          <w:sz w:val="21"/>
        </w:rPr>
        <w:t>Simple</w:t>
      </w:r>
      <w:r>
        <w:rPr>
          <w:sz w:val="21"/>
        </w:rPr>
        <w:t xml:space="preserve"> — the assets and how they were acquired: a homogeneous pool, sound and consistent underwriting, a true sale, no re-securitisation.</w:t>
      </w:r>
    </w:p>
    <w:p w14:paraId="5F17031A" w14:textId="77777777" w:rsidR="003E5E70" w:rsidRDefault="00000000">
      <w:pPr>
        <w:pStyle w:val="ListBullet"/>
        <w:spacing w:before="20" w:after="40" w:line="264" w:lineRule="auto"/>
        <w:ind w:left="403"/>
      </w:pPr>
      <w:r>
        <w:rPr>
          <w:b/>
          <w:sz w:val="21"/>
        </w:rPr>
        <w:t>Transparent</w:t>
      </w:r>
      <w:r>
        <w:rPr>
          <w:sz w:val="21"/>
        </w:rPr>
        <w:t xml:space="preserve"> — the structure and its disclosure: a clear payment waterfall, hedged mismatches, full documentation and data made available to investors before and after pricing.</w:t>
      </w:r>
    </w:p>
    <w:p w14:paraId="10DEDC82" w14:textId="77777777" w:rsidR="003E5E70" w:rsidRDefault="00000000">
      <w:pPr>
        <w:pStyle w:val="ListBullet"/>
        <w:spacing w:before="20" w:after="40" w:line="264" w:lineRule="auto"/>
        <w:ind w:left="403"/>
      </w:pPr>
      <w:r>
        <w:rPr>
          <w:b/>
          <w:sz w:val="21"/>
        </w:rPr>
        <w:t>Comparable</w:t>
      </w:r>
      <w:r>
        <w:rPr>
          <w:sz w:val="21"/>
        </w:rPr>
        <w:t xml:space="preserve"> — the parties and their duties: an experienced servicer, clearly defined roles, and consistent definitions so that deals can be compared on a like-for-like basis.</w:t>
      </w:r>
    </w:p>
    <w:p w14:paraId="50BE1575" w14:textId="77777777" w:rsidR="003E5E70" w:rsidRDefault="00000000">
      <w:pPr>
        <w:spacing w:before="40" w:after="100" w:line="269" w:lineRule="auto"/>
      </w:pPr>
      <w:r>
        <w:rPr>
          <w:color w:val="1A1A1A"/>
          <w:sz w:val="21"/>
        </w:rPr>
        <w:t xml:space="preserve">The single most important point for capital purposes is what STC does </w:t>
      </w:r>
      <w:r>
        <w:rPr>
          <w:b/>
          <w:color w:val="1A1A1A"/>
          <w:sz w:val="21"/>
        </w:rPr>
        <w:t>not</w:t>
      </w:r>
      <w:r>
        <w:rPr>
          <w:color w:val="1A1A1A"/>
          <w:sz w:val="21"/>
        </w:rPr>
        <w:t xml:space="preserve"> mean. It is not a credit-quality grade. It does not say the pool will not lose money. A pool of higher-risk loans can in principle be </w:t>
      </w:r>
      <w:r>
        <w:rPr>
          <w:color w:val="1A1A1A"/>
          <w:sz w:val="21"/>
        </w:rPr>
        <w:lastRenderedPageBreak/>
        <w:t>STC if the structure wrapping it is simple and transparent; conversely a low-risk pool in an opaque, actively-managed structure cannot be.</w:t>
      </w:r>
    </w:p>
    <w:tbl>
      <w:tblPr>
        <w:tblStyle w:val="TableGrid"/>
        <w:tblW w:w="0" w:type="auto"/>
        <w:jc w:val="center"/>
        <w:tblLook w:val="04A0" w:firstRow="1" w:lastRow="0" w:firstColumn="1" w:lastColumn="0" w:noHBand="0" w:noVBand="1"/>
      </w:tblPr>
      <w:tblGrid>
        <w:gridCol w:w="1800"/>
        <w:gridCol w:w="3816"/>
        <w:gridCol w:w="3816"/>
      </w:tblGrid>
      <w:tr w:rsidR="003E5E70" w14:paraId="48CBA3D2" w14:textId="77777777">
        <w:trPr>
          <w:jc w:val="center"/>
        </w:trPr>
        <w:tc>
          <w:tcPr>
            <w:tcW w:w="1800" w:type="dxa"/>
            <w:shd w:val="clear" w:color="auto" w:fill="0E2C4B"/>
          </w:tcPr>
          <w:p w14:paraId="274A061E" w14:textId="77777777" w:rsidR="003E5E70" w:rsidRDefault="00000000">
            <w:pPr>
              <w:spacing w:before="40" w:after="40"/>
            </w:pPr>
            <w:r>
              <w:rPr>
                <w:b/>
                <w:color w:val="FFFFFF"/>
                <w:sz w:val="18"/>
              </w:rPr>
              <w:t>Dimension</w:t>
            </w:r>
          </w:p>
        </w:tc>
        <w:tc>
          <w:tcPr>
            <w:tcW w:w="3816" w:type="dxa"/>
            <w:shd w:val="clear" w:color="auto" w:fill="0E2C4B"/>
          </w:tcPr>
          <w:p w14:paraId="5DD973DB" w14:textId="77777777" w:rsidR="003E5E70" w:rsidRDefault="00000000">
            <w:pPr>
              <w:spacing w:before="40" w:after="40"/>
            </w:pPr>
            <w:r>
              <w:rPr>
                <w:b/>
                <w:color w:val="FFFFFF"/>
                <w:sz w:val="18"/>
              </w:rPr>
              <w:t>A top credit rating (pre-2008 model)</w:t>
            </w:r>
          </w:p>
        </w:tc>
        <w:tc>
          <w:tcPr>
            <w:tcW w:w="3816" w:type="dxa"/>
            <w:shd w:val="clear" w:color="auto" w:fill="0E2C4B"/>
          </w:tcPr>
          <w:p w14:paraId="7A3E72EB" w14:textId="77777777" w:rsidR="003E5E70" w:rsidRDefault="00000000">
            <w:pPr>
              <w:spacing w:before="40" w:after="40"/>
            </w:pPr>
            <w:r>
              <w:rPr>
                <w:b/>
                <w:color w:val="FFFFFF"/>
                <w:sz w:val="18"/>
              </w:rPr>
              <w:t>The STC label</w:t>
            </w:r>
          </w:p>
        </w:tc>
      </w:tr>
      <w:tr w:rsidR="003E5E70" w14:paraId="0A9AE9FC" w14:textId="77777777">
        <w:trPr>
          <w:jc w:val="center"/>
        </w:trPr>
        <w:tc>
          <w:tcPr>
            <w:tcW w:w="1800" w:type="dxa"/>
            <w:shd w:val="clear" w:color="auto" w:fill="F2F2F2"/>
          </w:tcPr>
          <w:p w14:paraId="47589245" w14:textId="77777777" w:rsidR="003E5E70" w:rsidRDefault="00000000">
            <w:pPr>
              <w:spacing w:before="40" w:after="40"/>
            </w:pPr>
            <w:r>
              <w:rPr>
                <w:color w:val="1A1A1A"/>
                <w:sz w:val="17"/>
              </w:rPr>
              <w:t>What it asserts</w:t>
            </w:r>
          </w:p>
        </w:tc>
        <w:tc>
          <w:tcPr>
            <w:tcW w:w="3816" w:type="dxa"/>
            <w:shd w:val="clear" w:color="auto" w:fill="F2F2F2"/>
          </w:tcPr>
          <w:p w14:paraId="2BF038E2" w14:textId="77777777" w:rsidR="003E5E70" w:rsidRDefault="00000000">
            <w:pPr>
              <w:spacing w:before="40" w:after="40"/>
            </w:pPr>
            <w:r>
              <w:rPr>
                <w:color w:val="1A1A1A"/>
                <w:sz w:val="17"/>
              </w:rPr>
              <w:t>An opinion on credit risk — 'this will probably not default'</w:t>
            </w:r>
          </w:p>
        </w:tc>
        <w:tc>
          <w:tcPr>
            <w:tcW w:w="3816" w:type="dxa"/>
            <w:shd w:val="clear" w:color="auto" w:fill="F2F2F2"/>
          </w:tcPr>
          <w:p w14:paraId="39C30B72" w14:textId="77777777" w:rsidR="003E5E70" w:rsidRDefault="00000000">
            <w:pPr>
              <w:spacing w:before="40" w:after="40"/>
            </w:pPr>
            <w:r>
              <w:rPr>
                <w:color w:val="1A1A1A"/>
                <w:sz w:val="17"/>
              </w:rPr>
              <w:t>A fact about structure — 'this deal is simple and transparent'</w:t>
            </w:r>
          </w:p>
        </w:tc>
      </w:tr>
      <w:tr w:rsidR="003E5E70" w14:paraId="257D04BC" w14:textId="77777777">
        <w:trPr>
          <w:jc w:val="center"/>
        </w:trPr>
        <w:tc>
          <w:tcPr>
            <w:tcW w:w="1800" w:type="dxa"/>
            <w:shd w:val="clear" w:color="auto" w:fill="FFFFFF"/>
          </w:tcPr>
          <w:p w14:paraId="740F2CA7" w14:textId="77777777" w:rsidR="003E5E70" w:rsidRDefault="00000000">
            <w:pPr>
              <w:spacing w:before="40" w:after="40"/>
            </w:pPr>
            <w:r>
              <w:rPr>
                <w:color w:val="1A1A1A"/>
                <w:sz w:val="17"/>
              </w:rPr>
              <w:t>Basis</w:t>
            </w:r>
          </w:p>
        </w:tc>
        <w:tc>
          <w:tcPr>
            <w:tcW w:w="3816" w:type="dxa"/>
            <w:shd w:val="clear" w:color="auto" w:fill="FFFFFF"/>
          </w:tcPr>
          <w:p w14:paraId="05310725" w14:textId="77777777" w:rsidR="003E5E70" w:rsidRDefault="00000000">
            <w:pPr>
              <w:spacing w:before="40" w:after="40"/>
            </w:pPr>
            <w:r>
              <w:rPr>
                <w:color w:val="1A1A1A"/>
                <w:sz w:val="17"/>
              </w:rPr>
              <w:t>A rating agency's model and judgement</w:t>
            </w:r>
          </w:p>
        </w:tc>
        <w:tc>
          <w:tcPr>
            <w:tcW w:w="3816" w:type="dxa"/>
            <w:shd w:val="clear" w:color="auto" w:fill="FFFFFF"/>
          </w:tcPr>
          <w:p w14:paraId="44EBCF50" w14:textId="77777777" w:rsidR="003E5E70" w:rsidRDefault="00000000">
            <w:pPr>
              <w:spacing w:before="40" w:after="40"/>
            </w:pPr>
            <w:r>
              <w:rPr>
                <w:color w:val="1A1A1A"/>
                <w:sz w:val="17"/>
              </w:rPr>
              <w:t>Objective, mostly binary criteria the holder can verify</w:t>
            </w:r>
          </w:p>
        </w:tc>
      </w:tr>
      <w:tr w:rsidR="003E5E70" w14:paraId="196B48D4" w14:textId="77777777">
        <w:trPr>
          <w:jc w:val="center"/>
        </w:trPr>
        <w:tc>
          <w:tcPr>
            <w:tcW w:w="1800" w:type="dxa"/>
            <w:shd w:val="clear" w:color="auto" w:fill="F2F2F2"/>
          </w:tcPr>
          <w:p w14:paraId="482B5D83" w14:textId="77777777" w:rsidR="003E5E70" w:rsidRDefault="00000000">
            <w:pPr>
              <w:spacing w:before="40" w:after="40"/>
            </w:pPr>
            <w:r>
              <w:rPr>
                <w:color w:val="1A1A1A"/>
                <w:sz w:val="17"/>
              </w:rPr>
              <w:t>Who stands behind it</w:t>
            </w:r>
          </w:p>
        </w:tc>
        <w:tc>
          <w:tcPr>
            <w:tcW w:w="3816" w:type="dxa"/>
            <w:shd w:val="clear" w:color="auto" w:fill="F2F2F2"/>
          </w:tcPr>
          <w:p w14:paraId="42AF53CA" w14:textId="77777777" w:rsidR="003E5E70" w:rsidRDefault="00000000">
            <w:pPr>
              <w:spacing w:before="40" w:after="40"/>
            </w:pPr>
            <w:r>
              <w:rPr>
                <w:color w:val="1A1A1A"/>
                <w:sz w:val="17"/>
              </w:rPr>
              <w:t>An agency that disclaims liability for its opinion</w:t>
            </w:r>
          </w:p>
        </w:tc>
        <w:tc>
          <w:tcPr>
            <w:tcW w:w="3816" w:type="dxa"/>
            <w:shd w:val="clear" w:color="auto" w:fill="F2F2F2"/>
          </w:tcPr>
          <w:p w14:paraId="5B2E471F" w14:textId="77777777" w:rsidR="003E5E70" w:rsidRDefault="00000000">
            <w:pPr>
              <w:spacing w:before="40" w:after="40"/>
            </w:pPr>
            <w:r>
              <w:rPr>
                <w:color w:val="1A1A1A"/>
                <w:sz w:val="17"/>
              </w:rPr>
              <w:t>The originator/sponsor attests; the holder must independently verify</w:t>
            </w:r>
          </w:p>
        </w:tc>
      </w:tr>
      <w:tr w:rsidR="003E5E70" w14:paraId="5B4DF6BA" w14:textId="77777777">
        <w:trPr>
          <w:jc w:val="center"/>
        </w:trPr>
        <w:tc>
          <w:tcPr>
            <w:tcW w:w="1800" w:type="dxa"/>
            <w:shd w:val="clear" w:color="auto" w:fill="FFFFFF"/>
          </w:tcPr>
          <w:p w14:paraId="43D5BB51" w14:textId="77777777" w:rsidR="003E5E70" w:rsidRDefault="00000000">
            <w:pPr>
              <w:spacing w:before="40" w:after="40"/>
            </w:pPr>
            <w:r>
              <w:rPr>
                <w:color w:val="1A1A1A"/>
                <w:sz w:val="17"/>
              </w:rPr>
              <w:t>Re-securitisations</w:t>
            </w:r>
          </w:p>
        </w:tc>
        <w:tc>
          <w:tcPr>
            <w:tcW w:w="3816" w:type="dxa"/>
            <w:shd w:val="clear" w:color="auto" w:fill="FFFFFF"/>
          </w:tcPr>
          <w:p w14:paraId="797FE525" w14:textId="77777777" w:rsidR="003E5E70" w:rsidRDefault="00000000">
            <w:pPr>
              <w:spacing w:before="40" w:after="40"/>
            </w:pPr>
            <w:r>
              <w:rPr>
                <w:color w:val="1A1A1A"/>
                <w:sz w:val="17"/>
              </w:rPr>
              <w:t>Could be repackaged and re-rated upward</w:t>
            </w:r>
          </w:p>
        </w:tc>
        <w:tc>
          <w:tcPr>
            <w:tcW w:w="3816" w:type="dxa"/>
            <w:shd w:val="clear" w:color="auto" w:fill="FFFFFF"/>
          </w:tcPr>
          <w:p w14:paraId="3A86AAA9" w14:textId="77777777" w:rsidR="003E5E70" w:rsidRDefault="00000000">
            <w:pPr>
              <w:spacing w:before="40" w:after="40"/>
            </w:pPr>
            <w:r>
              <w:rPr>
                <w:color w:val="1A1A1A"/>
                <w:sz w:val="17"/>
              </w:rPr>
              <w:t>Excluded by definition — a re-securitisation can never be STC</w:t>
            </w:r>
          </w:p>
        </w:tc>
      </w:tr>
      <w:tr w:rsidR="003E5E70" w14:paraId="4289E395" w14:textId="77777777">
        <w:trPr>
          <w:jc w:val="center"/>
        </w:trPr>
        <w:tc>
          <w:tcPr>
            <w:tcW w:w="1800" w:type="dxa"/>
            <w:shd w:val="clear" w:color="auto" w:fill="F2F2F2"/>
          </w:tcPr>
          <w:p w14:paraId="58FF1589" w14:textId="77777777" w:rsidR="003E5E70" w:rsidRDefault="00000000">
            <w:pPr>
              <w:spacing w:before="40" w:after="40"/>
            </w:pPr>
            <w:r>
              <w:rPr>
                <w:color w:val="1A1A1A"/>
                <w:sz w:val="17"/>
              </w:rPr>
              <w:t>Size of the capital effect</w:t>
            </w:r>
          </w:p>
        </w:tc>
        <w:tc>
          <w:tcPr>
            <w:tcW w:w="3816" w:type="dxa"/>
            <w:shd w:val="clear" w:color="auto" w:fill="F2F2F2"/>
          </w:tcPr>
          <w:p w14:paraId="4CEA0C0D" w14:textId="77777777" w:rsidR="003E5E70" w:rsidRDefault="00000000">
            <w:pPr>
              <w:spacing w:before="40" w:after="40"/>
            </w:pPr>
            <w:r>
              <w:rPr>
                <w:color w:val="1A1A1A"/>
                <w:sz w:val="17"/>
              </w:rPr>
              <w:t>Cliff-edge: unlocked very large leverage</w:t>
            </w:r>
          </w:p>
        </w:tc>
        <w:tc>
          <w:tcPr>
            <w:tcW w:w="3816" w:type="dxa"/>
            <w:shd w:val="clear" w:color="auto" w:fill="F2F2F2"/>
          </w:tcPr>
          <w:p w14:paraId="49DD1C0C" w14:textId="77777777" w:rsidR="003E5E70" w:rsidRDefault="00000000">
            <w:pPr>
              <w:spacing w:before="40" w:after="40"/>
            </w:pPr>
            <w:r>
              <w:rPr>
                <w:color w:val="1A1A1A"/>
                <w:sz w:val="17"/>
              </w:rPr>
              <w:t>Modest and bounded: a floor of 10% rather than 15%, not zero</w:t>
            </w:r>
          </w:p>
        </w:tc>
      </w:tr>
    </w:tbl>
    <w:p w14:paraId="3EECA232" w14:textId="77777777" w:rsidR="003E5E70" w:rsidRDefault="00000000">
      <w:pPr>
        <w:spacing w:before="60"/>
      </w:pPr>
      <w:r>
        <w:rPr>
          <w:b/>
          <w:color w:val="0E2C4B"/>
          <w:sz w:val="17"/>
        </w:rPr>
        <w:t xml:space="preserve">Exhibit 2.  </w:t>
      </w:r>
      <w:r>
        <w:rPr>
          <w:i/>
          <w:color w:val="555555"/>
          <w:sz w:val="17"/>
        </w:rPr>
        <w:t>STC is a structural label, not a risk rating. The design deliberately avoids the gameable, cliff-edge properties of pre-crisis ratings reliance.</w:t>
      </w:r>
    </w:p>
    <w:p w14:paraId="1717348E" w14:textId="77777777" w:rsidR="003E5E70" w:rsidRDefault="00000000">
      <w:pPr>
        <w:keepNext/>
        <w:pBdr>
          <w:bottom w:val="single" w:sz="10" w:space="4" w:color="0E2C4B"/>
        </w:pBdr>
        <w:spacing w:before="400" w:after="140"/>
      </w:pPr>
      <w:r>
        <w:rPr>
          <w:b/>
          <w:color w:val="0E2C4B"/>
          <w:sz w:val="32"/>
        </w:rPr>
        <w:t>3.  Regulatory Regime — Where STC Applies</w:t>
      </w:r>
    </w:p>
    <w:p w14:paraId="7047DDA3" w14:textId="77777777" w:rsidR="003E5E70" w:rsidRDefault="00000000">
      <w:pPr>
        <w:spacing w:before="40" w:after="100" w:line="269" w:lineRule="auto"/>
      </w:pPr>
      <w:r>
        <w:rPr>
          <w:color w:val="1A1A1A"/>
          <w:sz w:val="21"/>
        </w:rPr>
        <w:t xml:space="preserve">STC originates in the global banking-book securitisation framework and is </w:t>
      </w:r>
      <w:r>
        <w:rPr>
          <w:b/>
          <w:color w:val="1A1A1A"/>
          <w:sz w:val="21"/>
        </w:rPr>
        <w:t>imported into the trading book</w:t>
      </w:r>
      <w:r>
        <w:rPr>
          <w:color w:val="1A1A1A"/>
          <w:sz w:val="21"/>
        </w:rPr>
        <w:t xml:space="preserve"> by the FRTB Default Risk Charge: the DRC securitisation treatment applies the banking-book securitisation risk weights, including their STC variants. It makes one deliberate modification — the </w:t>
      </w:r>
      <w:r>
        <w:rPr>
          <w:b/>
          <w:color w:val="1A1A1A"/>
          <w:sz w:val="21"/>
        </w:rPr>
        <w:t>maturity parameter in the risk-weight calculation is set to one year for every tranche</w:t>
      </w:r>
      <w:r>
        <w:rPr>
          <w:color w:val="1A1A1A"/>
          <w:sz w:val="21"/>
        </w:rPr>
        <w:t>, regardless of each tranche's actual remaining maturity. This is a regulatory override, not an assumption about tenor: it stops the maturity and migration risk already captured by the credit-spread-risk securitisation charge from being counted a second time in the DRC. The engine in this programme implements that Basel framework — which is why STC is in scope for it.</w:t>
      </w:r>
    </w:p>
    <w:p w14:paraId="100E9CF2" w14:textId="77777777" w:rsidR="003E5E70" w:rsidRDefault="00000000">
      <w:pPr>
        <w:spacing w:before="40" w:after="100" w:line="269" w:lineRule="auto"/>
      </w:pPr>
      <w:r>
        <w:rPr>
          <w:color w:val="1A1A1A"/>
          <w:sz w:val="21"/>
        </w:rPr>
        <w:t xml:space="preserve">Whether an institution can actually use the STC treatment depends on the </w:t>
      </w:r>
      <w:r>
        <w:rPr>
          <w:b/>
          <w:color w:val="1A1A1A"/>
          <w:sz w:val="21"/>
        </w:rPr>
        <w:t>supervisory regime</w:t>
      </w:r>
      <w:r>
        <w:rPr>
          <w:color w:val="1A1A1A"/>
          <w:sz w:val="21"/>
        </w:rPr>
        <w:t xml:space="preserve"> under which it reports, not on the currency in which the notes are denominated. STC eligibility is a property of the deal's structure and of the rulebook the holding bank is subject to; a US-dollar-denominated deal is no less and no more STC-capable than a sterling one.</w:t>
      </w:r>
    </w:p>
    <w:tbl>
      <w:tblPr>
        <w:tblStyle w:val="TableGrid"/>
        <w:tblW w:w="0" w:type="auto"/>
        <w:jc w:val="center"/>
        <w:tblLook w:val="04A0" w:firstRow="1" w:lastRow="0" w:firstColumn="1" w:lastColumn="0" w:noHBand="0" w:noVBand="1"/>
      </w:tblPr>
      <w:tblGrid>
        <w:gridCol w:w="2160"/>
        <w:gridCol w:w="4176"/>
        <w:gridCol w:w="3168"/>
      </w:tblGrid>
      <w:tr w:rsidR="003E5E70" w14:paraId="684A8FCC" w14:textId="77777777">
        <w:trPr>
          <w:jc w:val="center"/>
        </w:trPr>
        <w:tc>
          <w:tcPr>
            <w:tcW w:w="2160" w:type="dxa"/>
            <w:shd w:val="clear" w:color="auto" w:fill="0E2C4B"/>
          </w:tcPr>
          <w:p w14:paraId="1BA7A497" w14:textId="77777777" w:rsidR="003E5E70" w:rsidRDefault="00000000">
            <w:pPr>
              <w:spacing w:before="40" w:after="40"/>
            </w:pPr>
            <w:r>
              <w:rPr>
                <w:b/>
                <w:color w:val="FFFFFF"/>
                <w:sz w:val="18"/>
              </w:rPr>
              <w:t>Regime</w:t>
            </w:r>
          </w:p>
        </w:tc>
        <w:tc>
          <w:tcPr>
            <w:tcW w:w="4176" w:type="dxa"/>
            <w:shd w:val="clear" w:color="auto" w:fill="0E2C4B"/>
          </w:tcPr>
          <w:p w14:paraId="096202EF" w14:textId="77777777" w:rsidR="003E5E70" w:rsidRDefault="00000000">
            <w:pPr>
              <w:spacing w:before="40" w:after="40"/>
            </w:pPr>
            <w:r>
              <w:rPr>
                <w:b/>
                <w:color w:val="FFFFFF"/>
                <w:sz w:val="18"/>
              </w:rPr>
              <w:t>STC / equivalent</w:t>
            </w:r>
          </w:p>
        </w:tc>
        <w:tc>
          <w:tcPr>
            <w:tcW w:w="3168" w:type="dxa"/>
            <w:shd w:val="clear" w:color="auto" w:fill="0E2C4B"/>
          </w:tcPr>
          <w:p w14:paraId="101748A5" w14:textId="77777777" w:rsidR="003E5E70" w:rsidRDefault="00000000">
            <w:pPr>
              <w:spacing w:before="40" w:after="40"/>
            </w:pPr>
            <w:r>
              <w:rPr>
                <w:b/>
                <w:color w:val="FFFFFF"/>
                <w:sz w:val="18"/>
              </w:rPr>
              <w:t>Status for this engine</w:t>
            </w:r>
          </w:p>
        </w:tc>
      </w:tr>
      <w:tr w:rsidR="003E5E70" w14:paraId="41173F61" w14:textId="77777777">
        <w:trPr>
          <w:jc w:val="center"/>
        </w:trPr>
        <w:tc>
          <w:tcPr>
            <w:tcW w:w="2160" w:type="dxa"/>
            <w:shd w:val="clear" w:color="auto" w:fill="F2F2F2"/>
          </w:tcPr>
          <w:p w14:paraId="0F7B653F" w14:textId="77777777" w:rsidR="003E5E70" w:rsidRDefault="00000000">
            <w:pPr>
              <w:spacing w:before="40" w:after="40"/>
            </w:pPr>
            <w:r>
              <w:rPr>
                <w:color w:val="1A1A1A"/>
                <w:sz w:val="17"/>
              </w:rPr>
              <w:t>Basel framework (global standard)</w:t>
            </w:r>
          </w:p>
        </w:tc>
        <w:tc>
          <w:tcPr>
            <w:tcW w:w="4176" w:type="dxa"/>
            <w:shd w:val="clear" w:color="auto" w:fill="F2F2F2"/>
          </w:tcPr>
          <w:p w14:paraId="0BE7D717" w14:textId="77777777" w:rsidR="003E5E70" w:rsidRDefault="00000000">
            <w:pPr>
              <w:spacing w:before="40" w:after="40"/>
            </w:pPr>
            <w:r>
              <w:rPr>
                <w:color w:val="1A1A1A"/>
                <w:sz w:val="17"/>
              </w:rPr>
              <w:t>STC is part of the consolidated securitisation standards; FRTB imports it into DRC</w:t>
            </w:r>
          </w:p>
        </w:tc>
        <w:tc>
          <w:tcPr>
            <w:tcW w:w="3168" w:type="dxa"/>
            <w:shd w:val="clear" w:color="auto" w:fill="F2F2F2"/>
          </w:tcPr>
          <w:p w14:paraId="58333F7B" w14:textId="77777777" w:rsidR="003E5E70" w:rsidRDefault="00000000">
            <w:pPr>
              <w:spacing w:before="40" w:after="40"/>
            </w:pPr>
            <w:r>
              <w:rPr>
                <w:color w:val="1A1A1A"/>
                <w:sz w:val="17"/>
              </w:rPr>
              <w:t>Implemented — this engine follows the Basel standards</w:t>
            </w:r>
          </w:p>
        </w:tc>
      </w:tr>
      <w:tr w:rsidR="003E5E70" w14:paraId="3700B1E2" w14:textId="77777777">
        <w:trPr>
          <w:jc w:val="center"/>
        </w:trPr>
        <w:tc>
          <w:tcPr>
            <w:tcW w:w="2160" w:type="dxa"/>
            <w:shd w:val="clear" w:color="auto" w:fill="FFFFFF"/>
          </w:tcPr>
          <w:p w14:paraId="33E74315" w14:textId="77777777" w:rsidR="003E5E70" w:rsidRDefault="00000000">
            <w:pPr>
              <w:spacing w:before="40" w:after="40"/>
            </w:pPr>
            <w:r>
              <w:rPr>
                <w:color w:val="1A1A1A"/>
                <w:sz w:val="17"/>
              </w:rPr>
              <w:t>European Union</w:t>
            </w:r>
          </w:p>
        </w:tc>
        <w:tc>
          <w:tcPr>
            <w:tcW w:w="4176" w:type="dxa"/>
            <w:shd w:val="clear" w:color="auto" w:fill="FFFFFF"/>
          </w:tcPr>
          <w:p w14:paraId="4A05441C" w14:textId="77777777" w:rsidR="003E5E70" w:rsidRDefault="00000000">
            <w:pPr>
              <w:spacing w:before="40" w:after="40"/>
            </w:pPr>
            <w:r>
              <w:rPr>
                <w:color w:val="1A1A1A"/>
                <w:sz w:val="17"/>
              </w:rPr>
              <w:t>'STS' label under the EU Securitisation Regulation — the EU's codification of STC</w:t>
            </w:r>
          </w:p>
        </w:tc>
        <w:tc>
          <w:tcPr>
            <w:tcW w:w="3168" w:type="dxa"/>
            <w:shd w:val="clear" w:color="auto" w:fill="FFFFFF"/>
          </w:tcPr>
          <w:p w14:paraId="4712CAF3" w14:textId="77777777" w:rsidR="003E5E70" w:rsidRDefault="00000000">
            <w:pPr>
              <w:spacing w:before="40" w:after="40"/>
            </w:pPr>
            <w:r>
              <w:rPr>
                <w:color w:val="1A1A1A"/>
                <w:sz w:val="17"/>
              </w:rPr>
              <w:t>Equivalent regime; same economic effect</w:t>
            </w:r>
          </w:p>
        </w:tc>
      </w:tr>
      <w:tr w:rsidR="003E5E70" w14:paraId="7E16141E" w14:textId="77777777">
        <w:trPr>
          <w:jc w:val="center"/>
        </w:trPr>
        <w:tc>
          <w:tcPr>
            <w:tcW w:w="2160" w:type="dxa"/>
            <w:shd w:val="clear" w:color="auto" w:fill="F2F2F2"/>
          </w:tcPr>
          <w:p w14:paraId="30B4EA44" w14:textId="77777777" w:rsidR="003E5E70" w:rsidRDefault="00000000">
            <w:pPr>
              <w:spacing w:before="40" w:after="40"/>
            </w:pPr>
            <w:r>
              <w:rPr>
                <w:color w:val="1A1A1A"/>
                <w:sz w:val="17"/>
              </w:rPr>
              <w:t>United Kingdom</w:t>
            </w:r>
          </w:p>
        </w:tc>
        <w:tc>
          <w:tcPr>
            <w:tcW w:w="4176" w:type="dxa"/>
            <w:shd w:val="clear" w:color="auto" w:fill="F2F2F2"/>
          </w:tcPr>
          <w:p w14:paraId="278C1144" w14:textId="77777777" w:rsidR="003E5E70" w:rsidRDefault="00000000">
            <w:pPr>
              <w:spacing w:before="40" w:after="40"/>
            </w:pPr>
            <w:r>
              <w:rPr>
                <w:color w:val="1A1A1A"/>
                <w:sz w:val="17"/>
              </w:rPr>
              <w:t>Retained 'STS' framework post-EU-exit, supervised by the PRA / FCA</w:t>
            </w:r>
          </w:p>
        </w:tc>
        <w:tc>
          <w:tcPr>
            <w:tcW w:w="3168" w:type="dxa"/>
            <w:shd w:val="clear" w:color="auto" w:fill="F2F2F2"/>
          </w:tcPr>
          <w:p w14:paraId="437F1A05" w14:textId="77777777" w:rsidR="003E5E70" w:rsidRDefault="00000000">
            <w:pPr>
              <w:spacing w:before="40" w:after="40"/>
            </w:pPr>
            <w:r>
              <w:rPr>
                <w:color w:val="1A1A1A"/>
                <w:sz w:val="17"/>
              </w:rPr>
              <w:t>Equivalent regime</w:t>
            </w:r>
          </w:p>
        </w:tc>
      </w:tr>
      <w:tr w:rsidR="003E5E70" w14:paraId="5349E571" w14:textId="77777777">
        <w:trPr>
          <w:jc w:val="center"/>
        </w:trPr>
        <w:tc>
          <w:tcPr>
            <w:tcW w:w="2160" w:type="dxa"/>
            <w:shd w:val="clear" w:color="auto" w:fill="FFFFFF"/>
          </w:tcPr>
          <w:p w14:paraId="300ECF17" w14:textId="77777777" w:rsidR="003E5E70" w:rsidRDefault="00000000">
            <w:pPr>
              <w:spacing w:before="40" w:after="40"/>
            </w:pPr>
            <w:r>
              <w:rPr>
                <w:color w:val="1A1A1A"/>
                <w:sz w:val="17"/>
              </w:rPr>
              <w:t>United States</w:t>
            </w:r>
          </w:p>
        </w:tc>
        <w:tc>
          <w:tcPr>
            <w:tcW w:w="4176" w:type="dxa"/>
            <w:shd w:val="clear" w:color="auto" w:fill="FFFFFF"/>
          </w:tcPr>
          <w:p w14:paraId="432B7980" w14:textId="77777777" w:rsidR="003E5E70" w:rsidRDefault="00000000">
            <w:pPr>
              <w:spacing w:before="40" w:after="40"/>
            </w:pPr>
            <w:r>
              <w:rPr>
                <w:color w:val="1A1A1A"/>
                <w:sz w:val="17"/>
              </w:rPr>
              <w:t>Did not adopt the STC preferential treatment; ratings-based securitisation approaches are not used (statutory removal of ratings reliance)</w:t>
            </w:r>
          </w:p>
        </w:tc>
        <w:tc>
          <w:tcPr>
            <w:tcW w:w="3168" w:type="dxa"/>
            <w:shd w:val="clear" w:color="auto" w:fill="FFFFFF"/>
          </w:tcPr>
          <w:p w14:paraId="75E0FCA9" w14:textId="77777777" w:rsidR="003E5E70" w:rsidRDefault="00000000">
            <w:pPr>
              <w:spacing w:before="40" w:after="40"/>
            </w:pPr>
            <w:r>
              <w:rPr>
                <w:color w:val="1A1A1A"/>
                <w:sz w:val="17"/>
              </w:rPr>
              <w:t>Out of scope — a different rulebook, not reachable by a currency setting</w:t>
            </w:r>
          </w:p>
        </w:tc>
      </w:tr>
    </w:tbl>
    <w:p w14:paraId="54F3F83E" w14:textId="77777777" w:rsidR="003E5E70" w:rsidRDefault="00000000">
      <w:pPr>
        <w:spacing w:before="60"/>
      </w:pPr>
      <w:r>
        <w:rPr>
          <w:b/>
          <w:color w:val="0E2C4B"/>
          <w:sz w:val="17"/>
        </w:rPr>
        <w:t xml:space="preserve">Exhibit 3.  </w:t>
      </w:r>
      <w:r>
        <w:rPr>
          <w:i/>
          <w:color w:val="555555"/>
          <w:sz w:val="17"/>
        </w:rPr>
        <w:t>STC across the major regimes. The engine targets the Basel framework; STC is therefore available and meaningful within it.</w:t>
      </w:r>
    </w:p>
    <w:p w14:paraId="2E873459" w14:textId="77777777" w:rsidR="003E5E70" w:rsidRDefault="00000000">
      <w:pPr>
        <w:pBdr>
          <w:left w:val="single" w:sz="18" w:space="4" w:color="355574"/>
        </w:pBdr>
        <w:shd w:val="clear" w:color="auto" w:fill="F4F1EA"/>
        <w:spacing w:before="120" w:after="120"/>
        <w:ind w:left="72" w:right="72"/>
      </w:pPr>
      <w:r>
        <w:rPr>
          <w:b/>
          <w:color w:val="355574"/>
          <w:sz w:val="19"/>
        </w:rPr>
        <w:t xml:space="preserve">  SCOPE NOTE   </w:t>
      </w:r>
      <w:r>
        <w:rPr>
          <w:color w:val="2A2A2A"/>
          <w:sz w:val="19"/>
        </w:rPr>
        <w:t xml:space="preserve">Because this engine implements the Basel standards, the STC question for any deal is answered by the </w:t>
      </w:r>
      <w:r>
        <w:rPr>
          <w:b/>
          <w:color w:val="2A2A2A"/>
          <w:sz w:val="19"/>
        </w:rPr>
        <w:t>structural criteria</w:t>
      </w:r>
      <w:r>
        <w:rPr>
          <w:color w:val="2A2A2A"/>
          <w:sz w:val="19"/>
        </w:rPr>
        <w:t xml:space="preserve"> (Appendix A) and the institution's </w:t>
      </w:r>
      <w:r>
        <w:rPr>
          <w:b/>
          <w:color w:val="2A2A2A"/>
          <w:sz w:val="19"/>
        </w:rPr>
        <w:t>due diligence</w:t>
      </w:r>
      <w:r>
        <w:rPr>
          <w:color w:val="2A2A2A"/>
          <w:sz w:val="19"/>
        </w:rPr>
        <w:t xml:space="preserve"> — not by the deal's jurisdiction of issue or its currency.</w:t>
      </w:r>
    </w:p>
    <w:p w14:paraId="13EFFB4C" w14:textId="77777777" w:rsidR="003E5E70" w:rsidRDefault="00000000">
      <w:pPr>
        <w:keepNext/>
        <w:pBdr>
          <w:bottom w:val="single" w:sz="10" w:space="4" w:color="0E2C4B"/>
        </w:pBdr>
        <w:spacing w:before="400" w:after="140"/>
      </w:pPr>
      <w:r>
        <w:rPr>
          <w:b/>
          <w:color w:val="0E2C4B"/>
          <w:sz w:val="32"/>
        </w:rPr>
        <w:lastRenderedPageBreak/>
        <w:t>4.  Which Securitisations Qualify</w:t>
      </w:r>
    </w:p>
    <w:p w14:paraId="78885897" w14:textId="77777777" w:rsidR="003E5E70" w:rsidRDefault="00000000">
      <w:pPr>
        <w:spacing w:before="40" w:after="100" w:line="269" w:lineRule="auto"/>
      </w:pPr>
      <w:r>
        <w:rPr>
          <w:color w:val="1A1A1A"/>
          <w:sz w:val="21"/>
        </w:rPr>
        <w:t xml:space="preserve">STC is available only to </w:t>
      </w:r>
      <w:r>
        <w:rPr>
          <w:b/>
          <w:color w:val="1A1A1A"/>
          <w:sz w:val="21"/>
        </w:rPr>
        <w:t>term securitisations of granular, homogeneous pools</w:t>
      </w:r>
      <w:r>
        <w:rPr>
          <w:color w:val="1A1A1A"/>
          <w:sz w:val="21"/>
        </w:rPr>
        <w:t xml:space="preserve"> that are genuinely simple in structure. A parallel — and separate — set of STC criteria exists for short-term (asset-backed commercial paper) programmes. Some asset classes are structurally incapable of being STC, most importantly because their defining feature is active portfolio management or because the pool is not homogeneous or granular enough.</w:t>
      </w:r>
    </w:p>
    <w:tbl>
      <w:tblPr>
        <w:tblStyle w:val="TableGrid"/>
        <w:tblW w:w="0" w:type="auto"/>
        <w:jc w:val="center"/>
        <w:tblLook w:val="04A0" w:firstRow="1" w:lastRow="0" w:firstColumn="1" w:lastColumn="0" w:noHBand="0" w:noVBand="1"/>
      </w:tblPr>
      <w:tblGrid>
        <w:gridCol w:w="2448"/>
        <w:gridCol w:w="1800"/>
        <w:gridCol w:w="5112"/>
      </w:tblGrid>
      <w:tr w:rsidR="003E5E70" w14:paraId="0CFE96B2" w14:textId="77777777">
        <w:trPr>
          <w:jc w:val="center"/>
        </w:trPr>
        <w:tc>
          <w:tcPr>
            <w:tcW w:w="2448" w:type="dxa"/>
            <w:shd w:val="clear" w:color="auto" w:fill="0E2C4B"/>
          </w:tcPr>
          <w:p w14:paraId="21BB8BB9" w14:textId="77777777" w:rsidR="003E5E70" w:rsidRDefault="00000000">
            <w:pPr>
              <w:spacing w:before="40" w:after="40"/>
            </w:pPr>
            <w:r>
              <w:rPr>
                <w:b/>
                <w:color w:val="FFFFFF"/>
                <w:sz w:val="18"/>
              </w:rPr>
              <w:t>Asset class</w:t>
            </w:r>
          </w:p>
        </w:tc>
        <w:tc>
          <w:tcPr>
            <w:tcW w:w="1800" w:type="dxa"/>
            <w:shd w:val="clear" w:color="auto" w:fill="0E2C4B"/>
          </w:tcPr>
          <w:p w14:paraId="32EBFD38" w14:textId="77777777" w:rsidR="003E5E70" w:rsidRDefault="00000000">
            <w:pPr>
              <w:spacing w:before="40" w:after="40"/>
            </w:pPr>
            <w:r>
              <w:rPr>
                <w:b/>
                <w:color w:val="FFFFFF"/>
                <w:sz w:val="18"/>
              </w:rPr>
              <w:t>STC-eligible?</w:t>
            </w:r>
          </w:p>
        </w:tc>
        <w:tc>
          <w:tcPr>
            <w:tcW w:w="5112" w:type="dxa"/>
            <w:shd w:val="clear" w:color="auto" w:fill="0E2C4B"/>
          </w:tcPr>
          <w:p w14:paraId="225E0BFC" w14:textId="77777777" w:rsidR="003E5E70" w:rsidRDefault="00000000">
            <w:pPr>
              <w:spacing w:before="40" w:after="40"/>
            </w:pPr>
            <w:r>
              <w:rPr>
                <w:b/>
                <w:color w:val="FFFFFF"/>
                <w:sz w:val="18"/>
              </w:rPr>
              <w:t>Reason</w:t>
            </w:r>
          </w:p>
        </w:tc>
      </w:tr>
      <w:tr w:rsidR="003E5E70" w14:paraId="3B3DE07B" w14:textId="77777777">
        <w:trPr>
          <w:jc w:val="center"/>
        </w:trPr>
        <w:tc>
          <w:tcPr>
            <w:tcW w:w="2448" w:type="dxa"/>
            <w:shd w:val="clear" w:color="auto" w:fill="F2F2F2"/>
          </w:tcPr>
          <w:p w14:paraId="1DE7DD78" w14:textId="77777777" w:rsidR="003E5E70" w:rsidRDefault="00000000">
            <w:pPr>
              <w:spacing w:before="40" w:after="40"/>
            </w:pPr>
            <w:r>
              <w:rPr>
                <w:color w:val="1A1A1A"/>
                <w:sz w:val="17"/>
              </w:rPr>
              <w:t>Prime RMBS</w:t>
            </w:r>
          </w:p>
        </w:tc>
        <w:tc>
          <w:tcPr>
            <w:tcW w:w="1800" w:type="dxa"/>
            <w:shd w:val="clear" w:color="auto" w:fill="F2F2F2"/>
          </w:tcPr>
          <w:p w14:paraId="6327FDE9" w14:textId="77777777" w:rsidR="003E5E70" w:rsidRDefault="00000000">
            <w:pPr>
              <w:spacing w:before="40" w:after="40"/>
            </w:pPr>
            <w:r>
              <w:rPr>
                <w:color w:val="1A1A1A"/>
                <w:sz w:val="17"/>
              </w:rPr>
              <w:t>Yes</w:t>
            </w:r>
          </w:p>
        </w:tc>
        <w:tc>
          <w:tcPr>
            <w:tcW w:w="5112" w:type="dxa"/>
            <w:shd w:val="clear" w:color="auto" w:fill="F2F2F2"/>
          </w:tcPr>
          <w:p w14:paraId="1044D220" w14:textId="77777777" w:rsidR="003E5E70" w:rsidRDefault="00000000">
            <w:pPr>
              <w:spacing w:before="40" w:after="40"/>
            </w:pPr>
            <w:r>
              <w:rPr>
                <w:color w:val="1A1A1A"/>
                <w:sz w:val="17"/>
              </w:rPr>
              <w:t>Granular, homogeneous residential mortgages — a core STC class</w:t>
            </w:r>
          </w:p>
        </w:tc>
      </w:tr>
      <w:tr w:rsidR="003E5E70" w14:paraId="0DF56E0E" w14:textId="77777777">
        <w:trPr>
          <w:jc w:val="center"/>
        </w:trPr>
        <w:tc>
          <w:tcPr>
            <w:tcW w:w="2448" w:type="dxa"/>
            <w:shd w:val="clear" w:color="auto" w:fill="FFFFFF"/>
          </w:tcPr>
          <w:p w14:paraId="4FD993C4" w14:textId="77777777" w:rsidR="003E5E70" w:rsidRDefault="00000000">
            <w:pPr>
              <w:spacing w:before="40" w:after="40"/>
            </w:pPr>
            <w:r>
              <w:rPr>
                <w:color w:val="1A1A1A"/>
                <w:sz w:val="17"/>
              </w:rPr>
              <w:t>Auto loan / lease ABS</w:t>
            </w:r>
          </w:p>
        </w:tc>
        <w:tc>
          <w:tcPr>
            <w:tcW w:w="1800" w:type="dxa"/>
            <w:shd w:val="clear" w:color="auto" w:fill="FFFFFF"/>
          </w:tcPr>
          <w:p w14:paraId="6906B22C" w14:textId="77777777" w:rsidR="003E5E70" w:rsidRDefault="00000000">
            <w:pPr>
              <w:spacing w:before="40" w:after="40"/>
            </w:pPr>
            <w:r>
              <w:rPr>
                <w:color w:val="1A1A1A"/>
                <w:sz w:val="17"/>
              </w:rPr>
              <w:t>Yes</w:t>
            </w:r>
          </w:p>
        </w:tc>
        <w:tc>
          <w:tcPr>
            <w:tcW w:w="5112" w:type="dxa"/>
            <w:shd w:val="clear" w:color="auto" w:fill="FFFFFF"/>
          </w:tcPr>
          <w:p w14:paraId="40EE385F" w14:textId="77777777" w:rsidR="003E5E70" w:rsidRDefault="00000000">
            <w:pPr>
              <w:spacing w:before="40" w:after="40"/>
            </w:pPr>
            <w:r>
              <w:rPr>
                <w:color w:val="1A1A1A"/>
                <w:sz w:val="17"/>
              </w:rPr>
              <w:t>Granular, homogeneous, short-dated retail pool — a core STC class</w:t>
            </w:r>
          </w:p>
        </w:tc>
      </w:tr>
      <w:tr w:rsidR="003E5E70" w14:paraId="12D63EB4" w14:textId="77777777">
        <w:trPr>
          <w:jc w:val="center"/>
        </w:trPr>
        <w:tc>
          <w:tcPr>
            <w:tcW w:w="2448" w:type="dxa"/>
            <w:shd w:val="clear" w:color="auto" w:fill="F2F2F2"/>
          </w:tcPr>
          <w:p w14:paraId="1B8BC4E3" w14:textId="77777777" w:rsidR="003E5E70" w:rsidRDefault="00000000">
            <w:pPr>
              <w:spacing w:before="40" w:after="40"/>
            </w:pPr>
            <w:r>
              <w:rPr>
                <w:color w:val="1A1A1A"/>
                <w:sz w:val="17"/>
              </w:rPr>
              <w:t>Credit-card / consumer ABS</w:t>
            </w:r>
          </w:p>
        </w:tc>
        <w:tc>
          <w:tcPr>
            <w:tcW w:w="1800" w:type="dxa"/>
            <w:shd w:val="clear" w:color="auto" w:fill="F2F2F2"/>
          </w:tcPr>
          <w:p w14:paraId="5C0CFBF9" w14:textId="77777777" w:rsidR="003E5E70" w:rsidRDefault="00000000">
            <w:pPr>
              <w:spacing w:before="40" w:after="40"/>
            </w:pPr>
            <w:r>
              <w:rPr>
                <w:color w:val="1A1A1A"/>
                <w:sz w:val="17"/>
              </w:rPr>
              <w:t>Yes</w:t>
            </w:r>
          </w:p>
        </w:tc>
        <w:tc>
          <w:tcPr>
            <w:tcW w:w="5112" w:type="dxa"/>
            <w:shd w:val="clear" w:color="auto" w:fill="F2F2F2"/>
          </w:tcPr>
          <w:p w14:paraId="792B728B" w14:textId="77777777" w:rsidR="003E5E70" w:rsidRDefault="00000000">
            <w:pPr>
              <w:spacing w:before="40" w:after="40"/>
            </w:pPr>
            <w:r>
              <w:rPr>
                <w:color w:val="1A1A1A"/>
                <w:sz w:val="17"/>
              </w:rPr>
              <w:t>Highly granular retail pools (revolving structures permitted)</w:t>
            </w:r>
          </w:p>
        </w:tc>
      </w:tr>
      <w:tr w:rsidR="003E5E70" w14:paraId="2FA3D40A" w14:textId="77777777">
        <w:trPr>
          <w:jc w:val="center"/>
        </w:trPr>
        <w:tc>
          <w:tcPr>
            <w:tcW w:w="2448" w:type="dxa"/>
            <w:shd w:val="clear" w:color="auto" w:fill="FFFFFF"/>
          </w:tcPr>
          <w:p w14:paraId="40302AC6" w14:textId="77777777" w:rsidR="003E5E70" w:rsidRDefault="00000000">
            <w:pPr>
              <w:spacing w:before="40" w:after="40"/>
            </w:pPr>
            <w:r>
              <w:rPr>
                <w:color w:val="1A1A1A"/>
                <w:sz w:val="17"/>
              </w:rPr>
              <w:t>SME / leasing ABS</w:t>
            </w:r>
          </w:p>
        </w:tc>
        <w:tc>
          <w:tcPr>
            <w:tcW w:w="1800" w:type="dxa"/>
            <w:shd w:val="clear" w:color="auto" w:fill="FFFFFF"/>
          </w:tcPr>
          <w:p w14:paraId="12E5CE4A" w14:textId="77777777" w:rsidR="003E5E70" w:rsidRDefault="00000000">
            <w:pPr>
              <w:spacing w:before="40" w:after="40"/>
            </w:pPr>
            <w:r>
              <w:rPr>
                <w:color w:val="1A1A1A"/>
                <w:sz w:val="17"/>
              </w:rPr>
              <w:t>Yes</w:t>
            </w:r>
          </w:p>
        </w:tc>
        <w:tc>
          <w:tcPr>
            <w:tcW w:w="5112" w:type="dxa"/>
            <w:shd w:val="clear" w:color="auto" w:fill="FFFFFF"/>
          </w:tcPr>
          <w:p w14:paraId="1527B6FD" w14:textId="77777777" w:rsidR="003E5E70" w:rsidRDefault="00000000">
            <w:pPr>
              <w:spacing w:before="40" w:after="40"/>
            </w:pPr>
            <w:r>
              <w:rPr>
                <w:color w:val="1A1A1A"/>
                <w:sz w:val="17"/>
              </w:rPr>
              <w:t>Eligible where the pool is granular and homogeneous</w:t>
            </w:r>
          </w:p>
        </w:tc>
      </w:tr>
      <w:tr w:rsidR="003E5E70" w14:paraId="4FF9E7EC" w14:textId="77777777">
        <w:trPr>
          <w:jc w:val="center"/>
        </w:trPr>
        <w:tc>
          <w:tcPr>
            <w:tcW w:w="2448" w:type="dxa"/>
            <w:shd w:val="clear" w:color="auto" w:fill="F2F2F2"/>
          </w:tcPr>
          <w:p w14:paraId="3B0A4C17" w14:textId="77777777" w:rsidR="003E5E70" w:rsidRDefault="00000000">
            <w:pPr>
              <w:spacing w:before="40" w:after="40"/>
            </w:pPr>
            <w:r>
              <w:rPr>
                <w:color w:val="1A1A1A"/>
                <w:sz w:val="17"/>
              </w:rPr>
              <w:t>ABCP programmes</w:t>
            </w:r>
          </w:p>
        </w:tc>
        <w:tc>
          <w:tcPr>
            <w:tcW w:w="1800" w:type="dxa"/>
            <w:shd w:val="clear" w:color="auto" w:fill="F2F2F2"/>
          </w:tcPr>
          <w:p w14:paraId="1515DAA3" w14:textId="77777777" w:rsidR="003E5E70" w:rsidRDefault="00000000">
            <w:pPr>
              <w:spacing w:before="40" w:after="40"/>
            </w:pPr>
            <w:r>
              <w:rPr>
                <w:color w:val="1A1A1A"/>
                <w:sz w:val="17"/>
              </w:rPr>
              <w:t>Separate regime</w:t>
            </w:r>
          </w:p>
        </w:tc>
        <w:tc>
          <w:tcPr>
            <w:tcW w:w="5112" w:type="dxa"/>
            <w:shd w:val="clear" w:color="auto" w:fill="F2F2F2"/>
          </w:tcPr>
          <w:p w14:paraId="02714F3F" w14:textId="77777777" w:rsidR="003E5E70" w:rsidRDefault="00000000">
            <w:pPr>
              <w:spacing w:before="40" w:after="40"/>
            </w:pPr>
            <w:r>
              <w:rPr>
                <w:color w:val="1A1A1A"/>
                <w:sz w:val="17"/>
              </w:rPr>
              <w:t>Governed by the distinct short-term STC criteria</w:t>
            </w:r>
          </w:p>
        </w:tc>
      </w:tr>
      <w:tr w:rsidR="003E5E70" w14:paraId="3A5E759B" w14:textId="77777777">
        <w:trPr>
          <w:jc w:val="center"/>
        </w:trPr>
        <w:tc>
          <w:tcPr>
            <w:tcW w:w="2448" w:type="dxa"/>
            <w:shd w:val="clear" w:color="auto" w:fill="FFFFFF"/>
          </w:tcPr>
          <w:p w14:paraId="41431FE1" w14:textId="77777777" w:rsidR="003E5E70" w:rsidRDefault="00000000">
            <w:pPr>
              <w:spacing w:before="40" w:after="40"/>
            </w:pPr>
            <w:r>
              <w:rPr>
                <w:color w:val="1A1A1A"/>
                <w:sz w:val="17"/>
              </w:rPr>
              <w:t>CLOs (leveraged loans)</w:t>
            </w:r>
          </w:p>
        </w:tc>
        <w:tc>
          <w:tcPr>
            <w:tcW w:w="1800" w:type="dxa"/>
            <w:shd w:val="clear" w:color="auto" w:fill="FFFFFF"/>
          </w:tcPr>
          <w:p w14:paraId="472ACEBC" w14:textId="77777777" w:rsidR="003E5E70" w:rsidRDefault="00000000">
            <w:pPr>
              <w:spacing w:before="40" w:after="40"/>
            </w:pPr>
            <w:r>
              <w:rPr>
                <w:color w:val="1A1A1A"/>
                <w:sz w:val="17"/>
              </w:rPr>
              <w:t>No</w:t>
            </w:r>
          </w:p>
        </w:tc>
        <w:tc>
          <w:tcPr>
            <w:tcW w:w="5112" w:type="dxa"/>
            <w:shd w:val="clear" w:color="auto" w:fill="FFFFFF"/>
          </w:tcPr>
          <w:p w14:paraId="5049CD86" w14:textId="77777777" w:rsidR="003E5E70" w:rsidRDefault="00000000">
            <w:pPr>
              <w:spacing w:before="40" w:after="40"/>
            </w:pPr>
            <w:r>
              <w:rPr>
                <w:color w:val="1A1A1A"/>
                <w:sz w:val="17"/>
              </w:rPr>
              <w:t>Actively managed portfolios — fail the 'no active management' criterion</w:t>
            </w:r>
          </w:p>
        </w:tc>
      </w:tr>
      <w:tr w:rsidR="003E5E70" w14:paraId="4C4B7EA7" w14:textId="77777777">
        <w:trPr>
          <w:jc w:val="center"/>
        </w:trPr>
        <w:tc>
          <w:tcPr>
            <w:tcW w:w="2448" w:type="dxa"/>
            <w:shd w:val="clear" w:color="auto" w:fill="F2F2F2"/>
          </w:tcPr>
          <w:p w14:paraId="54D292AD" w14:textId="77777777" w:rsidR="003E5E70" w:rsidRDefault="00000000">
            <w:pPr>
              <w:spacing w:before="40" w:after="40"/>
            </w:pPr>
            <w:r>
              <w:rPr>
                <w:color w:val="1A1A1A"/>
                <w:sz w:val="17"/>
              </w:rPr>
              <w:t>Most CMBS</w:t>
            </w:r>
          </w:p>
        </w:tc>
        <w:tc>
          <w:tcPr>
            <w:tcW w:w="1800" w:type="dxa"/>
            <w:shd w:val="clear" w:color="auto" w:fill="F2F2F2"/>
          </w:tcPr>
          <w:p w14:paraId="2D51C8BF" w14:textId="77777777" w:rsidR="003E5E70" w:rsidRDefault="00000000">
            <w:pPr>
              <w:spacing w:before="40" w:after="40"/>
            </w:pPr>
            <w:r>
              <w:rPr>
                <w:color w:val="1A1A1A"/>
                <w:sz w:val="17"/>
              </w:rPr>
              <w:t>Generally no</w:t>
            </w:r>
          </w:p>
        </w:tc>
        <w:tc>
          <w:tcPr>
            <w:tcW w:w="5112" w:type="dxa"/>
            <w:shd w:val="clear" w:color="auto" w:fill="F2F2F2"/>
          </w:tcPr>
          <w:p w14:paraId="358F0F52" w14:textId="77777777" w:rsidR="003E5E70" w:rsidRDefault="00000000">
            <w:pPr>
              <w:spacing w:before="40" w:after="40"/>
            </w:pPr>
            <w:r>
              <w:rPr>
                <w:color w:val="1A1A1A"/>
                <w:sz w:val="17"/>
              </w:rPr>
              <w:t>Commercial-property pools are typically not granular / homogeneous enough</w:t>
            </w:r>
          </w:p>
        </w:tc>
      </w:tr>
      <w:tr w:rsidR="003E5E70" w14:paraId="4737D90F" w14:textId="77777777">
        <w:trPr>
          <w:jc w:val="center"/>
        </w:trPr>
        <w:tc>
          <w:tcPr>
            <w:tcW w:w="2448" w:type="dxa"/>
            <w:shd w:val="clear" w:color="auto" w:fill="FFFFFF"/>
          </w:tcPr>
          <w:p w14:paraId="0746998C" w14:textId="77777777" w:rsidR="003E5E70" w:rsidRDefault="00000000">
            <w:pPr>
              <w:spacing w:before="40" w:after="40"/>
            </w:pPr>
            <w:r>
              <w:rPr>
                <w:color w:val="1A1A1A"/>
                <w:sz w:val="17"/>
              </w:rPr>
              <w:t>Re-securitisations</w:t>
            </w:r>
          </w:p>
        </w:tc>
        <w:tc>
          <w:tcPr>
            <w:tcW w:w="1800" w:type="dxa"/>
            <w:shd w:val="clear" w:color="auto" w:fill="FFFFFF"/>
          </w:tcPr>
          <w:p w14:paraId="3A7D5146" w14:textId="77777777" w:rsidR="003E5E70" w:rsidRDefault="00000000">
            <w:pPr>
              <w:spacing w:before="40" w:after="40"/>
            </w:pPr>
            <w:r>
              <w:rPr>
                <w:color w:val="1A1A1A"/>
                <w:sz w:val="17"/>
              </w:rPr>
              <w:t>Never</w:t>
            </w:r>
          </w:p>
        </w:tc>
        <w:tc>
          <w:tcPr>
            <w:tcW w:w="5112" w:type="dxa"/>
            <w:shd w:val="clear" w:color="auto" w:fill="FFFFFF"/>
          </w:tcPr>
          <w:p w14:paraId="74A3B3DB" w14:textId="77777777" w:rsidR="003E5E70" w:rsidRDefault="00000000">
            <w:pPr>
              <w:spacing w:before="40" w:after="40"/>
            </w:pPr>
            <w:r>
              <w:rPr>
                <w:color w:val="1A1A1A"/>
                <w:sz w:val="17"/>
              </w:rPr>
              <w:t>Excluded by definition; cannot be STC under any regime</w:t>
            </w:r>
          </w:p>
        </w:tc>
      </w:tr>
    </w:tbl>
    <w:p w14:paraId="448F0212" w14:textId="77777777" w:rsidR="003E5E70" w:rsidRDefault="00000000">
      <w:pPr>
        <w:spacing w:before="60"/>
      </w:pPr>
      <w:r>
        <w:rPr>
          <w:b/>
          <w:color w:val="0E2C4B"/>
          <w:sz w:val="17"/>
        </w:rPr>
        <w:t xml:space="preserve">Exhibit 4.  </w:t>
      </w:r>
      <w:r>
        <w:rPr>
          <w:i/>
          <w:color w:val="555555"/>
          <w:sz w:val="17"/>
        </w:rPr>
        <w:t>STC eligibility by asset class. Eligibility is structural — it is decided by the pool and the deal mechanics, not by credit quality.</w:t>
      </w:r>
    </w:p>
    <w:p w14:paraId="3D4F3C6A" w14:textId="52637A83" w:rsidR="003E5E70" w:rsidRDefault="00000000">
      <w:pPr>
        <w:spacing w:before="40" w:after="100" w:line="269" w:lineRule="auto"/>
      </w:pPr>
      <w:r>
        <w:rPr>
          <w:color w:val="1A1A1A"/>
          <w:sz w:val="21"/>
        </w:rPr>
        <w:t xml:space="preserve">In the </w:t>
      </w:r>
      <w:r w:rsidR="006F12A0">
        <w:rPr>
          <w:color w:val="1A1A1A"/>
          <w:sz w:val="21"/>
        </w:rPr>
        <w:t xml:space="preserve"> </w:t>
      </w:r>
      <w:r>
        <w:rPr>
          <w:color w:val="1A1A1A"/>
          <w:sz w:val="21"/>
        </w:rPr>
        <w:t xml:space="preserve"> reference portfolio, </w:t>
      </w:r>
      <w:r>
        <w:rPr>
          <w:b/>
          <w:color w:val="1A1A1A"/>
          <w:sz w:val="21"/>
        </w:rPr>
        <w:t>AUTO-2024-1</w:t>
      </w:r>
      <w:r>
        <w:rPr>
          <w:color w:val="1A1A1A"/>
          <w:sz w:val="21"/>
        </w:rPr>
        <w:t xml:space="preserve"> is the natural worked example. It is a prime auto-loan ABS with a granular pool (of the order of 30,000 obligors), a homogeneous single asset type, a traditional true-sale structure, no re-securitisation, and a performing pool well outside the non-performing range. Those are exactly the characteristics the STC term criteria are designed to reward, which is why it has been designated STC-compliant in the deal master for this analysis.</w:t>
      </w:r>
    </w:p>
    <w:p w14:paraId="23CD7A1D" w14:textId="77777777" w:rsidR="003E5E70" w:rsidRDefault="00000000">
      <w:pPr>
        <w:keepNext/>
        <w:pBdr>
          <w:bottom w:val="single" w:sz="10" w:space="4" w:color="0E2C4B"/>
        </w:pBdr>
        <w:spacing w:before="400" w:after="140"/>
      </w:pPr>
      <w:r>
        <w:rPr>
          <w:b/>
          <w:color w:val="0E2C4B"/>
          <w:sz w:val="32"/>
        </w:rPr>
        <w:t>5.  Due Diligence — The Gateway to the Benefit</w:t>
      </w:r>
    </w:p>
    <w:p w14:paraId="1CD26894" w14:textId="77777777" w:rsidR="003E5E70" w:rsidRDefault="00000000">
      <w:pPr>
        <w:spacing w:before="40" w:after="100" w:line="269" w:lineRule="auto"/>
      </w:pPr>
      <w:r>
        <w:rPr>
          <w:color w:val="1A1A1A"/>
          <w:sz w:val="21"/>
        </w:rPr>
        <w:t xml:space="preserve">This is the central message of the note. The STC label is produced by the originator or sponsor, who attests that the deal meets the criteria. But an </w:t>
      </w:r>
      <w:r>
        <w:rPr>
          <w:b/>
          <w:color w:val="1A1A1A"/>
          <w:sz w:val="21"/>
        </w:rPr>
        <w:t>investing institution cannot bank the lower risk weight on the strength of that attestation alone</w:t>
      </w:r>
      <w:r>
        <w:rPr>
          <w:color w:val="1A1A1A"/>
          <w:sz w:val="21"/>
        </w:rPr>
        <w:t>. Under the Basel securitisation framework, the use of any risk-weight approach is conditioned on the institution carrying out — and being able to demonstrate, on an ongoing basis — its own due diligence on the exposure.</w:t>
      </w:r>
    </w:p>
    <w:p w14:paraId="4F02B887" w14:textId="77777777" w:rsidR="003E5E70" w:rsidRDefault="00000000">
      <w:pPr>
        <w:keepNext/>
        <w:spacing w:before="260" w:after="60"/>
      </w:pPr>
      <w:r>
        <w:rPr>
          <w:b/>
          <w:color w:val="355574"/>
          <w:sz w:val="24"/>
        </w:rPr>
        <w:t>5.1  What due diligence must establish</w:t>
      </w:r>
    </w:p>
    <w:p w14:paraId="366DE6D0" w14:textId="77777777" w:rsidR="003E5E70" w:rsidRDefault="00000000">
      <w:pPr>
        <w:spacing w:before="40" w:after="100" w:line="269" w:lineRule="auto"/>
      </w:pPr>
      <w:r>
        <w:rPr>
          <w:color w:val="1A1A1A"/>
          <w:sz w:val="21"/>
        </w:rPr>
        <w:t>The due-diligence obligation has three substantive limbs:</w:t>
      </w:r>
    </w:p>
    <w:p w14:paraId="313C9640" w14:textId="77777777" w:rsidR="003E5E70" w:rsidRDefault="00000000">
      <w:pPr>
        <w:pStyle w:val="ListBullet"/>
        <w:spacing w:before="20" w:after="40" w:line="264" w:lineRule="auto"/>
        <w:ind w:left="403"/>
      </w:pPr>
      <w:r>
        <w:rPr>
          <w:b/>
          <w:sz w:val="21"/>
        </w:rPr>
        <w:t>Understanding of risk</w:t>
      </w:r>
      <w:r>
        <w:rPr>
          <w:sz w:val="21"/>
        </w:rPr>
        <w:t xml:space="preserve"> — a comprehensive understanding of the risk characteristics of the individual exposure and of the underlying pool.</w:t>
      </w:r>
    </w:p>
    <w:p w14:paraId="7C5CE32C" w14:textId="77777777" w:rsidR="003E5E70" w:rsidRDefault="00000000">
      <w:pPr>
        <w:pStyle w:val="ListBullet"/>
        <w:spacing w:before="20" w:after="40" w:line="264" w:lineRule="auto"/>
        <w:ind w:left="403"/>
      </w:pPr>
      <w:r>
        <w:rPr>
          <w:b/>
          <w:sz w:val="21"/>
        </w:rPr>
        <w:t>Ongoing access to performance data</w:t>
      </w:r>
      <w:r>
        <w:rPr>
          <w:sz w:val="21"/>
        </w:rPr>
        <w:t xml:space="preserve"> — continuing access to pool-performance information (delinquency and default rates, prepayment, collateral characteristics) with no reliance on a single stale data point.</w:t>
      </w:r>
    </w:p>
    <w:p w14:paraId="12840B98" w14:textId="77777777" w:rsidR="003E5E70" w:rsidRDefault="00000000">
      <w:pPr>
        <w:pStyle w:val="ListBullet"/>
        <w:spacing w:before="20" w:after="40" w:line="264" w:lineRule="auto"/>
        <w:ind w:left="403"/>
      </w:pPr>
      <w:r>
        <w:rPr>
          <w:b/>
          <w:sz w:val="21"/>
        </w:rPr>
        <w:t>Understanding of structure</w:t>
      </w:r>
      <w:r>
        <w:rPr>
          <w:sz w:val="21"/>
        </w:rPr>
        <w:t xml:space="preserve"> — a thorough understanding of the structural features that determine how the position performs: the payment waterfall, triggers, credit and liquidity enhancements, and the deal-specific definition of default.</w:t>
      </w:r>
    </w:p>
    <w:p w14:paraId="6EBD7C64" w14:textId="77777777" w:rsidR="003E5E70" w:rsidRDefault="00000000">
      <w:pPr>
        <w:spacing w:before="40" w:after="100" w:line="269" w:lineRule="auto"/>
      </w:pPr>
      <w:r>
        <w:rPr>
          <w:color w:val="1A1A1A"/>
          <w:sz w:val="21"/>
        </w:rPr>
        <w:lastRenderedPageBreak/>
        <w:t xml:space="preserve">For an STC position specifically, due diligence carries an additional burden: the institution must satisfy itself that the deal genuinely meets </w:t>
      </w:r>
      <w:r>
        <w:rPr>
          <w:b/>
          <w:color w:val="1A1A1A"/>
          <w:sz w:val="21"/>
        </w:rPr>
        <w:t>every</w:t>
      </w:r>
      <w:r>
        <w:rPr>
          <w:color w:val="1A1A1A"/>
          <w:sz w:val="21"/>
        </w:rPr>
        <w:t xml:space="preserve"> STC criterion in Appendix A, and must keep that assessment current — STC status can lapse if, for example, the pool ceases to be homogeneous or a criterion fails at a replenishment date.</w:t>
      </w:r>
    </w:p>
    <w:p w14:paraId="7659EEAD" w14:textId="77777777" w:rsidR="003E5E70" w:rsidRDefault="00000000">
      <w:pPr>
        <w:keepNext/>
        <w:spacing w:before="260" w:after="60"/>
      </w:pPr>
      <w:r>
        <w:rPr>
          <w:b/>
          <w:color w:val="355574"/>
          <w:sz w:val="24"/>
        </w:rPr>
        <w:t>5.2  Why the gateway has teeth</w:t>
      </w:r>
    </w:p>
    <w:p w14:paraId="732667D8" w14:textId="77777777" w:rsidR="003E5E70" w:rsidRDefault="00000000">
      <w:pPr>
        <w:spacing w:before="40" w:after="100" w:line="269" w:lineRule="auto"/>
      </w:pPr>
      <w:r>
        <w:rPr>
          <w:color w:val="1A1A1A"/>
          <w:sz w:val="21"/>
        </w:rPr>
        <w:t xml:space="preserve">The framework makes due diligence consequential by attaching a severe penalty to failure. If the due-diligence requirements are not met for an exposure, the position is </w:t>
      </w:r>
      <w:r>
        <w:rPr>
          <w:b/>
          <w:color w:val="1A1A1A"/>
          <w:sz w:val="21"/>
        </w:rPr>
        <w:t>not</w:t>
      </w:r>
      <w:r>
        <w:rPr>
          <w:color w:val="1A1A1A"/>
          <w:sz w:val="21"/>
        </w:rPr>
        <w:t xml:space="preserve"> moved to a less favourable but still modelled treatment. It is assigned a </w:t>
      </w:r>
      <w:r>
        <w:rPr>
          <w:b/>
          <w:color w:val="1A1A1A"/>
          <w:sz w:val="21"/>
        </w:rPr>
        <w:t>1250% risk weight</w:t>
      </w:r>
      <w:r>
        <w:rPr>
          <w:color w:val="1A1A1A"/>
          <w:sz w:val="21"/>
        </w:rPr>
        <w:t xml:space="preserve"> — the residual treatment, equivalent to deducting the position from capital.</w:t>
      </w:r>
    </w:p>
    <w:p w14:paraId="236AB332" w14:textId="77777777" w:rsidR="003E5E70" w:rsidRDefault="00000000">
      <w:pPr>
        <w:pBdr>
          <w:left w:val="single" w:sz="18" w:space="4" w:color="C2453C"/>
        </w:pBdr>
        <w:shd w:val="clear" w:color="auto" w:fill="F7E9E7"/>
        <w:spacing w:before="120" w:after="120"/>
        <w:ind w:left="72" w:right="72"/>
      </w:pPr>
      <w:r>
        <w:rPr>
          <w:b/>
          <w:color w:val="C2453C"/>
          <w:sz w:val="19"/>
        </w:rPr>
        <w:t xml:space="preserve">  THE ASYMMETRY THAT MATTERS   </w:t>
      </w:r>
      <w:r>
        <w:rPr>
          <w:color w:val="2A2A2A"/>
          <w:sz w:val="19"/>
        </w:rPr>
        <w:t xml:space="preserve">On the AUTO-2024-1 senior tranche the spread of outcomes is stark. Due diligence performed and evidenced: a </w:t>
      </w:r>
      <w:r>
        <w:rPr>
          <w:b/>
          <w:color w:val="2A2A2A"/>
          <w:sz w:val="19"/>
        </w:rPr>
        <w:t>10%</w:t>
      </w:r>
      <w:r>
        <w:rPr>
          <w:color w:val="2A2A2A"/>
          <w:sz w:val="19"/>
        </w:rPr>
        <w:t xml:space="preserve"> risk weight under STC. Due diligence performed for a standard deal: </w:t>
      </w:r>
      <w:r>
        <w:rPr>
          <w:b/>
          <w:color w:val="2A2A2A"/>
          <w:sz w:val="19"/>
        </w:rPr>
        <w:t>15%</w:t>
      </w:r>
      <w:r>
        <w:rPr>
          <w:color w:val="2A2A2A"/>
          <w:sz w:val="19"/>
        </w:rPr>
        <w:t xml:space="preserve">. Due diligence failed: </w:t>
      </w:r>
      <w:r>
        <w:rPr>
          <w:b/>
          <w:color w:val="2A2A2A"/>
          <w:sz w:val="19"/>
        </w:rPr>
        <w:t>1250%</w:t>
      </w:r>
      <w:r>
        <w:rPr>
          <w:color w:val="2A2A2A"/>
          <w:sz w:val="19"/>
        </w:rPr>
        <w:t>. The STC discount is a 5-percentage-point refinement; the due-diligence cliff is a 125-fold multiple. Due diligence is not where the benefit is fine-tuned — it is where the benefit exists at all.</w:t>
      </w:r>
    </w:p>
    <w:p w14:paraId="4F694407" w14:textId="77777777" w:rsidR="003E5E70" w:rsidRDefault="00000000">
      <w:pPr>
        <w:keepNext/>
        <w:spacing w:before="260" w:after="60"/>
      </w:pPr>
      <w:r>
        <w:rPr>
          <w:b/>
          <w:color w:val="355574"/>
          <w:sz w:val="24"/>
        </w:rPr>
        <w:t>5.3  The benefit as a return on due diligence</w:t>
      </w:r>
    </w:p>
    <w:p w14:paraId="1463A998" w14:textId="77777777" w:rsidR="003E5E70" w:rsidRDefault="00000000">
      <w:pPr>
        <w:spacing w:before="40" w:after="100" w:line="269" w:lineRule="auto"/>
      </w:pPr>
      <w:r>
        <w:rPr>
          <w:color w:val="1A1A1A"/>
          <w:sz w:val="21"/>
        </w:rPr>
        <w:t xml:space="preserve">It follows that the $492,800 of capital released by designating AUTO-2024-1 as STC is, in substance, the </w:t>
      </w:r>
      <w:r>
        <w:rPr>
          <w:b/>
          <w:color w:val="1A1A1A"/>
          <w:sz w:val="21"/>
        </w:rPr>
        <w:t>return on a due-diligence investment</w:t>
      </w:r>
      <w:r>
        <w:rPr>
          <w:color w:val="1A1A1A"/>
          <w:sz w:val="21"/>
        </w:rPr>
        <w:t xml:space="preserve">. The saving is only legitimately available — and only defensible to a supervisor — if the institution holds a current due-diligence file that evidences both the general understanding of the exposure and the specific verification of each STC criterion. A position labelled STC but unsupported by due diligence is not a capital saving; it is an unrecognised capital </w:t>
      </w:r>
      <w:r>
        <w:rPr>
          <w:b/>
          <w:color w:val="1A1A1A"/>
          <w:sz w:val="21"/>
        </w:rPr>
        <w:t>risk</w:t>
      </w:r>
      <w:r>
        <w:rPr>
          <w:color w:val="1A1A1A"/>
          <w:sz w:val="21"/>
        </w:rPr>
        <w:t>: a probable supervisory finding, a restatement, and potentially a capital add-on.</w:t>
      </w:r>
    </w:p>
    <w:p w14:paraId="4E6DF905" w14:textId="77777777" w:rsidR="003E5E70" w:rsidRDefault="00000000">
      <w:pPr>
        <w:spacing w:before="40" w:after="100" w:line="269" w:lineRule="auto"/>
      </w:pPr>
      <w:r>
        <w:rPr>
          <w:color w:val="1A1A1A"/>
          <w:sz w:val="21"/>
        </w:rPr>
        <w:t>In the engine, this gateway is explicit: each securitisation position carries a due-diligence status, and a failed status routes the position straight to the 1250% residual — bypassing the STC tables, the floors and the entire risk-weight machinery. The STC benefit and the due-diligence gate are wired into the same pipeline by design.</w:t>
      </w:r>
    </w:p>
    <w:p w14:paraId="6BF7159F" w14:textId="77777777" w:rsidR="003E5E70" w:rsidRDefault="00000000">
      <w:pPr>
        <w:keepNext/>
        <w:pBdr>
          <w:bottom w:val="single" w:sz="10" w:space="4" w:color="0E2C4B"/>
        </w:pBdr>
        <w:spacing w:before="400" w:after="140"/>
      </w:pPr>
      <w:r>
        <w:rPr>
          <w:b/>
          <w:color w:val="0E2C4B"/>
          <w:sz w:val="32"/>
        </w:rPr>
        <w:t>6.  Proof of Benefit — AUTO-2024-1</w:t>
      </w:r>
    </w:p>
    <w:p w14:paraId="010568AE" w14:textId="77777777" w:rsidR="003E5E70" w:rsidRDefault="00000000">
      <w:pPr>
        <w:spacing w:before="40" w:after="100" w:line="269" w:lineRule="auto"/>
      </w:pPr>
      <w:r>
        <w:rPr>
          <w:color w:val="1A1A1A"/>
          <w:sz w:val="21"/>
        </w:rPr>
        <w:t>AUTO-2024-1 was designated STC-compliant in the deal master and the FRTB DRC securitisation pipeline was re-run. The deal has two held tranches: a senior tranche and a non-senior (mezzanine) tranche. The capital effect is shown below at tranche level and as a chart.</w:t>
      </w:r>
    </w:p>
    <w:tbl>
      <w:tblPr>
        <w:tblStyle w:val="TableGrid"/>
        <w:tblW w:w="0" w:type="auto"/>
        <w:jc w:val="center"/>
        <w:tblLook w:val="04A0" w:firstRow="1" w:lastRow="0" w:firstColumn="1" w:lastColumn="0" w:noHBand="0" w:noVBand="1"/>
      </w:tblPr>
      <w:tblGrid>
        <w:gridCol w:w="1512"/>
        <w:gridCol w:w="1224"/>
        <w:gridCol w:w="1037"/>
        <w:gridCol w:w="1037"/>
        <w:gridCol w:w="893"/>
        <w:gridCol w:w="1181"/>
        <w:gridCol w:w="1123"/>
        <w:gridCol w:w="1181"/>
      </w:tblGrid>
      <w:tr w:rsidR="003E5E70" w14:paraId="5FADB043" w14:textId="77777777">
        <w:trPr>
          <w:jc w:val="center"/>
        </w:trPr>
        <w:tc>
          <w:tcPr>
            <w:tcW w:w="1512" w:type="dxa"/>
            <w:shd w:val="clear" w:color="auto" w:fill="0E2C4B"/>
          </w:tcPr>
          <w:p w14:paraId="478D8EB0" w14:textId="77777777" w:rsidR="003E5E70" w:rsidRDefault="00000000">
            <w:pPr>
              <w:spacing w:before="40" w:after="40"/>
            </w:pPr>
            <w:r>
              <w:rPr>
                <w:b/>
                <w:color w:val="FFFFFF"/>
                <w:sz w:val="17"/>
              </w:rPr>
              <w:t>Tranche</w:t>
            </w:r>
          </w:p>
        </w:tc>
        <w:tc>
          <w:tcPr>
            <w:tcW w:w="1224" w:type="dxa"/>
            <w:shd w:val="clear" w:color="auto" w:fill="0E2C4B"/>
          </w:tcPr>
          <w:p w14:paraId="1CA7C79D" w14:textId="77777777" w:rsidR="003E5E70" w:rsidRDefault="00000000">
            <w:pPr>
              <w:spacing w:before="40" w:after="40"/>
            </w:pPr>
            <w:r>
              <w:rPr>
                <w:b/>
                <w:color w:val="FFFFFF"/>
                <w:sz w:val="17"/>
              </w:rPr>
              <w:t>Position</w:t>
            </w:r>
          </w:p>
        </w:tc>
        <w:tc>
          <w:tcPr>
            <w:tcW w:w="1037" w:type="dxa"/>
            <w:shd w:val="clear" w:color="auto" w:fill="0E2C4B"/>
          </w:tcPr>
          <w:p w14:paraId="6BA19086" w14:textId="77777777" w:rsidR="003E5E70" w:rsidRDefault="00000000">
            <w:pPr>
              <w:spacing w:before="40" w:after="40"/>
            </w:pPr>
            <w:r>
              <w:rPr>
                <w:b/>
                <w:color w:val="FFFFFF"/>
                <w:sz w:val="17"/>
              </w:rPr>
              <w:t>Notional</w:t>
            </w:r>
          </w:p>
        </w:tc>
        <w:tc>
          <w:tcPr>
            <w:tcW w:w="1037" w:type="dxa"/>
            <w:shd w:val="clear" w:color="auto" w:fill="0E2C4B"/>
          </w:tcPr>
          <w:p w14:paraId="30325141" w14:textId="77777777" w:rsidR="003E5E70" w:rsidRDefault="00000000">
            <w:pPr>
              <w:spacing w:before="40" w:after="40"/>
            </w:pPr>
            <w:r>
              <w:rPr>
                <w:b/>
                <w:color w:val="FFFFFF"/>
                <w:sz w:val="17"/>
              </w:rPr>
              <w:t>Risk weight</w:t>
            </w:r>
            <w:r>
              <w:rPr>
                <w:b/>
                <w:color w:val="FFFFFF"/>
                <w:sz w:val="17"/>
              </w:rPr>
              <w:br/>
              <w:t>non-STC</w:t>
            </w:r>
          </w:p>
        </w:tc>
        <w:tc>
          <w:tcPr>
            <w:tcW w:w="893" w:type="dxa"/>
            <w:shd w:val="clear" w:color="auto" w:fill="0E2C4B"/>
          </w:tcPr>
          <w:p w14:paraId="1563E5BC" w14:textId="77777777" w:rsidR="003E5E70" w:rsidRDefault="00000000">
            <w:pPr>
              <w:spacing w:before="40" w:after="40"/>
            </w:pPr>
            <w:r>
              <w:rPr>
                <w:b/>
                <w:color w:val="FFFFFF"/>
                <w:sz w:val="17"/>
              </w:rPr>
              <w:t>Risk weight</w:t>
            </w:r>
            <w:r>
              <w:rPr>
                <w:b/>
                <w:color w:val="FFFFFF"/>
                <w:sz w:val="17"/>
              </w:rPr>
              <w:br/>
              <w:t>STC</w:t>
            </w:r>
          </w:p>
        </w:tc>
        <w:tc>
          <w:tcPr>
            <w:tcW w:w="1181" w:type="dxa"/>
            <w:shd w:val="clear" w:color="auto" w:fill="0E2C4B"/>
          </w:tcPr>
          <w:p w14:paraId="34711CD6" w14:textId="77777777" w:rsidR="003E5E70" w:rsidRDefault="00000000">
            <w:pPr>
              <w:spacing w:before="40" w:after="40"/>
            </w:pPr>
            <w:r>
              <w:rPr>
                <w:b/>
                <w:color w:val="FFFFFF"/>
                <w:sz w:val="17"/>
              </w:rPr>
              <w:t>Capital</w:t>
            </w:r>
            <w:r>
              <w:rPr>
                <w:b/>
                <w:color w:val="FFFFFF"/>
                <w:sz w:val="17"/>
              </w:rPr>
              <w:br/>
              <w:t>non-STC</w:t>
            </w:r>
          </w:p>
        </w:tc>
        <w:tc>
          <w:tcPr>
            <w:tcW w:w="1123" w:type="dxa"/>
            <w:shd w:val="clear" w:color="auto" w:fill="0E2C4B"/>
          </w:tcPr>
          <w:p w14:paraId="726C18C7" w14:textId="77777777" w:rsidR="003E5E70" w:rsidRDefault="00000000">
            <w:pPr>
              <w:spacing w:before="40" w:after="40"/>
            </w:pPr>
            <w:r>
              <w:rPr>
                <w:b/>
                <w:color w:val="FFFFFF"/>
                <w:sz w:val="17"/>
              </w:rPr>
              <w:t>Capital</w:t>
            </w:r>
            <w:r>
              <w:rPr>
                <w:b/>
                <w:color w:val="FFFFFF"/>
                <w:sz w:val="17"/>
              </w:rPr>
              <w:br/>
              <w:t>STC</w:t>
            </w:r>
          </w:p>
        </w:tc>
        <w:tc>
          <w:tcPr>
            <w:tcW w:w="1181" w:type="dxa"/>
            <w:shd w:val="clear" w:color="auto" w:fill="0E2C4B"/>
          </w:tcPr>
          <w:p w14:paraId="37FF7EBB" w14:textId="77777777" w:rsidR="003E5E70" w:rsidRDefault="00000000">
            <w:pPr>
              <w:spacing w:before="40" w:after="40"/>
            </w:pPr>
            <w:r>
              <w:rPr>
                <w:b/>
                <w:color w:val="FFFFFF"/>
                <w:sz w:val="17"/>
              </w:rPr>
              <w:t>Capital</w:t>
            </w:r>
            <w:r>
              <w:rPr>
                <w:b/>
                <w:color w:val="FFFFFF"/>
                <w:sz w:val="17"/>
              </w:rPr>
              <w:br/>
              <w:t>change</w:t>
            </w:r>
          </w:p>
        </w:tc>
      </w:tr>
      <w:tr w:rsidR="003E5E70" w14:paraId="28437521" w14:textId="77777777">
        <w:trPr>
          <w:jc w:val="center"/>
        </w:trPr>
        <w:tc>
          <w:tcPr>
            <w:tcW w:w="1512" w:type="dxa"/>
            <w:shd w:val="clear" w:color="auto" w:fill="F2F2F2"/>
          </w:tcPr>
          <w:p w14:paraId="254FDC7F" w14:textId="77777777" w:rsidR="003E5E70" w:rsidRDefault="00000000">
            <w:pPr>
              <w:spacing w:before="40" w:after="40"/>
            </w:pPr>
            <w:r>
              <w:rPr>
                <w:color w:val="1A1A1A"/>
                <w:sz w:val="16"/>
              </w:rPr>
              <w:t>Senior (AAA)</w:t>
            </w:r>
          </w:p>
        </w:tc>
        <w:tc>
          <w:tcPr>
            <w:tcW w:w="1224" w:type="dxa"/>
            <w:shd w:val="clear" w:color="auto" w:fill="F2F2F2"/>
          </w:tcPr>
          <w:p w14:paraId="03CACC08" w14:textId="77777777" w:rsidR="003E5E70" w:rsidRDefault="00000000">
            <w:pPr>
              <w:spacing w:before="40" w:after="40"/>
            </w:pPr>
            <w:r>
              <w:rPr>
                <w:color w:val="1A1A1A"/>
                <w:sz w:val="16"/>
              </w:rPr>
              <w:t>ID 50, long</w:t>
            </w:r>
          </w:p>
        </w:tc>
        <w:tc>
          <w:tcPr>
            <w:tcW w:w="1037" w:type="dxa"/>
            <w:shd w:val="clear" w:color="auto" w:fill="F2F2F2"/>
          </w:tcPr>
          <w:p w14:paraId="160204DC" w14:textId="77777777" w:rsidR="003E5E70" w:rsidRDefault="00000000">
            <w:pPr>
              <w:spacing w:before="40" w:after="40"/>
            </w:pPr>
            <w:r>
              <w:rPr>
                <w:color w:val="1A1A1A"/>
                <w:sz w:val="16"/>
              </w:rPr>
              <w:t>$80.0m</w:t>
            </w:r>
          </w:p>
        </w:tc>
        <w:tc>
          <w:tcPr>
            <w:tcW w:w="1037" w:type="dxa"/>
            <w:shd w:val="clear" w:color="auto" w:fill="F2F2F2"/>
          </w:tcPr>
          <w:p w14:paraId="66811701" w14:textId="77777777" w:rsidR="003E5E70" w:rsidRDefault="00000000">
            <w:pPr>
              <w:spacing w:before="40" w:after="40"/>
            </w:pPr>
            <w:r>
              <w:rPr>
                <w:color w:val="1A1A1A"/>
                <w:sz w:val="16"/>
              </w:rPr>
              <w:t>15%</w:t>
            </w:r>
          </w:p>
        </w:tc>
        <w:tc>
          <w:tcPr>
            <w:tcW w:w="893" w:type="dxa"/>
            <w:shd w:val="clear" w:color="auto" w:fill="F2F2F2"/>
          </w:tcPr>
          <w:p w14:paraId="015C6C37" w14:textId="77777777" w:rsidR="003E5E70" w:rsidRDefault="00000000">
            <w:pPr>
              <w:spacing w:before="40" w:after="40"/>
            </w:pPr>
            <w:r>
              <w:rPr>
                <w:color w:val="1A1A1A"/>
                <w:sz w:val="16"/>
              </w:rPr>
              <w:t>10%</w:t>
            </w:r>
          </w:p>
        </w:tc>
        <w:tc>
          <w:tcPr>
            <w:tcW w:w="1181" w:type="dxa"/>
            <w:shd w:val="clear" w:color="auto" w:fill="F2F2F2"/>
          </w:tcPr>
          <w:p w14:paraId="51B02E34" w14:textId="77777777" w:rsidR="003E5E70" w:rsidRDefault="00000000">
            <w:pPr>
              <w:spacing w:before="40" w:after="40"/>
            </w:pPr>
            <w:r>
              <w:rPr>
                <w:color w:val="1A1A1A"/>
                <w:sz w:val="16"/>
              </w:rPr>
              <w:t>$960,000</w:t>
            </w:r>
          </w:p>
        </w:tc>
        <w:tc>
          <w:tcPr>
            <w:tcW w:w="1123" w:type="dxa"/>
            <w:shd w:val="clear" w:color="auto" w:fill="F2F2F2"/>
          </w:tcPr>
          <w:p w14:paraId="6EE971E2" w14:textId="77777777" w:rsidR="003E5E70" w:rsidRDefault="00000000">
            <w:pPr>
              <w:spacing w:before="40" w:after="40"/>
            </w:pPr>
            <w:r>
              <w:rPr>
                <w:color w:val="1A1A1A"/>
                <w:sz w:val="16"/>
              </w:rPr>
              <w:t>$640,000</w:t>
            </w:r>
          </w:p>
        </w:tc>
        <w:tc>
          <w:tcPr>
            <w:tcW w:w="1181" w:type="dxa"/>
            <w:shd w:val="clear" w:color="auto" w:fill="F2F2F2"/>
          </w:tcPr>
          <w:p w14:paraId="0CC2CD1C" w14:textId="77777777" w:rsidR="003E5E70" w:rsidRDefault="00000000">
            <w:pPr>
              <w:spacing w:before="40" w:after="40"/>
            </w:pPr>
            <w:r>
              <w:rPr>
                <w:b/>
                <w:color w:val="C2453C"/>
                <w:sz w:val="16"/>
              </w:rPr>
              <w:t>-$320,000</w:t>
            </w:r>
          </w:p>
        </w:tc>
      </w:tr>
      <w:tr w:rsidR="003E5E70" w14:paraId="4EB2243E" w14:textId="77777777">
        <w:trPr>
          <w:jc w:val="center"/>
        </w:trPr>
        <w:tc>
          <w:tcPr>
            <w:tcW w:w="1512" w:type="dxa"/>
            <w:shd w:val="clear" w:color="auto" w:fill="FFFFFF"/>
          </w:tcPr>
          <w:p w14:paraId="3EF1312E" w14:textId="77777777" w:rsidR="003E5E70" w:rsidRDefault="00000000">
            <w:pPr>
              <w:spacing w:before="40" w:after="40"/>
            </w:pPr>
            <w:r>
              <w:rPr>
                <w:color w:val="1A1A1A"/>
                <w:sz w:val="16"/>
              </w:rPr>
              <w:t>Non-senior (A)</w:t>
            </w:r>
          </w:p>
        </w:tc>
        <w:tc>
          <w:tcPr>
            <w:tcW w:w="1224" w:type="dxa"/>
            <w:shd w:val="clear" w:color="auto" w:fill="FFFFFF"/>
          </w:tcPr>
          <w:p w14:paraId="45F88269" w14:textId="77777777" w:rsidR="003E5E70" w:rsidRDefault="00000000">
            <w:pPr>
              <w:spacing w:before="40" w:after="40"/>
            </w:pPr>
            <w:r>
              <w:rPr>
                <w:color w:val="1A1A1A"/>
                <w:sz w:val="16"/>
              </w:rPr>
              <w:t>ID 51, short</w:t>
            </w:r>
          </w:p>
        </w:tc>
        <w:tc>
          <w:tcPr>
            <w:tcW w:w="1037" w:type="dxa"/>
            <w:shd w:val="clear" w:color="auto" w:fill="FFFFFF"/>
          </w:tcPr>
          <w:p w14:paraId="69AFC1AC" w14:textId="77777777" w:rsidR="003E5E70" w:rsidRDefault="00000000">
            <w:pPr>
              <w:spacing w:before="40" w:after="40"/>
            </w:pPr>
            <w:r>
              <w:rPr>
                <w:color w:val="1A1A1A"/>
                <w:sz w:val="16"/>
              </w:rPr>
              <w:t>$12.0m</w:t>
            </w:r>
          </w:p>
        </w:tc>
        <w:tc>
          <w:tcPr>
            <w:tcW w:w="1037" w:type="dxa"/>
            <w:shd w:val="clear" w:color="auto" w:fill="FFFFFF"/>
          </w:tcPr>
          <w:p w14:paraId="16A5C0EC" w14:textId="77777777" w:rsidR="003E5E70" w:rsidRDefault="00000000">
            <w:pPr>
              <w:spacing w:before="40" w:after="40"/>
            </w:pPr>
            <w:r>
              <w:rPr>
                <w:color w:val="1A1A1A"/>
                <w:sz w:val="16"/>
              </w:rPr>
              <w:t>72%</w:t>
            </w:r>
          </w:p>
        </w:tc>
        <w:tc>
          <w:tcPr>
            <w:tcW w:w="893" w:type="dxa"/>
            <w:shd w:val="clear" w:color="auto" w:fill="FFFFFF"/>
          </w:tcPr>
          <w:p w14:paraId="6FE6E49D" w14:textId="77777777" w:rsidR="003E5E70" w:rsidRDefault="00000000">
            <w:pPr>
              <w:spacing w:before="40" w:after="40"/>
            </w:pPr>
            <w:r>
              <w:rPr>
                <w:color w:val="1A1A1A"/>
                <w:sz w:val="16"/>
              </w:rPr>
              <w:t>54%</w:t>
            </w:r>
          </w:p>
        </w:tc>
        <w:tc>
          <w:tcPr>
            <w:tcW w:w="1181" w:type="dxa"/>
            <w:shd w:val="clear" w:color="auto" w:fill="FFFFFF"/>
          </w:tcPr>
          <w:p w14:paraId="07DD54CC" w14:textId="77777777" w:rsidR="003E5E70" w:rsidRDefault="00000000">
            <w:pPr>
              <w:spacing w:before="40" w:after="40"/>
            </w:pPr>
            <w:r>
              <w:rPr>
                <w:color w:val="1A1A1A"/>
                <w:sz w:val="16"/>
              </w:rPr>
              <w:t>$691,200</w:t>
            </w:r>
          </w:p>
        </w:tc>
        <w:tc>
          <w:tcPr>
            <w:tcW w:w="1123" w:type="dxa"/>
            <w:shd w:val="clear" w:color="auto" w:fill="FFFFFF"/>
          </w:tcPr>
          <w:p w14:paraId="510AD007" w14:textId="77777777" w:rsidR="003E5E70" w:rsidRDefault="00000000">
            <w:pPr>
              <w:spacing w:before="40" w:after="40"/>
            </w:pPr>
            <w:r>
              <w:rPr>
                <w:color w:val="1A1A1A"/>
                <w:sz w:val="16"/>
              </w:rPr>
              <w:t>$518,400</w:t>
            </w:r>
          </w:p>
        </w:tc>
        <w:tc>
          <w:tcPr>
            <w:tcW w:w="1181" w:type="dxa"/>
            <w:shd w:val="clear" w:color="auto" w:fill="FFFFFF"/>
          </w:tcPr>
          <w:p w14:paraId="26DB860B" w14:textId="77777777" w:rsidR="003E5E70" w:rsidRDefault="00000000">
            <w:pPr>
              <w:spacing w:before="40" w:after="40"/>
            </w:pPr>
            <w:r>
              <w:rPr>
                <w:b/>
                <w:color w:val="C2453C"/>
                <w:sz w:val="16"/>
              </w:rPr>
              <w:t>-$172,800</w:t>
            </w:r>
          </w:p>
        </w:tc>
      </w:tr>
      <w:tr w:rsidR="003E5E70" w14:paraId="7DBFE989" w14:textId="77777777">
        <w:trPr>
          <w:jc w:val="center"/>
        </w:trPr>
        <w:tc>
          <w:tcPr>
            <w:tcW w:w="1512" w:type="dxa"/>
            <w:shd w:val="clear" w:color="auto" w:fill="F2F2F2"/>
          </w:tcPr>
          <w:p w14:paraId="23254CF8" w14:textId="77777777" w:rsidR="003E5E70" w:rsidRDefault="00000000">
            <w:pPr>
              <w:spacing w:before="40" w:after="40"/>
            </w:pPr>
            <w:r>
              <w:rPr>
                <w:color w:val="1A1A1A"/>
                <w:sz w:val="16"/>
              </w:rPr>
              <w:t>Deal total</w:t>
            </w:r>
          </w:p>
        </w:tc>
        <w:tc>
          <w:tcPr>
            <w:tcW w:w="1224" w:type="dxa"/>
            <w:shd w:val="clear" w:color="auto" w:fill="F2F2F2"/>
          </w:tcPr>
          <w:p w14:paraId="690695E4" w14:textId="77777777" w:rsidR="003E5E70" w:rsidRDefault="00000000">
            <w:pPr>
              <w:spacing w:before="40" w:after="40"/>
            </w:pPr>
            <w:r>
              <w:rPr>
                <w:color w:val="1A1A1A"/>
                <w:sz w:val="16"/>
              </w:rPr>
              <w:t>2 tranches</w:t>
            </w:r>
          </w:p>
        </w:tc>
        <w:tc>
          <w:tcPr>
            <w:tcW w:w="1037" w:type="dxa"/>
            <w:shd w:val="clear" w:color="auto" w:fill="F2F2F2"/>
          </w:tcPr>
          <w:p w14:paraId="3CB136D4" w14:textId="77777777" w:rsidR="003E5E70" w:rsidRDefault="00000000">
            <w:pPr>
              <w:spacing w:before="40" w:after="40"/>
            </w:pPr>
            <w:r>
              <w:rPr>
                <w:color w:val="1A1A1A"/>
                <w:sz w:val="16"/>
              </w:rPr>
              <w:t>—</w:t>
            </w:r>
          </w:p>
        </w:tc>
        <w:tc>
          <w:tcPr>
            <w:tcW w:w="1037" w:type="dxa"/>
            <w:shd w:val="clear" w:color="auto" w:fill="F2F2F2"/>
          </w:tcPr>
          <w:p w14:paraId="7591252D" w14:textId="77777777" w:rsidR="003E5E70" w:rsidRDefault="00000000">
            <w:pPr>
              <w:spacing w:before="40" w:after="40"/>
            </w:pPr>
            <w:r>
              <w:rPr>
                <w:color w:val="1A1A1A"/>
                <w:sz w:val="16"/>
              </w:rPr>
              <w:t>—</w:t>
            </w:r>
          </w:p>
        </w:tc>
        <w:tc>
          <w:tcPr>
            <w:tcW w:w="893" w:type="dxa"/>
            <w:shd w:val="clear" w:color="auto" w:fill="F2F2F2"/>
          </w:tcPr>
          <w:p w14:paraId="5C4C1819" w14:textId="77777777" w:rsidR="003E5E70" w:rsidRDefault="00000000">
            <w:pPr>
              <w:spacing w:before="40" w:after="40"/>
            </w:pPr>
            <w:r>
              <w:rPr>
                <w:color w:val="1A1A1A"/>
                <w:sz w:val="16"/>
              </w:rPr>
              <w:t>—</w:t>
            </w:r>
          </w:p>
        </w:tc>
        <w:tc>
          <w:tcPr>
            <w:tcW w:w="1181" w:type="dxa"/>
            <w:shd w:val="clear" w:color="auto" w:fill="F2F2F2"/>
          </w:tcPr>
          <w:p w14:paraId="6E454E85" w14:textId="77777777" w:rsidR="003E5E70" w:rsidRDefault="00000000">
            <w:pPr>
              <w:spacing w:before="40" w:after="40"/>
            </w:pPr>
            <w:r>
              <w:rPr>
                <w:color w:val="1A1A1A"/>
                <w:sz w:val="16"/>
              </w:rPr>
              <w:t>$1,651,200</w:t>
            </w:r>
          </w:p>
        </w:tc>
        <w:tc>
          <w:tcPr>
            <w:tcW w:w="1123" w:type="dxa"/>
            <w:shd w:val="clear" w:color="auto" w:fill="F2F2F2"/>
          </w:tcPr>
          <w:p w14:paraId="73E2438B" w14:textId="77777777" w:rsidR="003E5E70" w:rsidRDefault="00000000">
            <w:pPr>
              <w:spacing w:before="40" w:after="40"/>
            </w:pPr>
            <w:r>
              <w:rPr>
                <w:color w:val="1A1A1A"/>
                <w:sz w:val="16"/>
              </w:rPr>
              <w:t>$1,158,400</w:t>
            </w:r>
          </w:p>
        </w:tc>
        <w:tc>
          <w:tcPr>
            <w:tcW w:w="1181" w:type="dxa"/>
            <w:shd w:val="clear" w:color="auto" w:fill="F2F2F2"/>
          </w:tcPr>
          <w:p w14:paraId="4A4615D2" w14:textId="77777777" w:rsidR="003E5E70" w:rsidRDefault="00000000">
            <w:pPr>
              <w:spacing w:before="40" w:after="40"/>
            </w:pPr>
            <w:r>
              <w:rPr>
                <w:b/>
                <w:color w:val="C2453C"/>
                <w:sz w:val="16"/>
              </w:rPr>
              <w:t>-$492,800</w:t>
            </w:r>
          </w:p>
        </w:tc>
      </w:tr>
    </w:tbl>
    <w:p w14:paraId="466F1B37" w14:textId="77777777" w:rsidR="003E5E70" w:rsidRDefault="00000000">
      <w:pPr>
        <w:spacing w:before="60"/>
      </w:pPr>
      <w:r>
        <w:rPr>
          <w:b/>
          <w:color w:val="0E2C4B"/>
          <w:sz w:val="17"/>
        </w:rPr>
        <w:t xml:space="preserve">Exhibit 5.  </w:t>
      </w:r>
      <w:r>
        <w:rPr>
          <w:i/>
          <w:color w:val="555555"/>
          <w:sz w:val="17"/>
        </w:rPr>
        <w:t>AUTO-2024-1 tranche-level capital under the standard and STC treatments. Capital = risk weight × 8% × net notional.</w:t>
      </w:r>
    </w:p>
    <w:p w14:paraId="2F73DCEE" w14:textId="77777777" w:rsidR="003E5E70" w:rsidRDefault="00000000">
      <w:pPr>
        <w:jc w:val="center"/>
      </w:pPr>
      <w:r>
        <w:rPr>
          <w:noProof/>
        </w:rPr>
        <w:lastRenderedPageBreak/>
        <w:drawing>
          <wp:inline distT="0" distB="0" distL="0" distR="0" wp14:anchorId="5FC9F96D" wp14:editId="6272BCDD">
            <wp:extent cx="5760720" cy="2679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tc_delta_chart.png"/>
                    <pic:cNvPicPr/>
                  </pic:nvPicPr>
                  <pic:blipFill>
                    <a:blip r:embed="rId9"/>
                    <a:stretch>
                      <a:fillRect/>
                    </a:stretch>
                  </pic:blipFill>
                  <pic:spPr>
                    <a:xfrm>
                      <a:off x="0" y="0"/>
                      <a:ext cx="5760720" cy="2679129"/>
                    </a:xfrm>
                    <a:prstGeom prst="rect">
                      <a:avLst/>
                    </a:prstGeom>
                  </pic:spPr>
                </pic:pic>
              </a:graphicData>
            </a:graphic>
          </wp:inline>
        </w:drawing>
      </w:r>
    </w:p>
    <w:p w14:paraId="0AEF6909" w14:textId="77777777" w:rsidR="003E5E70" w:rsidRDefault="00000000">
      <w:pPr>
        <w:spacing w:before="60"/>
      </w:pPr>
      <w:r>
        <w:rPr>
          <w:b/>
          <w:color w:val="0E2C4B"/>
          <w:sz w:val="17"/>
        </w:rPr>
        <w:t xml:space="preserve">Exhibit 6.  </w:t>
      </w:r>
      <w:r>
        <w:rPr>
          <w:i/>
          <w:color w:val="555555"/>
          <w:sz w:val="17"/>
        </w:rPr>
        <w:t>DRC capital, non-STC versus STC, for AUTO-2024-1. The STC treatment lowers capital on both tranches; the deal's total DRC contribution falls by 29.8%.</w:t>
      </w:r>
    </w:p>
    <w:p w14:paraId="1D9D3831" w14:textId="77777777" w:rsidR="003E5E70" w:rsidRDefault="00000000">
      <w:pPr>
        <w:spacing w:before="40" w:after="100" w:line="269" w:lineRule="auto"/>
      </w:pPr>
      <w:r>
        <w:rPr>
          <w:color w:val="1A1A1A"/>
          <w:sz w:val="21"/>
        </w:rPr>
        <w:t xml:space="preserve">Two effects combine. On the </w:t>
      </w:r>
      <w:r>
        <w:rPr>
          <w:b/>
          <w:color w:val="1A1A1A"/>
          <w:sz w:val="21"/>
        </w:rPr>
        <w:t>senior</w:t>
      </w:r>
      <w:r>
        <w:rPr>
          <w:color w:val="1A1A1A"/>
          <w:sz w:val="21"/>
        </w:rPr>
        <w:t xml:space="preserve"> tranche, STC lowers the risk-weight floor that applies to a top-rated senior position from 15% to 10% — a one-third capital reduction on an $80m position. On the </w:t>
      </w:r>
      <w:r>
        <w:rPr>
          <w:b/>
          <w:color w:val="1A1A1A"/>
          <w:sz w:val="21"/>
        </w:rPr>
        <w:t>non-senior</w:t>
      </w:r>
      <w:r>
        <w:rPr>
          <w:color w:val="1A1A1A"/>
          <w:sz w:val="21"/>
        </w:rPr>
        <w:t xml:space="preserve"> tranche, STC selects a more favourable risk-weight table, taking the rated-tranche weight from 72% to 54%. The mechanics are reconciled line by line in Appendix B.</w:t>
      </w:r>
    </w:p>
    <w:p w14:paraId="338172F0" w14:textId="71A04C60" w:rsidR="003E5E70" w:rsidRDefault="00000000">
      <w:pPr>
        <w:spacing w:before="40" w:after="100" w:line="269" w:lineRule="auto"/>
      </w:pPr>
      <w:r>
        <w:rPr>
          <w:color w:val="1A1A1A"/>
          <w:sz w:val="21"/>
        </w:rPr>
        <w:t xml:space="preserve">At portfolio level, the single designation reduces total </w:t>
      </w:r>
      <w:r w:rsidR="006F12A0">
        <w:rPr>
          <w:color w:val="1A1A1A"/>
          <w:sz w:val="21"/>
        </w:rPr>
        <w:t xml:space="preserve"> </w:t>
      </w:r>
      <w:r>
        <w:rPr>
          <w:color w:val="1A1A1A"/>
          <w:sz w:val="21"/>
        </w:rPr>
        <w:t xml:space="preserve"> securitisation DRC from $11,670,840 to $11,178,040. The 4.2% portfolio-level figure is smaller than the 29.8% deal-level figure simply because AUTO-2024-1 is one of eight deals; the </w:t>
      </w:r>
      <w:r>
        <w:rPr>
          <w:b/>
          <w:color w:val="1A1A1A"/>
          <w:sz w:val="21"/>
        </w:rPr>
        <w:t>deal-level</w:t>
      </w:r>
      <w:r>
        <w:rPr>
          <w:color w:val="1A1A1A"/>
          <w:sz w:val="21"/>
        </w:rPr>
        <w:t xml:space="preserve"> number is the true measure of the STC effect.</w:t>
      </w:r>
    </w:p>
    <w:p w14:paraId="08233170" w14:textId="77777777" w:rsidR="003E5E70" w:rsidRDefault="00000000">
      <w:pPr>
        <w:keepNext/>
        <w:pBdr>
          <w:bottom w:val="single" w:sz="10" w:space="4" w:color="0E2C4B"/>
        </w:pBdr>
        <w:spacing w:before="400" w:after="140"/>
      </w:pPr>
      <w:r>
        <w:rPr>
          <w:b/>
          <w:color w:val="0E2C4B"/>
          <w:sz w:val="32"/>
        </w:rPr>
        <w:t>7.  The STC Capital Mechanism</w:t>
      </w:r>
    </w:p>
    <w:p w14:paraId="492C5DC5" w14:textId="48B7C7E9" w:rsidR="003E5E70" w:rsidRDefault="00000000">
      <w:pPr>
        <w:spacing w:before="40" w:after="100" w:line="269" w:lineRule="auto"/>
      </w:pPr>
      <w:r>
        <w:rPr>
          <w:color w:val="1A1A1A"/>
          <w:sz w:val="21"/>
        </w:rPr>
        <w:t xml:space="preserve">STC reduces capital through three distinct levers in the securitisation risk-weight framework. Which levers bite depends on the approach a position is routed to. Every position in the </w:t>
      </w:r>
      <w:r w:rsidR="006F12A0">
        <w:rPr>
          <w:color w:val="1A1A1A"/>
          <w:sz w:val="21"/>
        </w:rPr>
        <w:t xml:space="preserve"> </w:t>
      </w:r>
      <w:r>
        <w:rPr>
          <w:color w:val="1A1A1A"/>
          <w:sz w:val="21"/>
        </w:rPr>
        <w:t xml:space="preserve"> portfolio is on the ratings-based approach, so the first two levers apply here.</w:t>
      </w:r>
    </w:p>
    <w:tbl>
      <w:tblPr>
        <w:tblStyle w:val="TableGrid"/>
        <w:tblW w:w="0" w:type="auto"/>
        <w:jc w:val="center"/>
        <w:tblLook w:val="04A0" w:firstRow="1" w:lastRow="0" w:firstColumn="1" w:lastColumn="0" w:noHBand="0" w:noVBand="1"/>
      </w:tblPr>
      <w:tblGrid>
        <w:gridCol w:w="2536"/>
        <w:gridCol w:w="1989"/>
        <w:gridCol w:w="2122"/>
        <w:gridCol w:w="2929"/>
      </w:tblGrid>
      <w:tr w:rsidR="003E5E70" w14:paraId="4B7C6829" w14:textId="77777777">
        <w:trPr>
          <w:jc w:val="center"/>
        </w:trPr>
        <w:tc>
          <w:tcPr>
            <w:tcW w:w="2664" w:type="dxa"/>
            <w:shd w:val="clear" w:color="auto" w:fill="0E2C4B"/>
          </w:tcPr>
          <w:p w14:paraId="46161E5D" w14:textId="77777777" w:rsidR="003E5E70" w:rsidRDefault="00000000">
            <w:pPr>
              <w:spacing w:before="40" w:after="40"/>
            </w:pPr>
            <w:r>
              <w:rPr>
                <w:b/>
                <w:color w:val="FFFFFF"/>
                <w:sz w:val="18"/>
              </w:rPr>
              <w:t>Lever</w:t>
            </w:r>
          </w:p>
        </w:tc>
        <w:tc>
          <w:tcPr>
            <w:tcW w:w="2088" w:type="dxa"/>
            <w:shd w:val="clear" w:color="auto" w:fill="0E2C4B"/>
          </w:tcPr>
          <w:p w14:paraId="5997C0C8" w14:textId="77777777" w:rsidR="003E5E70" w:rsidRDefault="00000000">
            <w:pPr>
              <w:spacing w:before="40" w:after="40"/>
            </w:pPr>
            <w:r>
              <w:rPr>
                <w:b/>
                <w:color w:val="FFFFFF"/>
                <w:sz w:val="18"/>
              </w:rPr>
              <w:t>Standard</w:t>
            </w:r>
          </w:p>
        </w:tc>
        <w:tc>
          <w:tcPr>
            <w:tcW w:w="2232" w:type="dxa"/>
            <w:shd w:val="clear" w:color="auto" w:fill="0E2C4B"/>
          </w:tcPr>
          <w:p w14:paraId="2DCBA12F" w14:textId="77777777" w:rsidR="003E5E70" w:rsidRDefault="00000000">
            <w:pPr>
              <w:spacing w:before="40" w:after="40"/>
            </w:pPr>
            <w:r>
              <w:rPr>
                <w:b/>
                <w:color w:val="FFFFFF"/>
                <w:sz w:val="18"/>
              </w:rPr>
              <w:t>STC</w:t>
            </w:r>
          </w:p>
        </w:tc>
        <w:tc>
          <w:tcPr>
            <w:tcW w:w="3096" w:type="dxa"/>
            <w:shd w:val="clear" w:color="auto" w:fill="0E2C4B"/>
          </w:tcPr>
          <w:p w14:paraId="77F34A75" w14:textId="77777777" w:rsidR="003E5E70" w:rsidRDefault="00000000">
            <w:pPr>
              <w:spacing w:before="40" w:after="40"/>
            </w:pPr>
            <w:r>
              <w:rPr>
                <w:b/>
                <w:color w:val="FFFFFF"/>
                <w:sz w:val="18"/>
              </w:rPr>
              <w:t>Applies to AUTO-2024-1?</w:t>
            </w:r>
          </w:p>
        </w:tc>
      </w:tr>
      <w:tr w:rsidR="003E5E70" w14:paraId="02FC7F12" w14:textId="77777777">
        <w:trPr>
          <w:jc w:val="center"/>
        </w:trPr>
        <w:tc>
          <w:tcPr>
            <w:tcW w:w="2664" w:type="dxa"/>
            <w:shd w:val="clear" w:color="auto" w:fill="F2F2F2"/>
          </w:tcPr>
          <w:p w14:paraId="7EB4B7E5" w14:textId="77777777" w:rsidR="003E5E70" w:rsidRDefault="00000000">
            <w:pPr>
              <w:spacing w:before="40" w:after="40"/>
            </w:pPr>
            <w:r>
              <w:rPr>
                <w:color w:val="1A1A1A"/>
                <w:sz w:val="17"/>
              </w:rPr>
              <w:t>Ratings-based risk-weight table</w:t>
            </w:r>
          </w:p>
        </w:tc>
        <w:tc>
          <w:tcPr>
            <w:tcW w:w="2088" w:type="dxa"/>
            <w:shd w:val="clear" w:color="auto" w:fill="F2F2F2"/>
          </w:tcPr>
          <w:p w14:paraId="75FFC593" w14:textId="77777777" w:rsidR="003E5E70" w:rsidRDefault="00000000">
            <w:pPr>
              <w:spacing w:before="40" w:after="40"/>
            </w:pPr>
            <w:r>
              <w:rPr>
                <w:color w:val="1A1A1A"/>
                <w:sz w:val="17"/>
              </w:rPr>
              <w:t>Standard long-/short-term tables</w:t>
            </w:r>
          </w:p>
        </w:tc>
        <w:tc>
          <w:tcPr>
            <w:tcW w:w="2232" w:type="dxa"/>
            <w:shd w:val="clear" w:color="auto" w:fill="F2F2F2"/>
          </w:tcPr>
          <w:p w14:paraId="704B7C21" w14:textId="77777777" w:rsidR="003E5E70" w:rsidRDefault="00000000">
            <w:pPr>
              <w:spacing w:before="40" w:after="40"/>
            </w:pPr>
            <w:r>
              <w:rPr>
                <w:color w:val="1A1A1A"/>
                <w:sz w:val="17"/>
              </w:rPr>
              <w:t>More favourable STC tables</w:t>
            </w:r>
          </w:p>
        </w:tc>
        <w:tc>
          <w:tcPr>
            <w:tcW w:w="3096" w:type="dxa"/>
            <w:shd w:val="clear" w:color="auto" w:fill="F2F2F2"/>
          </w:tcPr>
          <w:p w14:paraId="1AE5F534" w14:textId="77777777" w:rsidR="003E5E70" w:rsidRDefault="00000000">
            <w:pPr>
              <w:spacing w:before="40" w:after="40"/>
            </w:pPr>
            <w:r>
              <w:rPr>
                <w:color w:val="1A1A1A"/>
                <w:sz w:val="17"/>
              </w:rPr>
              <w:t>Yes — drove the non-senior 72% to 54%</w:t>
            </w:r>
          </w:p>
        </w:tc>
      </w:tr>
      <w:tr w:rsidR="003E5E70" w14:paraId="1B62D7FD" w14:textId="77777777">
        <w:trPr>
          <w:jc w:val="center"/>
        </w:trPr>
        <w:tc>
          <w:tcPr>
            <w:tcW w:w="2664" w:type="dxa"/>
            <w:shd w:val="clear" w:color="auto" w:fill="FFFFFF"/>
          </w:tcPr>
          <w:p w14:paraId="2BA38B57" w14:textId="77777777" w:rsidR="003E5E70" w:rsidRDefault="00000000">
            <w:pPr>
              <w:spacing w:before="40" w:after="40"/>
            </w:pPr>
            <w:r>
              <w:rPr>
                <w:color w:val="1A1A1A"/>
                <w:sz w:val="17"/>
              </w:rPr>
              <w:t>Senior risk-weight floor</w:t>
            </w:r>
          </w:p>
        </w:tc>
        <w:tc>
          <w:tcPr>
            <w:tcW w:w="2088" w:type="dxa"/>
            <w:shd w:val="clear" w:color="auto" w:fill="FFFFFF"/>
          </w:tcPr>
          <w:p w14:paraId="3C254C1E" w14:textId="77777777" w:rsidR="003E5E70" w:rsidRDefault="00000000">
            <w:pPr>
              <w:spacing w:before="40" w:after="40"/>
            </w:pPr>
            <w:r>
              <w:rPr>
                <w:color w:val="1A1A1A"/>
                <w:sz w:val="17"/>
              </w:rPr>
              <w:t>15%</w:t>
            </w:r>
          </w:p>
        </w:tc>
        <w:tc>
          <w:tcPr>
            <w:tcW w:w="2232" w:type="dxa"/>
            <w:shd w:val="clear" w:color="auto" w:fill="FFFFFF"/>
          </w:tcPr>
          <w:p w14:paraId="7DE5FEA0" w14:textId="77777777" w:rsidR="003E5E70" w:rsidRDefault="00000000">
            <w:pPr>
              <w:spacing w:before="40" w:after="40"/>
            </w:pPr>
            <w:r>
              <w:rPr>
                <w:color w:val="1A1A1A"/>
                <w:sz w:val="17"/>
              </w:rPr>
              <w:t>10% senior  (15% non-senior)</w:t>
            </w:r>
          </w:p>
        </w:tc>
        <w:tc>
          <w:tcPr>
            <w:tcW w:w="3096" w:type="dxa"/>
            <w:shd w:val="clear" w:color="auto" w:fill="FFFFFF"/>
          </w:tcPr>
          <w:p w14:paraId="7B663742" w14:textId="77777777" w:rsidR="003E5E70" w:rsidRDefault="00000000">
            <w:pPr>
              <w:spacing w:before="40" w:after="40"/>
            </w:pPr>
            <w:r>
              <w:rPr>
                <w:color w:val="1A1A1A"/>
                <w:sz w:val="17"/>
              </w:rPr>
              <w:t>Yes — drove the senior 15% to 10%</w:t>
            </w:r>
          </w:p>
        </w:tc>
      </w:tr>
      <w:tr w:rsidR="003E5E70" w14:paraId="13561AF2" w14:textId="77777777">
        <w:trPr>
          <w:jc w:val="center"/>
        </w:trPr>
        <w:tc>
          <w:tcPr>
            <w:tcW w:w="2664" w:type="dxa"/>
            <w:shd w:val="clear" w:color="auto" w:fill="F2F2F2"/>
          </w:tcPr>
          <w:p w14:paraId="3A04C5E0" w14:textId="77777777" w:rsidR="003E5E70" w:rsidRDefault="00000000">
            <w:pPr>
              <w:spacing w:before="40" w:after="40"/>
            </w:pPr>
            <w:r>
              <w:rPr>
                <w:color w:val="1A1A1A"/>
                <w:sz w:val="17"/>
              </w:rPr>
              <w:t>Standardised-approach supervisory parameter</w:t>
            </w:r>
          </w:p>
        </w:tc>
        <w:tc>
          <w:tcPr>
            <w:tcW w:w="2088" w:type="dxa"/>
            <w:shd w:val="clear" w:color="auto" w:fill="F2F2F2"/>
          </w:tcPr>
          <w:p w14:paraId="6427E85B" w14:textId="77777777" w:rsidR="003E5E70" w:rsidRDefault="00000000">
            <w:pPr>
              <w:spacing w:before="40" w:after="40"/>
            </w:pPr>
            <w:r>
              <w:rPr>
                <w:color w:val="1A1A1A"/>
                <w:sz w:val="17"/>
              </w:rPr>
              <w:t>1.0 (non-resec)</w:t>
            </w:r>
          </w:p>
        </w:tc>
        <w:tc>
          <w:tcPr>
            <w:tcW w:w="2232" w:type="dxa"/>
            <w:shd w:val="clear" w:color="auto" w:fill="F2F2F2"/>
          </w:tcPr>
          <w:p w14:paraId="6A09DDEC" w14:textId="77777777" w:rsidR="003E5E70" w:rsidRDefault="00000000">
            <w:pPr>
              <w:spacing w:before="40" w:after="40"/>
            </w:pPr>
            <w:r>
              <w:rPr>
                <w:color w:val="1A1A1A"/>
                <w:sz w:val="17"/>
              </w:rPr>
              <w:t>0.5</w:t>
            </w:r>
          </w:p>
        </w:tc>
        <w:tc>
          <w:tcPr>
            <w:tcW w:w="3096" w:type="dxa"/>
            <w:shd w:val="clear" w:color="auto" w:fill="F2F2F2"/>
          </w:tcPr>
          <w:p w14:paraId="17939209" w14:textId="77777777" w:rsidR="003E5E70" w:rsidRDefault="00000000">
            <w:pPr>
              <w:spacing w:before="40" w:after="40"/>
            </w:pPr>
            <w:r>
              <w:rPr>
                <w:color w:val="1A1A1A"/>
                <w:sz w:val="17"/>
              </w:rPr>
              <w:t>No — not used (no standardised-approach positions)</w:t>
            </w:r>
          </w:p>
        </w:tc>
      </w:tr>
    </w:tbl>
    <w:p w14:paraId="695467D0" w14:textId="51C4F9D9" w:rsidR="003E5E70" w:rsidRDefault="00000000">
      <w:pPr>
        <w:spacing w:before="60"/>
      </w:pPr>
      <w:r>
        <w:rPr>
          <w:b/>
          <w:color w:val="0E2C4B"/>
          <w:sz w:val="17"/>
        </w:rPr>
        <w:t xml:space="preserve">Exhibit 7.  </w:t>
      </w:r>
      <w:r>
        <w:rPr>
          <w:i/>
          <w:color w:val="555555"/>
          <w:sz w:val="17"/>
        </w:rPr>
        <w:t xml:space="preserve">The three STC capital levers. For the </w:t>
      </w:r>
      <w:r w:rsidR="006F12A0">
        <w:rPr>
          <w:i/>
          <w:color w:val="555555"/>
          <w:sz w:val="17"/>
        </w:rPr>
        <w:t xml:space="preserve"> </w:t>
      </w:r>
      <w:r>
        <w:rPr>
          <w:i/>
          <w:color w:val="555555"/>
          <w:sz w:val="17"/>
        </w:rPr>
        <w:t xml:space="preserve"> portfolio, the table selection and the senior floor are the operative levers.</w:t>
      </w:r>
    </w:p>
    <w:p w14:paraId="661F95B7" w14:textId="77777777" w:rsidR="003E5E70" w:rsidRDefault="00000000">
      <w:pPr>
        <w:keepNext/>
        <w:pBdr>
          <w:bottom w:val="single" w:sz="10" w:space="4" w:color="0E2C4B"/>
        </w:pBdr>
        <w:spacing w:before="400" w:after="140"/>
      </w:pPr>
      <w:r>
        <w:rPr>
          <w:b/>
          <w:color w:val="0E2C4B"/>
          <w:sz w:val="32"/>
        </w:rPr>
        <w:t>8.  Conclusions &amp; Recommendations</w:t>
      </w:r>
    </w:p>
    <w:p w14:paraId="64BF70AF" w14:textId="77777777" w:rsidR="003E5E70" w:rsidRDefault="00000000">
      <w:pPr>
        <w:pStyle w:val="ListBullet"/>
        <w:spacing w:before="20" w:after="40" w:line="264" w:lineRule="auto"/>
        <w:ind w:left="403"/>
      </w:pPr>
      <w:r>
        <w:rPr>
          <w:b/>
          <w:sz w:val="21"/>
        </w:rPr>
        <w:t>STC is a real and material capital lever.</w:t>
      </w:r>
      <w:r>
        <w:rPr>
          <w:sz w:val="21"/>
        </w:rPr>
        <w:t xml:space="preserve"> Designating one eligible deal STC-compliant reduced its DRC contribution by 29.8% ($492,800) with no change to the underlying position.</w:t>
      </w:r>
    </w:p>
    <w:p w14:paraId="1F52D64C" w14:textId="77777777" w:rsidR="003E5E70" w:rsidRDefault="00000000">
      <w:pPr>
        <w:pStyle w:val="ListBullet"/>
        <w:spacing w:before="20" w:after="40" w:line="264" w:lineRule="auto"/>
        <w:ind w:left="403"/>
      </w:pPr>
      <w:r>
        <w:rPr>
          <w:b/>
          <w:sz w:val="21"/>
        </w:rPr>
        <w:lastRenderedPageBreak/>
        <w:t>The benefit is structural, not a credit call.</w:t>
      </w:r>
      <w:r>
        <w:rPr>
          <w:sz w:val="21"/>
        </w:rPr>
        <w:t xml:space="preserve"> STC rewards a simple, transparent deal structure; it must never be read as a statement that the exposure is low-risk.</w:t>
      </w:r>
    </w:p>
    <w:p w14:paraId="47F3EA97" w14:textId="77777777" w:rsidR="003E5E70" w:rsidRDefault="00000000">
      <w:pPr>
        <w:pStyle w:val="ListBullet"/>
        <w:spacing w:before="20" w:after="40" w:line="264" w:lineRule="auto"/>
        <w:ind w:left="403"/>
      </w:pPr>
      <w:r>
        <w:rPr>
          <w:b/>
          <w:sz w:val="21"/>
        </w:rPr>
        <w:t>Due diligence is the gateway.</w:t>
      </w:r>
      <w:r>
        <w:rPr>
          <w:sz w:val="21"/>
        </w:rPr>
        <w:t xml:space="preserve"> The capital saving is available only to an institution that has performed and can evidence the required due diligence. Failure forces a 1250% risk weight — the cost of weak due diligence dwarfs the STC discount itself.</w:t>
      </w:r>
    </w:p>
    <w:p w14:paraId="737B798B" w14:textId="77777777" w:rsidR="003E5E70" w:rsidRDefault="00000000">
      <w:pPr>
        <w:pStyle w:val="ListBullet"/>
        <w:spacing w:before="20" w:after="40" w:line="264" w:lineRule="auto"/>
        <w:ind w:left="403"/>
      </w:pPr>
      <w:r>
        <w:rPr>
          <w:b/>
          <w:sz w:val="21"/>
        </w:rPr>
        <w:t>Maintain a due-diligence evidence file per STC deal.</w:t>
      </w:r>
      <w:r>
        <w:rPr>
          <w:sz w:val="21"/>
        </w:rPr>
        <w:t xml:space="preserve"> It should record the verification of every criterion in Appendix A, the originator's attestation, and the ongoing pool-performance review. The attestation is necessary but not sufficient.</w:t>
      </w:r>
    </w:p>
    <w:p w14:paraId="62F2CFC4" w14:textId="77777777" w:rsidR="003E5E70" w:rsidRDefault="00000000">
      <w:pPr>
        <w:pStyle w:val="ListBullet"/>
        <w:spacing w:before="20" w:after="40" w:line="264" w:lineRule="auto"/>
        <w:ind w:left="403"/>
      </w:pPr>
      <w:r>
        <w:rPr>
          <w:b/>
          <w:sz w:val="21"/>
        </w:rPr>
        <w:t>Re-verify periodically.</w:t>
      </w:r>
      <w:r>
        <w:rPr>
          <w:sz w:val="21"/>
        </w:rPr>
        <w:t xml:space="preserve"> STC status can lapse. The designation should be revisited at replenishment dates and on any material change to the pool or structure.</w:t>
      </w:r>
    </w:p>
    <w:p w14:paraId="18197F3A" w14:textId="77777777" w:rsidR="003E5E70" w:rsidRDefault="00000000">
      <w:pPr>
        <w:pStyle w:val="ListBullet"/>
        <w:spacing w:before="20" w:after="40" w:line="264" w:lineRule="auto"/>
        <w:ind w:left="403"/>
      </w:pPr>
      <w:r>
        <w:rPr>
          <w:b/>
          <w:sz w:val="21"/>
        </w:rPr>
        <w:t>Treat an unsupported STC label as a capital risk, not a saving.</w:t>
      </w:r>
      <w:r>
        <w:rPr>
          <w:sz w:val="21"/>
        </w:rPr>
        <w:t xml:space="preserve"> A claimed benefit without a due-diligence file invites a supervisory finding and a restatement.</w:t>
      </w:r>
    </w:p>
    <w:p w14:paraId="25329290" w14:textId="77777777" w:rsidR="003E5E70" w:rsidRDefault="00000000">
      <w:r>
        <w:br w:type="page"/>
      </w:r>
    </w:p>
    <w:p w14:paraId="202D6486" w14:textId="77777777" w:rsidR="003E5E70" w:rsidRDefault="00000000">
      <w:pPr>
        <w:keepNext/>
        <w:pBdr>
          <w:bottom w:val="single" w:sz="10" w:space="4" w:color="0E2C4B"/>
        </w:pBdr>
        <w:spacing w:before="400" w:after="140"/>
      </w:pPr>
      <w:r>
        <w:rPr>
          <w:b/>
          <w:color w:val="0E2C4B"/>
          <w:sz w:val="32"/>
        </w:rPr>
        <w:lastRenderedPageBreak/>
        <w:t>Appendix A — Full STC Eligibility Criteria</w:t>
      </w:r>
    </w:p>
    <w:p w14:paraId="087623BA" w14:textId="77777777" w:rsidR="003E5E70" w:rsidRDefault="00000000">
      <w:pPr>
        <w:spacing w:before="40" w:after="100" w:line="269" w:lineRule="auto"/>
      </w:pPr>
      <w:r>
        <w:rPr>
          <w:color w:val="1A1A1A"/>
          <w:sz w:val="21"/>
        </w:rPr>
        <w:t xml:space="preserve">The criteria below are the full set for </w:t>
      </w:r>
      <w:r>
        <w:rPr>
          <w:b/>
          <w:color w:val="1A1A1A"/>
          <w:sz w:val="21"/>
        </w:rPr>
        <w:t>term</w:t>
      </w:r>
      <w:r>
        <w:rPr>
          <w:color w:val="1A1A1A"/>
          <w:sz w:val="21"/>
        </w:rPr>
        <w:t xml:space="preserve"> securitisations, grouped under the three STC headings. Short-term (ABCP) programmes are governed by a separate but analogous set of criteria. The two additional criteria for the </w:t>
      </w:r>
      <w:r>
        <w:rPr>
          <w:b/>
          <w:color w:val="1A1A1A"/>
          <w:sz w:val="21"/>
        </w:rPr>
        <w:t>capital</w:t>
      </w:r>
      <w:r>
        <w:rPr>
          <w:color w:val="1A1A1A"/>
          <w:sz w:val="21"/>
        </w:rPr>
        <w:t xml:space="preserve"> benefit are listed last.</w:t>
      </w:r>
    </w:p>
    <w:p w14:paraId="37454F24" w14:textId="77777777" w:rsidR="003E5E70" w:rsidRDefault="00000000">
      <w:pPr>
        <w:keepNext/>
        <w:spacing w:before="260" w:after="60"/>
      </w:pPr>
      <w:r>
        <w:rPr>
          <w:b/>
          <w:color w:val="355574"/>
          <w:sz w:val="24"/>
        </w:rPr>
        <w:t>Simple — the assets and how they were acquired</w:t>
      </w:r>
    </w:p>
    <w:p w14:paraId="78F9F73C" w14:textId="77777777" w:rsidR="003E5E70" w:rsidRDefault="00000000">
      <w:pPr>
        <w:spacing w:before="60" w:after="20"/>
      </w:pPr>
      <w:r>
        <w:rPr>
          <w:b/>
          <w:color w:val="0E2C4B"/>
          <w:sz w:val="19"/>
        </w:rPr>
        <w:t>A1  Nature of the assets</w:t>
      </w:r>
    </w:p>
    <w:p w14:paraId="288EACDD" w14:textId="77777777" w:rsidR="003E5E70" w:rsidRDefault="00000000">
      <w:pPr>
        <w:spacing w:before="40" w:after="100" w:line="269" w:lineRule="auto"/>
        <w:ind w:left="144"/>
      </w:pPr>
      <w:r>
        <w:rPr>
          <w:color w:val="1A1A1A"/>
          <w:sz w:val="19"/>
        </w:rPr>
        <w:t>The pool is homogeneous — a single asset type with consistent legal and credit characteristics — so it can be analysed without modelling several distinct risk profiles.</w:t>
      </w:r>
    </w:p>
    <w:p w14:paraId="048A5BB4" w14:textId="77777777" w:rsidR="003E5E70" w:rsidRDefault="00000000">
      <w:pPr>
        <w:spacing w:before="60" w:after="20"/>
      </w:pPr>
      <w:r>
        <w:rPr>
          <w:b/>
          <w:color w:val="0E2C4B"/>
          <w:sz w:val="19"/>
        </w:rPr>
        <w:t>A2  Asset performance history</w:t>
      </w:r>
    </w:p>
    <w:p w14:paraId="4AECAB75" w14:textId="77777777" w:rsidR="003E5E70" w:rsidRDefault="00000000">
      <w:pPr>
        <w:spacing w:before="40" w:after="100" w:line="269" w:lineRule="auto"/>
        <w:ind w:left="144"/>
      </w:pPr>
      <w:r>
        <w:rPr>
          <w:color w:val="1A1A1A"/>
          <w:sz w:val="19"/>
        </w:rPr>
        <w:t>Sufficient loss and performance history is available for substantially similar assets, over a period long enough to be meaningful.</w:t>
      </w:r>
    </w:p>
    <w:p w14:paraId="747A81A4" w14:textId="77777777" w:rsidR="003E5E70" w:rsidRDefault="00000000">
      <w:pPr>
        <w:spacing w:before="60" w:after="20"/>
      </w:pPr>
      <w:r>
        <w:rPr>
          <w:b/>
          <w:color w:val="0E2C4B"/>
          <w:sz w:val="19"/>
        </w:rPr>
        <w:t>A3  Payment status</w:t>
      </w:r>
    </w:p>
    <w:p w14:paraId="1ACC5E20" w14:textId="77777777" w:rsidR="003E5E70" w:rsidRDefault="00000000">
      <w:pPr>
        <w:spacing w:before="40" w:after="100" w:line="269" w:lineRule="auto"/>
        <w:ind w:left="144"/>
      </w:pPr>
      <w:r>
        <w:rPr>
          <w:color w:val="1A1A1A"/>
          <w:sz w:val="19"/>
        </w:rPr>
        <w:t>At inclusion the assets are not in default, not credit-impaired and not subject to dispute; obligors have made at least one payment.</w:t>
      </w:r>
    </w:p>
    <w:p w14:paraId="2D43BAAE" w14:textId="77777777" w:rsidR="003E5E70" w:rsidRDefault="00000000">
      <w:pPr>
        <w:spacing w:before="60" w:after="20"/>
      </w:pPr>
      <w:r>
        <w:rPr>
          <w:b/>
          <w:color w:val="0E2C4B"/>
          <w:sz w:val="19"/>
        </w:rPr>
        <w:t>A4  Consistency of underwriting</w:t>
      </w:r>
    </w:p>
    <w:p w14:paraId="1A5D82E0" w14:textId="77777777" w:rsidR="003E5E70" w:rsidRDefault="00000000">
      <w:pPr>
        <w:spacing w:before="40" w:after="100" w:line="269" w:lineRule="auto"/>
        <w:ind w:left="144"/>
      </w:pPr>
      <w:r>
        <w:rPr>
          <w:color w:val="1A1A1A"/>
          <w:sz w:val="19"/>
        </w:rPr>
        <w:t>Assets were originated in the ordinary course to underwriting standards no less stringent than for non-securitised assets, and those standards are disclosed.</w:t>
      </w:r>
    </w:p>
    <w:p w14:paraId="107280CD" w14:textId="77777777" w:rsidR="003E5E70" w:rsidRDefault="00000000">
      <w:pPr>
        <w:spacing w:before="60" w:after="20"/>
      </w:pPr>
      <w:r>
        <w:rPr>
          <w:b/>
          <w:color w:val="0E2C4B"/>
          <w:sz w:val="19"/>
        </w:rPr>
        <w:t>A5  Asset selection and transfer</w:t>
      </w:r>
    </w:p>
    <w:p w14:paraId="13C3FF82" w14:textId="77777777" w:rsidR="003E5E70" w:rsidRDefault="00000000">
      <w:pPr>
        <w:spacing w:before="40" w:after="100" w:line="269" w:lineRule="auto"/>
        <w:ind w:left="144"/>
      </w:pPr>
      <w:r>
        <w:rPr>
          <w:color w:val="1A1A1A"/>
          <w:sz w:val="19"/>
        </w:rPr>
        <w:t>The transfer to the issuer is a true sale / enforceable assignment, with no severe clawback, and the assets are not adversely selected against investors (no cherry-picking).</w:t>
      </w:r>
    </w:p>
    <w:p w14:paraId="612DD932" w14:textId="77777777" w:rsidR="003E5E70" w:rsidRDefault="00000000">
      <w:pPr>
        <w:spacing w:before="60" w:after="20"/>
      </w:pPr>
      <w:r>
        <w:rPr>
          <w:b/>
          <w:color w:val="0E2C4B"/>
          <w:sz w:val="19"/>
        </w:rPr>
        <w:t>A6  Initial and ongoing data</w:t>
      </w:r>
    </w:p>
    <w:p w14:paraId="36F22B21" w14:textId="77777777" w:rsidR="003E5E70" w:rsidRDefault="00000000">
      <w:pPr>
        <w:spacing w:before="40" w:after="100" w:line="269" w:lineRule="auto"/>
        <w:ind w:left="144"/>
      </w:pPr>
      <w:r>
        <w:rPr>
          <w:color w:val="1A1A1A"/>
          <w:sz w:val="19"/>
        </w:rPr>
        <w:t>Loan-level data — or, for granular pools, representative stratified data — is available to investors before pricing and on an ongoing basis.</w:t>
      </w:r>
    </w:p>
    <w:p w14:paraId="036D7446" w14:textId="77777777" w:rsidR="003E5E70" w:rsidRDefault="00000000">
      <w:pPr>
        <w:keepNext/>
        <w:spacing w:before="260" w:after="60"/>
      </w:pPr>
      <w:r>
        <w:rPr>
          <w:b/>
          <w:color w:val="355574"/>
          <w:sz w:val="24"/>
        </w:rPr>
        <w:t>Transparent — the structure and its disclosure</w:t>
      </w:r>
    </w:p>
    <w:p w14:paraId="19124865" w14:textId="77777777" w:rsidR="003E5E70" w:rsidRDefault="00000000">
      <w:pPr>
        <w:spacing w:before="60" w:after="20"/>
      </w:pPr>
      <w:r>
        <w:rPr>
          <w:b/>
          <w:color w:val="0E2C4B"/>
          <w:sz w:val="19"/>
        </w:rPr>
        <w:t>B1  Redemption cash flows</w:t>
      </w:r>
    </w:p>
    <w:p w14:paraId="6D700F8C" w14:textId="77777777" w:rsidR="003E5E70" w:rsidRDefault="00000000">
      <w:pPr>
        <w:spacing w:before="40" w:after="100" w:line="269" w:lineRule="auto"/>
        <w:ind w:left="144"/>
      </w:pPr>
      <w:r>
        <w:rPr>
          <w:color w:val="1A1A1A"/>
          <w:sz w:val="19"/>
        </w:rPr>
        <w:t>Repayment of the notes does not rely on refinancing or sale of the underlying assets; it is supported by the asset cash flows.</w:t>
      </w:r>
    </w:p>
    <w:p w14:paraId="7F116B49" w14:textId="77777777" w:rsidR="003E5E70" w:rsidRDefault="00000000">
      <w:pPr>
        <w:spacing w:before="60" w:after="20"/>
      </w:pPr>
      <w:r>
        <w:rPr>
          <w:b/>
          <w:color w:val="0E2C4B"/>
          <w:sz w:val="19"/>
        </w:rPr>
        <w:t>B2  Currency and interest-rate mismatches</w:t>
      </w:r>
    </w:p>
    <w:p w14:paraId="5A4DD26B" w14:textId="77777777" w:rsidR="003E5E70" w:rsidRDefault="00000000">
      <w:pPr>
        <w:spacing w:before="40" w:after="100" w:line="269" w:lineRule="auto"/>
        <w:ind w:left="144"/>
      </w:pPr>
      <w:r>
        <w:rPr>
          <w:color w:val="1A1A1A"/>
          <w:sz w:val="19"/>
        </w:rPr>
        <w:t>Any currency or interest-rate mismatch between assets and liabilities is appropriately mitigated, and hedging arrangements are disclosed.</w:t>
      </w:r>
    </w:p>
    <w:p w14:paraId="768E394C" w14:textId="77777777" w:rsidR="003E5E70" w:rsidRDefault="00000000">
      <w:pPr>
        <w:spacing w:before="60" w:after="20"/>
      </w:pPr>
      <w:r>
        <w:rPr>
          <w:b/>
          <w:color w:val="0E2C4B"/>
          <w:sz w:val="19"/>
        </w:rPr>
        <w:t>B3  Payment priorities and observability</w:t>
      </w:r>
    </w:p>
    <w:p w14:paraId="4938FE10" w14:textId="77777777" w:rsidR="003E5E70" w:rsidRDefault="00000000">
      <w:pPr>
        <w:spacing w:before="40" w:after="100" w:line="269" w:lineRule="auto"/>
        <w:ind w:left="144"/>
      </w:pPr>
      <w:r>
        <w:rPr>
          <w:color w:val="1A1A1A"/>
          <w:sz w:val="19"/>
        </w:rPr>
        <w:t>The priority of payments and all triggers that change it are clearly defined and disclosed, and the relevant data is observable to investors.</w:t>
      </w:r>
    </w:p>
    <w:p w14:paraId="2A77838E" w14:textId="77777777" w:rsidR="003E5E70" w:rsidRDefault="00000000">
      <w:pPr>
        <w:spacing w:before="60" w:after="20"/>
      </w:pPr>
      <w:r>
        <w:rPr>
          <w:b/>
          <w:color w:val="0E2C4B"/>
          <w:sz w:val="19"/>
        </w:rPr>
        <w:t>B4  Voting and enforcement rights</w:t>
      </w:r>
    </w:p>
    <w:p w14:paraId="45FEACF6" w14:textId="77777777" w:rsidR="003E5E70" w:rsidRDefault="00000000">
      <w:pPr>
        <w:spacing w:before="40" w:after="100" w:line="269" w:lineRule="auto"/>
        <w:ind w:left="144"/>
      </w:pPr>
      <w:r>
        <w:rPr>
          <w:color w:val="1A1A1A"/>
          <w:sz w:val="19"/>
        </w:rPr>
        <w:t>Noteholders' voting and enforcement rights are clearly defined and documented.</w:t>
      </w:r>
    </w:p>
    <w:p w14:paraId="563E330E" w14:textId="77777777" w:rsidR="003E5E70" w:rsidRDefault="00000000">
      <w:pPr>
        <w:spacing w:before="60" w:after="20"/>
      </w:pPr>
      <w:r>
        <w:rPr>
          <w:b/>
          <w:color w:val="0E2C4B"/>
          <w:sz w:val="19"/>
        </w:rPr>
        <w:t>B5  Documentation disclosure and legal review</w:t>
      </w:r>
    </w:p>
    <w:p w14:paraId="2B398A30" w14:textId="77777777" w:rsidR="003E5E70" w:rsidRDefault="00000000">
      <w:pPr>
        <w:spacing w:before="40" w:after="100" w:line="269" w:lineRule="auto"/>
        <w:ind w:left="144"/>
      </w:pPr>
      <w:r>
        <w:rPr>
          <w:color w:val="1A1A1A"/>
          <w:sz w:val="19"/>
        </w:rPr>
        <w:t>Transaction documentation is reviewed by appropriately experienced and independent legal counsel and made available to investors in good time.</w:t>
      </w:r>
    </w:p>
    <w:p w14:paraId="59770EB4" w14:textId="77777777" w:rsidR="003E5E70" w:rsidRDefault="00000000">
      <w:pPr>
        <w:spacing w:before="60" w:after="20"/>
      </w:pPr>
      <w:r>
        <w:rPr>
          <w:b/>
          <w:color w:val="0E2C4B"/>
          <w:sz w:val="19"/>
        </w:rPr>
        <w:t>B6  Alignment of interests</w:t>
      </w:r>
    </w:p>
    <w:p w14:paraId="477C033B" w14:textId="77777777" w:rsidR="003E5E70" w:rsidRDefault="00000000">
      <w:pPr>
        <w:spacing w:before="40" w:after="100" w:line="269" w:lineRule="auto"/>
        <w:ind w:left="144"/>
      </w:pPr>
      <w:r>
        <w:rPr>
          <w:color w:val="1A1A1A"/>
          <w:sz w:val="19"/>
        </w:rPr>
        <w:t>The originator or sponsor retains a material net economic interest in the securitisation — 'skin in the game' / risk retention.</w:t>
      </w:r>
    </w:p>
    <w:p w14:paraId="7B94C13A" w14:textId="77777777" w:rsidR="003E5E70" w:rsidRDefault="00000000">
      <w:pPr>
        <w:keepNext/>
        <w:spacing w:before="260" w:after="60"/>
      </w:pPr>
      <w:r>
        <w:rPr>
          <w:b/>
          <w:color w:val="355574"/>
          <w:sz w:val="24"/>
        </w:rPr>
        <w:lastRenderedPageBreak/>
        <w:t>Comparable — the parties and their duties</w:t>
      </w:r>
    </w:p>
    <w:p w14:paraId="14C5C343" w14:textId="77777777" w:rsidR="003E5E70" w:rsidRDefault="00000000">
      <w:pPr>
        <w:spacing w:before="60" w:after="20"/>
      </w:pPr>
      <w:r>
        <w:rPr>
          <w:b/>
          <w:color w:val="0E2C4B"/>
          <w:sz w:val="19"/>
        </w:rPr>
        <w:t>C1  Fiduciary and contractual responsibilities</w:t>
      </w:r>
    </w:p>
    <w:p w14:paraId="01E0981E" w14:textId="77777777" w:rsidR="003E5E70" w:rsidRDefault="00000000">
      <w:pPr>
        <w:spacing w:before="40" w:after="100" w:line="269" w:lineRule="auto"/>
        <w:ind w:left="144"/>
      </w:pPr>
      <w:r>
        <w:rPr>
          <w:color w:val="1A1A1A"/>
          <w:sz w:val="19"/>
        </w:rPr>
        <w:t>The servicer has demonstrated expertise and a sound track record; the roles, responsibilities and replacement provisions of all key parties are clearly defined.</w:t>
      </w:r>
    </w:p>
    <w:p w14:paraId="203861E9" w14:textId="77777777" w:rsidR="003E5E70" w:rsidRDefault="00000000">
      <w:pPr>
        <w:spacing w:before="60" w:after="20"/>
      </w:pPr>
      <w:r>
        <w:rPr>
          <w:b/>
          <w:color w:val="0E2C4B"/>
          <w:sz w:val="19"/>
        </w:rPr>
        <w:t>C2  Transparency to investors</w:t>
      </w:r>
    </w:p>
    <w:p w14:paraId="2E10E52A" w14:textId="77777777" w:rsidR="003E5E70" w:rsidRDefault="00000000">
      <w:pPr>
        <w:spacing w:before="40" w:after="100" w:line="269" w:lineRule="auto"/>
        <w:ind w:left="144"/>
      </w:pPr>
      <w:r>
        <w:rPr>
          <w:color w:val="1A1A1A"/>
          <w:sz w:val="19"/>
        </w:rPr>
        <w:t>Contractual obligations, definitions (including the definition of default) and remedies are clear, and servicing-continuity provisions ensure the deal can be administered if a party fails.</w:t>
      </w:r>
    </w:p>
    <w:p w14:paraId="59344B9B" w14:textId="77777777" w:rsidR="003E5E70" w:rsidRDefault="00000000">
      <w:pPr>
        <w:keepNext/>
        <w:spacing w:before="260" w:after="60"/>
      </w:pPr>
      <w:r>
        <w:rPr>
          <w:b/>
          <w:color w:val="355574"/>
          <w:sz w:val="24"/>
        </w:rPr>
        <w:t>Additional criteria for the capital benefit</w:t>
      </w:r>
    </w:p>
    <w:p w14:paraId="464560DC" w14:textId="77777777" w:rsidR="003E5E70" w:rsidRDefault="00000000">
      <w:pPr>
        <w:spacing w:before="60" w:after="20"/>
      </w:pPr>
      <w:r>
        <w:rPr>
          <w:b/>
          <w:color w:val="C2453C"/>
          <w:sz w:val="19"/>
        </w:rPr>
        <w:t>D1  Credit risk of the underlying exposures</w:t>
      </w:r>
    </w:p>
    <w:p w14:paraId="6EA1B2CF" w14:textId="77777777" w:rsidR="003E5E70" w:rsidRDefault="00000000">
      <w:pPr>
        <w:spacing w:before="40" w:after="100" w:line="269" w:lineRule="auto"/>
        <w:ind w:left="144"/>
      </w:pPr>
      <w:r>
        <w:rPr>
          <w:color w:val="1A1A1A"/>
          <w:sz w:val="19"/>
        </w:rPr>
        <w:t>At inclusion, the underlying exposures must meet conditions on credit quality — their standalone credit risk weight may not exceed prescribed ceilings by asset type — so the preferential treatment is not extended to high-risk pools.</w:t>
      </w:r>
    </w:p>
    <w:p w14:paraId="4C5595B3" w14:textId="77777777" w:rsidR="003E5E70" w:rsidRDefault="00000000">
      <w:pPr>
        <w:spacing w:before="60" w:after="20"/>
      </w:pPr>
      <w:r>
        <w:rPr>
          <w:b/>
          <w:color w:val="C2453C"/>
          <w:sz w:val="19"/>
        </w:rPr>
        <w:t>D2  Granularity</w:t>
      </w:r>
    </w:p>
    <w:p w14:paraId="0A5CE074" w14:textId="77777777" w:rsidR="003E5E70" w:rsidRDefault="00000000">
      <w:pPr>
        <w:spacing w:before="40" w:after="100" w:line="269" w:lineRule="auto"/>
        <w:ind w:left="144"/>
      </w:pPr>
      <w:r>
        <w:rPr>
          <w:color w:val="1A1A1A"/>
          <w:sz w:val="19"/>
        </w:rPr>
        <w:t>The pool must be granular: at inclusion no single aggregated exposure may represent more than a small share of the pool (a 1% concentration limit is the common benchmark), ensuring genuine diversification.</w:t>
      </w:r>
    </w:p>
    <w:p w14:paraId="281B6F40" w14:textId="77777777" w:rsidR="003E5E70" w:rsidRDefault="00000000">
      <w:pPr>
        <w:pBdr>
          <w:left w:val="single" w:sz="18" w:space="4" w:color="355574"/>
        </w:pBdr>
        <w:shd w:val="clear" w:color="auto" w:fill="F4F1EA"/>
        <w:spacing w:before="120" w:after="120"/>
        <w:ind w:left="72" w:right="72"/>
      </w:pPr>
      <w:r>
        <w:rPr>
          <w:b/>
          <w:color w:val="355574"/>
          <w:sz w:val="19"/>
        </w:rPr>
        <w:t xml:space="preserve">  DUE-DILIGENCE LINK   </w:t>
      </w:r>
      <w:r>
        <w:rPr>
          <w:color w:val="2A2A2A"/>
          <w:sz w:val="19"/>
        </w:rPr>
        <w:t xml:space="preserve">Every criterion above is something the holding institution must </w:t>
      </w:r>
      <w:r>
        <w:rPr>
          <w:b/>
          <w:color w:val="2A2A2A"/>
          <w:sz w:val="19"/>
        </w:rPr>
        <w:t>verify and evidence</w:t>
      </w:r>
      <w:r>
        <w:rPr>
          <w:color w:val="2A2A2A"/>
          <w:sz w:val="19"/>
        </w:rPr>
        <w:t xml:space="preserve"> as part of its due diligence before applying STC treatment — and re-verify over the life of the position.</w:t>
      </w:r>
    </w:p>
    <w:p w14:paraId="3F87AB10" w14:textId="77777777" w:rsidR="003E5E70" w:rsidRDefault="00000000">
      <w:pPr>
        <w:keepNext/>
        <w:pBdr>
          <w:bottom w:val="single" w:sz="10" w:space="4" w:color="0E2C4B"/>
        </w:pBdr>
        <w:spacing w:before="400" w:after="140"/>
      </w:pPr>
      <w:r>
        <w:rPr>
          <w:b/>
          <w:color w:val="0E2C4B"/>
          <w:sz w:val="32"/>
        </w:rPr>
        <w:t>Appendix B — Risk-Weight Reconciliation</w:t>
      </w:r>
    </w:p>
    <w:p w14:paraId="52BA6339" w14:textId="77777777" w:rsidR="003E5E70" w:rsidRDefault="00000000">
      <w:pPr>
        <w:spacing w:before="40" w:after="100" w:line="269" w:lineRule="auto"/>
      </w:pPr>
      <w:r>
        <w:rPr>
          <w:color w:val="1A1A1A"/>
          <w:sz w:val="21"/>
        </w:rPr>
        <w:t>This appendix reconciles the AUTO-2024-1 risk weights step by step, so the capital figures in Section 6 are fully auditable. Throughout, capital = risk weight × 8% × net notional. The maturity parameter feeding the risk-weight tables is set to one year for every tranche in the DRC securitisation treatment — so the one-year table column is used below — even though the tranches' actual remaining maturities differ.</w:t>
      </w:r>
    </w:p>
    <w:p w14:paraId="537D5673" w14:textId="77777777" w:rsidR="003E5E70" w:rsidRDefault="00000000">
      <w:pPr>
        <w:keepNext/>
        <w:spacing w:before="260" w:after="60"/>
      </w:pPr>
      <w:r>
        <w:rPr>
          <w:b/>
          <w:color w:val="355574"/>
          <w:sz w:val="24"/>
        </w:rPr>
        <w:t>B1  Senior tranche (ID 50, AAA, attachment 15% / detachment 100%)</w:t>
      </w:r>
    </w:p>
    <w:tbl>
      <w:tblPr>
        <w:tblStyle w:val="TableGrid"/>
        <w:tblW w:w="0" w:type="auto"/>
        <w:jc w:val="center"/>
        <w:tblLook w:val="04A0" w:firstRow="1" w:lastRow="0" w:firstColumn="1" w:lastColumn="0" w:noHBand="0" w:noVBand="1"/>
      </w:tblPr>
      <w:tblGrid>
        <w:gridCol w:w="5184"/>
        <w:gridCol w:w="2160"/>
        <w:gridCol w:w="2160"/>
      </w:tblGrid>
      <w:tr w:rsidR="003E5E70" w14:paraId="4E482AE7" w14:textId="77777777">
        <w:trPr>
          <w:jc w:val="center"/>
        </w:trPr>
        <w:tc>
          <w:tcPr>
            <w:tcW w:w="5184" w:type="dxa"/>
            <w:shd w:val="clear" w:color="auto" w:fill="0E2C4B"/>
          </w:tcPr>
          <w:p w14:paraId="0A6A6454" w14:textId="77777777" w:rsidR="003E5E70" w:rsidRDefault="00000000">
            <w:pPr>
              <w:spacing w:before="40" w:after="40"/>
            </w:pPr>
            <w:r>
              <w:rPr>
                <w:b/>
                <w:color w:val="FFFFFF"/>
                <w:sz w:val="19"/>
              </w:rPr>
              <w:t>Step</w:t>
            </w:r>
          </w:p>
        </w:tc>
        <w:tc>
          <w:tcPr>
            <w:tcW w:w="2160" w:type="dxa"/>
            <w:shd w:val="clear" w:color="auto" w:fill="0E2C4B"/>
          </w:tcPr>
          <w:p w14:paraId="2E97A93B" w14:textId="77777777" w:rsidR="003E5E70" w:rsidRDefault="00000000">
            <w:pPr>
              <w:spacing w:before="40" w:after="40"/>
            </w:pPr>
            <w:r>
              <w:rPr>
                <w:b/>
                <w:color w:val="FFFFFF"/>
                <w:sz w:val="19"/>
              </w:rPr>
              <w:t>Non-STC</w:t>
            </w:r>
          </w:p>
        </w:tc>
        <w:tc>
          <w:tcPr>
            <w:tcW w:w="2160" w:type="dxa"/>
            <w:shd w:val="clear" w:color="auto" w:fill="0E2C4B"/>
          </w:tcPr>
          <w:p w14:paraId="0B44178D" w14:textId="77777777" w:rsidR="003E5E70" w:rsidRDefault="00000000">
            <w:pPr>
              <w:spacing w:before="40" w:after="40"/>
            </w:pPr>
            <w:r>
              <w:rPr>
                <w:b/>
                <w:color w:val="FFFFFF"/>
                <w:sz w:val="19"/>
              </w:rPr>
              <w:t>STC</w:t>
            </w:r>
          </w:p>
        </w:tc>
      </w:tr>
      <w:tr w:rsidR="003E5E70" w14:paraId="041E6D39" w14:textId="77777777">
        <w:trPr>
          <w:jc w:val="center"/>
        </w:trPr>
        <w:tc>
          <w:tcPr>
            <w:tcW w:w="5184" w:type="dxa"/>
            <w:shd w:val="clear" w:color="auto" w:fill="F2F2F2"/>
          </w:tcPr>
          <w:p w14:paraId="41A2BFFA" w14:textId="77777777" w:rsidR="003E5E70" w:rsidRDefault="00000000">
            <w:pPr>
              <w:spacing w:before="40" w:after="40"/>
            </w:pPr>
            <w:r>
              <w:rPr>
                <w:color w:val="1A1A1A"/>
                <w:sz w:val="18"/>
              </w:rPr>
              <w:t>Ratings-based table weight (AAA, senior, 1-year)</w:t>
            </w:r>
          </w:p>
        </w:tc>
        <w:tc>
          <w:tcPr>
            <w:tcW w:w="2160" w:type="dxa"/>
            <w:shd w:val="clear" w:color="auto" w:fill="F2F2F2"/>
          </w:tcPr>
          <w:p w14:paraId="1BABAE6B" w14:textId="77777777" w:rsidR="003E5E70" w:rsidRDefault="00000000">
            <w:pPr>
              <w:spacing w:before="40" w:after="40"/>
            </w:pPr>
            <w:r>
              <w:rPr>
                <w:color w:val="1A1A1A"/>
                <w:sz w:val="18"/>
              </w:rPr>
              <w:t>15%</w:t>
            </w:r>
          </w:p>
        </w:tc>
        <w:tc>
          <w:tcPr>
            <w:tcW w:w="2160" w:type="dxa"/>
            <w:shd w:val="clear" w:color="auto" w:fill="F2F2F2"/>
          </w:tcPr>
          <w:p w14:paraId="244EF51F" w14:textId="77777777" w:rsidR="003E5E70" w:rsidRDefault="00000000">
            <w:pPr>
              <w:spacing w:before="40" w:after="40"/>
            </w:pPr>
            <w:r>
              <w:rPr>
                <w:color w:val="1A1A1A"/>
                <w:sz w:val="18"/>
              </w:rPr>
              <w:t>10%</w:t>
            </w:r>
          </w:p>
        </w:tc>
      </w:tr>
      <w:tr w:rsidR="003E5E70" w14:paraId="3CB158F0" w14:textId="77777777">
        <w:trPr>
          <w:jc w:val="center"/>
        </w:trPr>
        <w:tc>
          <w:tcPr>
            <w:tcW w:w="5184" w:type="dxa"/>
            <w:shd w:val="clear" w:color="auto" w:fill="FFFFFF"/>
          </w:tcPr>
          <w:p w14:paraId="1E50D7B6" w14:textId="77777777" w:rsidR="003E5E70" w:rsidRDefault="00000000">
            <w:pPr>
              <w:spacing w:before="40" w:after="40"/>
            </w:pPr>
            <w:r>
              <w:rPr>
                <w:color w:val="1A1A1A"/>
                <w:sz w:val="18"/>
              </w:rPr>
              <w:t>Risk-weight floor (senior)</w:t>
            </w:r>
          </w:p>
        </w:tc>
        <w:tc>
          <w:tcPr>
            <w:tcW w:w="2160" w:type="dxa"/>
            <w:shd w:val="clear" w:color="auto" w:fill="FFFFFF"/>
          </w:tcPr>
          <w:p w14:paraId="1E7016D8" w14:textId="77777777" w:rsidR="003E5E70" w:rsidRDefault="00000000">
            <w:pPr>
              <w:spacing w:before="40" w:after="40"/>
            </w:pPr>
            <w:r>
              <w:rPr>
                <w:color w:val="1A1A1A"/>
                <w:sz w:val="18"/>
              </w:rPr>
              <w:t>15%</w:t>
            </w:r>
          </w:p>
        </w:tc>
        <w:tc>
          <w:tcPr>
            <w:tcW w:w="2160" w:type="dxa"/>
            <w:shd w:val="clear" w:color="auto" w:fill="FFFFFF"/>
          </w:tcPr>
          <w:p w14:paraId="4D291903" w14:textId="77777777" w:rsidR="003E5E70" w:rsidRDefault="00000000">
            <w:pPr>
              <w:spacing w:before="40" w:after="40"/>
            </w:pPr>
            <w:r>
              <w:rPr>
                <w:color w:val="1A1A1A"/>
                <w:sz w:val="18"/>
              </w:rPr>
              <w:t>10%</w:t>
            </w:r>
          </w:p>
        </w:tc>
      </w:tr>
      <w:tr w:rsidR="003E5E70" w14:paraId="74E9EFAA" w14:textId="77777777">
        <w:trPr>
          <w:jc w:val="center"/>
        </w:trPr>
        <w:tc>
          <w:tcPr>
            <w:tcW w:w="5184" w:type="dxa"/>
            <w:shd w:val="clear" w:color="auto" w:fill="F2F2F2"/>
          </w:tcPr>
          <w:p w14:paraId="7AADC8A6" w14:textId="77777777" w:rsidR="003E5E70" w:rsidRDefault="00000000">
            <w:pPr>
              <w:spacing w:before="40" w:after="40"/>
            </w:pPr>
            <w:r>
              <w:rPr>
                <w:color w:val="1A1A1A"/>
                <w:sz w:val="18"/>
              </w:rPr>
              <w:t>Final risk weight</w:t>
            </w:r>
          </w:p>
        </w:tc>
        <w:tc>
          <w:tcPr>
            <w:tcW w:w="2160" w:type="dxa"/>
            <w:shd w:val="clear" w:color="auto" w:fill="F2F2F2"/>
          </w:tcPr>
          <w:p w14:paraId="77F783DC" w14:textId="77777777" w:rsidR="003E5E70" w:rsidRDefault="00000000">
            <w:pPr>
              <w:spacing w:before="40" w:after="40"/>
            </w:pPr>
            <w:r>
              <w:rPr>
                <w:color w:val="1A1A1A"/>
                <w:sz w:val="18"/>
              </w:rPr>
              <w:t>15%</w:t>
            </w:r>
          </w:p>
        </w:tc>
        <w:tc>
          <w:tcPr>
            <w:tcW w:w="2160" w:type="dxa"/>
            <w:shd w:val="clear" w:color="auto" w:fill="F2F2F2"/>
          </w:tcPr>
          <w:p w14:paraId="6D8A7CFD" w14:textId="77777777" w:rsidR="003E5E70" w:rsidRDefault="00000000">
            <w:pPr>
              <w:spacing w:before="40" w:after="40"/>
            </w:pPr>
            <w:r>
              <w:rPr>
                <w:color w:val="1A1A1A"/>
                <w:sz w:val="18"/>
              </w:rPr>
              <w:t>10%</w:t>
            </w:r>
          </w:p>
        </w:tc>
      </w:tr>
      <w:tr w:rsidR="003E5E70" w14:paraId="770647BB" w14:textId="77777777">
        <w:trPr>
          <w:jc w:val="center"/>
        </w:trPr>
        <w:tc>
          <w:tcPr>
            <w:tcW w:w="5184" w:type="dxa"/>
            <w:shd w:val="clear" w:color="auto" w:fill="FFFFFF"/>
          </w:tcPr>
          <w:p w14:paraId="4D9C5367" w14:textId="77777777" w:rsidR="003E5E70" w:rsidRDefault="00000000">
            <w:pPr>
              <w:spacing w:before="40" w:after="40"/>
            </w:pPr>
            <w:r>
              <w:rPr>
                <w:color w:val="1A1A1A"/>
                <w:sz w:val="18"/>
              </w:rPr>
              <w:t>Capital  =  RW × 8% × $80.0m</w:t>
            </w:r>
          </w:p>
        </w:tc>
        <w:tc>
          <w:tcPr>
            <w:tcW w:w="2160" w:type="dxa"/>
            <w:shd w:val="clear" w:color="auto" w:fill="FFFFFF"/>
          </w:tcPr>
          <w:p w14:paraId="01387FFF" w14:textId="77777777" w:rsidR="003E5E70" w:rsidRDefault="00000000">
            <w:pPr>
              <w:spacing w:before="40" w:after="40"/>
            </w:pPr>
            <w:r>
              <w:rPr>
                <w:color w:val="1A1A1A"/>
                <w:sz w:val="18"/>
              </w:rPr>
              <w:t>$960,000</w:t>
            </w:r>
          </w:p>
        </w:tc>
        <w:tc>
          <w:tcPr>
            <w:tcW w:w="2160" w:type="dxa"/>
            <w:shd w:val="clear" w:color="auto" w:fill="FFFFFF"/>
          </w:tcPr>
          <w:p w14:paraId="6F930A7D" w14:textId="77777777" w:rsidR="003E5E70" w:rsidRDefault="00000000">
            <w:pPr>
              <w:spacing w:before="40" w:after="40"/>
            </w:pPr>
            <w:r>
              <w:rPr>
                <w:color w:val="1A1A1A"/>
                <w:sz w:val="18"/>
              </w:rPr>
              <w:t>$640,000</w:t>
            </w:r>
          </w:p>
        </w:tc>
      </w:tr>
    </w:tbl>
    <w:p w14:paraId="46FAD315" w14:textId="77777777" w:rsidR="003E5E70" w:rsidRDefault="00000000">
      <w:pPr>
        <w:spacing w:before="60"/>
      </w:pPr>
      <w:r>
        <w:rPr>
          <w:b/>
          <w:color w:val="0E2C4B"/>
          <w:sz w:val="17"/>
        </w:rPr>
        <w:t xml:space="preserve">Exhibit 8.  </w:t>
      </w:r>
      <w:r>
        <w:rPr>
          <w:i/>
          <w:color w:val="555555"/>
          <w:sz w:val="17"/>
        </w:rPr>
        <w:t>Senior tranche — the STC table and the lower STC senior floor both move the weight to 10%.</w:t>
      </w:r>
    </w:p>
    <w:p w14:paraId="1F80BA1A" w14:textId="77777777" w:rsidR="003E5E70" w:rsidRDefault="00000000">
      <w:pPr>
        <w:keepNext/>
        <w:spacing w:before="260" w:after="60"/>
      </w:pPr>
      <w:r>
        <w:rPr>
          <w:b/>
          <w:color w:val="355574"/>
          <w:sz w:val="24"/>
        </w:rPr>
        <w:t>B2  Non-senior tranche (ID 51, A, attachment 5% / detachment 15%)</w:t>
      </w:r>
    </w:p>
    <w:tbl>
      <w:tblPr>
        <w:tblStyle w:val="TableGrid"/>
        <w:tblW w:w="0" w:type="auto"/>
        <w:jc w:val="center"/>
        <w:tblLook w:val="04A0" w:firstRow="1" w:lastRow="0" w:firstColumn="1" w:lastColumn="0" w:noHBand="0" w:noVBand="1"/>
      </w:tblPr>
      <w:tblGrid>
        <w:gridCol w:w="5184"/>
        <w:gridCol w:w="2160"/>
        <w:gridCol w:w="2160"/>
      </w:tblGrid>
      <w:tr w:rsidR="003E5E70" w14:paraId="2EF2E97F" w14:textId="77777777">
        <w:trPr>
          <w:jc w:val="center"/>
        </w:trPr>
        <w:tc>
          <w:tcPr>
            <w:tcW w:w="5184" w:type="dxa"/>
            <w:shd w:val="clear" w:color="auto" w:fill="0E2C4B"/>
          </w:tcPr>
          <w:p w14:paraId="28703962" w14:textId="77777777" w:rsidR="003E5E70" w:rsidRDefault="00000000">
            <w:pPr>
              <w:spacing w:before="40" w:after="40"/>
            </w:pPr>
            <w:r>
              <w:rPr>
                <w:b/>
                <w:color w:val="FFFFFF"/>
                <w:sz w:val="19"/>
              </w:rPr>
              <w:t>Step</w:t>
            </w:r>
          </w:p>
        </w:tc>
        <w:tc>
          <w:tcPr>
            <w:tcW w:w="2160" w:type="dxa"/>
            <w:shd w:val="clear" w:color="auto" w:fill="0E2C4B"/>
          </w:tcPr>
          <w:p w14:paraId="74563872" w14:textId="77777777" w:rsidR="003E5E70" w:rsidRDefault="00000000">
            <w:pPr>
              <w:spacing w:before="40" w:after="40"/>
            </w:pPr>
            <w:r>
              <w:rPr>
                <w:b/>
                <w:color w:val="FFFFFF"/>
                <w:sz w:val="19"/>
              </w:rPr>
              <w:t>Non-STC</w:t>
            </w:r>
          </w:p>
        </w:tc>
        <w:tc>
          <w:tcPr>
            <w:tcW w:w="2160" w:type="dxa"/>
            <w:shd w:val="clear" w:color="auto" w:fill="0E2C4B"/>
          </w:tcPr>
          <w:p w14:paraId="2AC05112" w14:textId="77777777" w:rsidR="003E5E70" w:rsidRDefault="00000000">
            <w:pPr>
              <w:spacing w:before="40" w:after="40"/>
            </w:pPr>
            <w:r>
              <w:rPr>
                <w:b/>
                <w:color w:val="FFFFFF"/>
                <w:sz w:val="19"/>
              </w:rPr>
              <w:t>STC</w:t>
            </w:r>
          </w:p>
        </w:tc>
      </w:tr>
      <w:tr w:rsidR="003E5E70" w14:paraId="2E7593AA" w14:textId="77777777">
        <w:trPr>
          <w:jc w:val="center"/>
        </w:trPr>
        <w:tc>
          <w:tcPr>
            <w:tcW w:w="5184" w:type="dxa"/>
            <w:shd w:val="clear" w:color="auto" w:fill="F2F2F2"/>
          </w:tcPr>
          <w:p w14:paraId="37F46B54" w14:textId="77777777" w:rsidR="003E5E70" w:rsidRDefault="00000000">
            <w:pPr>
              <w:spacing w:before="40" w:after="40"/>
            </w:pPr>
            <w:r>
              <w:rPr>
                <w:color w:val="1A1A1A"/>
                <w:sz w:val="18"/>
              </w:rPr>
              <w:t>Ratings-based table weight (A, non-senior, 1-year)</w:t>
            </w:r>
          </w:p>
        </w:tc>
        <w:tc>
          <w:tcPr>
            <w:tcW w:w="2160" w:type="dxa"/>
            <w:shd w:val="clear" w:color="auto" w:fill="F2F2F2"/>
          </w:tcPr>
          <w:p w14:paraId="36C64637" w14:textId="77777777" w:rsidR="003E5E70" w:rsidRDefault="00000000">
            <w:pPr>
              <w:spacing w:before="40" w:after="40"/>
            </w:pPr>
            <w:r>
              <w:rPr>
                <w:color w:val="1A1A1A"/>
                <w:sz w:val="18"/>
              </w:rPr>
              <w:t>80%</w:t>
            </w:r>
          </w:p>
        </w:tc>
        <w:tc>
          <w:tcPr>
            <w:tcW w:w="2160" w:type="dxa"/>
            <w:shd w:val="clear" w:color="auto" w:fill="F2F2F2"/>
          </w:tcPr>
          <w:p w14:paraId="6F807781" w14:textId="77777777" w:rsidR="003E5E70" w:rsidRDefault="00000000">
            <w:pPr>
              <w:spacing w:before="40" w:after="40"/>
            </w:pPr>
            <w:r>
              <w:rPr>
                <w:color w:val="1A1A1A"/>
                <w:sz w:val="18"/>
              </w:rPr>
              <w:t>60%</w:t>
            </w:r>
          </w:p>
        </w:tc>
      </w:tr>
      <w:tr w:rsidR="003E5E70" w14:paraId="3F60353C" w14:textId="77777777">
        <w:trPr>
          <w:jc w:val="center"/>
        </w:trPr>
        <w:tc>
          <w:tcPr>
            <w:tcW w:w="5184" w:type="dxa"/>
            <w:shd w:val="clear" w:color="auto" w:fill="FFFFFF"/>
          </w:tcPr>
          <w:p w14:paraId="6FAEA7B6" w14:textId="77777777" w:rsidR="003E5E70" w:rsidRDefault="00000000">
            <w:pPr>
              <w:spacing w:before="40" w:after="40"/>
            </w:pPr>
            <w:r>
              <w:rPr>
                <w:color w:val="1A1A1A"/>
                <w:sz w:val="18"/>
              </w:rPr>
              <w:t>Thickness adjustment  =  max(1 - (D - A), 0.5)  =  0.90</w:t>
            </w:r>
          </w:p>
        </w:tc>
        <w:tc>
          <w:tcPr>
            <w:tcW w:w="2160" w:type="dxa"/>
            <w:shd w:val="clear" w:color="auto" w:fill="FFFFFF"/>
          </w:tcPr>
          <w:p w14:paraId="1A64F1D9" w14:textId="77777777" w:rsidR="003E5E70" w:rsidRDefault="00000000">
            <w:pPr>
              <w:spacing w:before="40" w:after="40"/>
            </w:pPr>
            <w:r>
              <w:rPr>
                <w:color w:val="1A1A1A"/>
                <w:sz w:val="18"/>
              </w:rPr>
              <w:t>× 0.90</w:t>
            </w:r>
          </w:p>
        </w:tc>
        <w:tc>
          <w:tcPr>
            <w:tcW w:w="2160" w:type="dxa"/>
            <w:shd w:val="clear" w:color="auto" w:fill="FFFFFF"/>
          </w:tcPr>
          <w:p w14:paraId="2D9EC7B5" w14:textId="77777777" w:rsidR="003E5E70" w:rsidRDefault="00000000">
            <w:pPr>
              <w:spacing w:before="40" w:after="40"/>
            </w:pPr>
            <w:r>
              <w:rPr>
                <w:color w:val="1A1A1A"/>
                <w:sz w:val="18"/>
              </w:rPr>
              <w:t>× 0.90</w:t>
            </w:r>
          </w:p>
        </w:tc>
      </w:tr>
      <w:tr w:rsidR="003E5E70" w14:paraId="69B90026" w14:textId="77777777">
        <w:trPr>
          <w:jc w:val="center"/>
        </w:trPr>
        <w:tc>
          <w:tcPr>
            <w:tcW w:w="5184" w:type="dxa"/>
            <w:shd w:val="clear" w:color="auto" w:fill="F2F2F2"/>
          </w:tcPr>
          <w:p w14:paraId="68E70766" w14:textId="77777777" w:rsidR="003E5E70" w:rsidRDefault="00000000">
            <w:pPr>
              <w:spacing w:before="40" w:after="40"/>
            </w:pPr>
            <w:r>
              <w:rPr>
                <w:color w:val="1A1A1A"/>
                <w:sz w:val="18"/>
              </w:rPr>
              <w:t>Final risk weight</w:t>
            </w:r>
          </w:p>
        </w:tc>
        <w:tc>
          <w:tcPr>
            <w:tcW w:w="2160" w:type="dxa"/>
            <w:shd w:val="clear" w:color="auto" w:fill="F2F2F2"/>
          </w:tcPr>
          <w:p w14:paraId="0213D4A3" w14:textId="77777777" w:rsidR="003E5E70" w:rsidRDefault="00000000">
            <w:pPr>
              <w:spacing w:before="40" w:after="40"/>
            </w:pPr>
            <w:r>
              <w:rPr>
                <w:color w:val="1A1A1A"/>
                <w:sz w:val="18"/>
              </w:rPr>
              <w:t>72%</w:t>
            </w:r>
          </w:p>
        </w:tc>
        <w:tc>
          <w:tcPr>
            <w:tcW w:w="2160" w:type="dxa"/>
            <w:shd w:val="clear" w:color="auto" w:fill="F2F2F2"/>
          </w:tcPr>
          <w:p w14:paraId="4DD11900" w14:textId="77777777" w:rsidR="003E5E70" w:rsidRDefault="00000000">
            <w:pPr>
              <w:spacing w:before="40" w:after="40"/>
            </w:pPr>
            <w:r>
              <w:rPr>
                <w:color w:val="1A1A1A"/>
                <w:sz w:val="18"/>
              </w:rPr>
              <w:t>54%</w:t>
            </w:r>
          </w:p>
        </w:tc>
      </w:tr>
      <w:tr w:rsidR="003E5E70" w14:paraId="36713196" w14:textId="77777777">
        <w:trPr>
          <w:jc w:val="center"/>
        </w:trPr>
        <w:tc>
          <w:tcPr>
            <w:tcW w:w="5184" w:type="dxa"/>
            <w:shd w:val="clear" w:color="auto" w:fill="FFFFFF"/>
          </w:tcPr>
          <w:p w14:paraId="794798E7" w14:textId="77777777" w:rsidR="003E5E70" w:rsidRDefault="00000000">
            <w:pPr>
              <w:spacing w:before="40" w:after="40"/>
            </w:pPr>
            <w:r>
              <w:rPr>
                <w:color w:val="1A1A1A"/>
                <w:sz w:val="18"/>
              </w:rPr>
              <w:t>Risk-weight floor (non-senior)</w:t>
            </w:r>
          </w:p>
        </w:tc>
        <w:tc>
          <w:tcPr>
            <w:tcW w:w="2160" w:type="dxa"/>
            <w:shd w:val="clear" w:color="auto" w:fill="FFFFFF"/>
          </w:tcPr>
          <w:p w14:paraId="4AC1D3B9" w14:textId="77777777" w:rsidR="003E5E70" w:rsidRDefault="00000000">
            <w:pPr>
              <w:spacing w:before="40" w:after="40"/>
            </w:pPr>
            <w:r>
              <w:rPr>
                <w:color w:val="1A1A1A"/>
                <w:sz w:val="18"/>
              </w:rPr>
              <w:t>15%</w:t>
            </w:r>
          </w:p>
        </w:tc>
        <w:tc>
          <w:tcPr>
            <w:tcW w:w="2160" w:type="dxa"/>
            <w:shd w:val="clear" w:color="auto" w:fill="FFFFFF"/>
          </w:tcPr>
          <w:p w14:paraId="08E43927" w14:textId="77777777" w:rsidR="003E5E70" w:rsidRDefault="00000000">
            <w:pPr>
              <w:spacing w:before="40" w:after="40"/>
            </w:pPr>
            <w:r>
              <w:rPr>
                <w:color w:val="1A1A1A"/>
                <w:sz w:val="18"/>
              </w:rPr>
              <w:t>15%  (not binding)</w:t>
            </w:r>
          </w:p>
        </w:tc>
      </w:tr>
      <w:tr w:rsidR="003E5E70" w14:paraId="4EA35F3C" w14:textId="77777777">
        <w:trPr>
          <w:jc w:val="center"/>
        </w:trPr>
        <w:tc>
          <w:tcPr>
            <w:tcW w:w="5184" w:type="dxa"/>
            <w:shd w:val="clear" w:color="auto" w:fill="F2F2F2"/>
          </w:tcPr>
          <w:p w14:paraId="2F88059C" w14:textId="77777777" w:rsidR="003E5E70" w:rsidRDefault="00000000">
            <w:pPr>
              <w:spacing w:before="40" w:after="40"/>
            </w:pPr>
            <w:r>
              <w:rPr>
                <w:color w:val="1A1A1A"/>
                <w:sz w:val="18"/>
              </w:rPr>
              <w:t>Capital  =  RW × 8% × $12.0m</w:t>
            </w:r>
          </w:p>
        </w:tc>
        <w:tc>
          <w:tcPr>
            <w:tcW w:w="2160" w:type="dxa"/>
            <w:shd w:val="clear" w:color="auto" w:fill="F2F2F2"/>
          </w:tcPr>
          <w:p w14:paraId="104BFB68" w14:textId="77777777" w:rsidR="003E5E70" w:rsidRDefault="00000000">
            <w:pPr>
              <w:spacing w:before="40" w:after="40"/>
            </w:pPr>
            <w:r>
              <w:rPr>
                <w:color w:val="1A1A1A"/>
                <w:sz w:val="18"/>
              </w:rPr>
              <w:t>$691,200</w:t>
            </w:r>
          </w:p>
        </w:tc>
        <w:tc>
          <w:tcPr>
            <w:tcW w:w="2160" w:type="dxa"/>
            <w:shd w:val="clear" w:color="auto" w:fill="F2F2F2"/>
          </w:tcPr>
          <w:p w14:paraId="4DF86E11" w14:textId="77777777" w:rsidR="003E5E70" w:rsidRDefault="00000000">
            <w:pPr>
              <w:spacing w:before="40" w:after="40"/>
            </w:pPr>
            <w:r>
              <w:rPr>
                <w:color w:val="1A1A1A"/>
                <w:sz w:val="18"/>
              </w:rPr>
              <w:t>$518,400</w:t>
            </w:r>
          </w:p>
        </w:tc>
      </w:tr>
    </w:tbl>
    <w:p w14:paraId="6C897190" w14:textId="77777777" w:rsidR="003E5E70" w:rsidRDefault="00000000">
      <w:pPr>
        <w:spacing w:before="60"/>
      </w:pPr>
      <w:r>
        <w:rPr>
          <w:b/>
          <w:color w:val="0E2C4B"/>
          <w:sz w:val="17"/>
        </w:rPr>
        <w:t xml:space="preserve">Exhibit 9.  </w:t>
      </w:r>
      <w:r>
        <w:rPr>
          <w:i/>
          <w:color w:val="555555"/>
          <w:sz w:val="17"/>
        </w:rPr>
        <w:t>Non-senior tranche — STC changes the table weight (80% to 60%); the 0.90 thickness adjustment and the 15% non-senior floor are unchanged. The floor does not bind.</w:t>
      </w:r>
    </w:p>
    <w:p w14:paraId="6FD6894F" w14:textId="77777777" w:rsidR="003E5E70" w:rsidRDefault="00000000">
      <w:r>
        <w:lastRenderedPageBreak/>
        <w:br w:type="page"/>
      </w:r>
    </w:p>
    <w:p w14:paraId="145EA066" w14:textId="77777777" w:rsidR="003E5E70" w:rsidRDefault="00000000">
      <w:pPr>
        <w:keepNext/>
        <w:pBdr>
          <w:bottom w:val="single" w:sz="10" w:space="4" w:color="0E2C4B"/>
        </w:pBdr>
        <w:spacing w:before="400" w:after="140"/>
      </w:pPr>
      <w:r>
        <w:rPr>
          <w:b/>
          <w:color w:val="0E2C4B"/>
          <w:sz w:val="32"/>
        </w:rPr>
        <w:lastRenderedPageBreak/>
        <w:t>References</w:t>
      </w:r>
    </w:p>
    <w:p w14:paraId="0D3C36E9" w14:textId="77777777" w:rsidR="003E5E70" w:rsidRDefault="00000000">
      <w:pPr>
        <w:spacing w:before="40" w:after="100" w:line="269" w:lineRule="auto"/>
      </w:pPr>
      <w:r>
        <w:rPr>
          <w:i/>
          <w:color w:val="555555"/>
          <w:sz w:val="19"/>
        </w:rPr>
        <w:t>The references below document, in full, the regulatory and internal sources underpinning every statement in this note. They are consolidated here by design: the body of the note is kept free of citation clutter so that it reads as a continuous argument, while this section gives the precise, traceable source for each point.</w:t>
      </w:r>
    </w:p>
    <w:p w14:paraId="5A13318E" w14:textId="77777777" w:rsidR="003E5E70" w:rsidRDefault="00000000">
      <w:pPr>
        <w:keepNext/>
        <w:spacing w:before="260" w:after="60"/>
      </w:pPr>
      <w:r>
        <w:rPr>
          <w:b/>
          <w:color w:val="355574"/>
          <w:sz w:val="24"/>
        </w:rPr>
        <w:t>Primary standards — global (Basel / IOSCO)</w:t>
      </w:r>
    </w:p>
    <w:tbl>
      <w:tblPr>
        <w:tblStyle w:val="TableGrid"/>
        <w:tblW w:w="0" w:type="auto"/>
        <w:jc w:val="center"/>
        <w:tblLook w:val="04A0" w:firstRow="1" w:lastRow="0" w:firstColumn="1" w:lastColumn="0" w:noHBand="0" w:noVBand="1"/>
      </w:tblPr>
      <w:tblGrid>
        <w:gridCol w:w="1944"/>
        <w:gridCol w:w="4176"/>
        <w:gridCol w:w="3240"/>
      </w:tblGrid>
      <w:tr w:rsidR="003E5E70" w14:paraId="3C023E0E" w14:textId="77777777">
        <w:trPr>
          <w:jc w:val="center"/>
        </w:trPr>
        <w:tc>
          <w:tcPr>
            <w:tcW w:w="1944" w:type="dxa"/>
            <w:shd w:val="clear" w:color="auto" w:fill="0E2C4B"/>
          </w:tcPr>
          <w:p w14:paraId="2D60F52C" w14:textId="77777777" w:rsidR="003E5E70" w:rsidRDefault="00000000">
            <w:pPr>
              <w:spacing w:before="40" w:after="40"/>
            </w:pPr>
            <w:r>
              <w:rPr>
                <w:b/>
                <w:color w:val="FFFFFF"/>
                <w:sz w:val="17"/>
              </w:rPr>
              <w:t>Reference</w:t>
            </w:r>
          </w:p>
        </w:tc>
        <w:tc>
          <w:tcPr>
            <w:tcW w:w="4176" w:type="dxa"/>
            <w:shd w:val="clear" w:color="auto" w:fill="0E2C4B"/>
          </w:tcPr>
          <w:p w14:paraId="7BAA51A0" w14:textId="77777777" w:rsidR="003E5E70" w:rsidRDefault="00000000">
            <w:pPr>
              <w:spacing w:before="40" w:after="40"/>
            </w:pPr>
            <w:r>
              <w:rPr>
                <w:b/>
                <w:color w:val="FFFFFF"/>
                <w:sz w:val="17"/>
              </w:rPr>
              <w:t>Title and source</w:t>
            </w:r>
          </w:p>
        </w:tc>
        <w:tc>
          <w:tcPr>
            <w:tcW w:w="3240" w:type="dxa"/>
            <w:shd w:val="clear" w:color="auto" w:fill="0E2C4B"/>
          </w:tcPr>
          <w:p w14:paraId="500A739D" w14:textId="77777777" w:rsidR="003E5E70" w:rsidRDefault="00000000">
            <w:pPr>
              <w:spacing w:before="40" w:after="40"/>
            </w:pPr>
            <w:r>
              <w:rPr>
                <w:b/>
                <w:color w:val="FFFFFF"/>
                <w:sz w:val="17"/>
              </w:rPr>
              <w:t>What it governs in this note</w:t>
            </w:r>
          </w:p>
        </w:tc>
      </w:tr>
      <w:tr w:rsidR="003E5E70" w14:paraId="121B01CC" w14:textId="77777777">
        <w:trPr>
          <w:jc w:val="center"/>
        </w:trPr>
        <w:tc>
          <w:tcPr>
            <w:tcW w:w="1944" w:type="dxa"/>
            <w:shd w:val="clear" w:color="auto" w:fill="F2F2F2"/>
          </w:tcPr>
          <w:p w14:paraId="3D1367C4" w14:textId="77777777" w:rsidR="003E5E70" w:rsidRDefault="00000000">
            <w:pPr>
              <w:spacing w:before="40" w:after="40"/>
            </w:pPr>
            <w:r>
              <w:rPr>
                <w:color w:val="1A1A1A"/>
                <w:sz w:val="16"/>
              </w:rPr>
              <w:t>BCBS–IOSCO (July 2015)</w:t>
            </w:r>
          </w:p>
        </w:tc>
        <w:tc>
          <w:tcPr>
            <w:tcW w:w="4176" w:type="dxa"/>
            <w:shd w:val="clear" w:color="auto" w:fill="F2F2F2"/>
          </w:tcPr>
          <w:p w14:paraId="2C80AB63" w14:textId="77777777" w:rsidR="003E5E70" w:rsidRDefault="00000000">
            <w:pPr>
              <w:spacing w:before="40" w:after="40"/>
            </w:pPr>
            <w:r>
              <w:rPr>
                <w:color w:val="1A1A1A"/>
                <w:sz w:val="16"/>
              </w:rPr>
              <w:t>Criteria for identifying simple, transparent and comparable securitisations. Basel Committee on Banking Supervision &amp; IOSCO.</w:t>
            </w:r>
          </w:p>
        </w:tc>
        <w:tc>
          <w:tcPr>
            <w:tcW w:w="3240" w:type="dxa"/>
            <w:shd w:val="clear" w:color="auto" w:fill="F2F2F2"/>
          </w:tcPr>
          <w:p w14:paraId="5F3BBEFE" w14:textId="77777777" w:rsidR="003E5E70" w:rsidRDefault="00000000">
            <w:pPr>
              <w:spacing w:before="40" w:after="40"/>
            </w:pPr>
            <w:r>
              <w:rPr>
                <w:color w:val="1A1A1A"/>
                <w:sz w:val="16"/>
              </w:rPr>
              <w:t>The 14 term-securitisation STC criteria — Appendix A, sections A/B/C.</w:t>
            </w:r>
          </w:p>
        </w:tc>
      </w:tr>
      <w:tr w:rsidR="003E5E70" w14:paraId="25548C75" w14:textId="77777777">
        <w:trPr>
          <w:jc w:val="center"/>
        </w:trPr>
        <w:tc>
          <w:tcPr>
            <w:tcW w:w="1944" w:type="dxa"/>
            <w:shd w:val="clear" w:color="auto" w:fill="FFFFFF"/>
          </w:tcPr>
          <w:p w14:paraId="3120BBB0" w14:textId="77777777" w:rsidR="003E5E70" w:rsidRDefault="00000000">
            <w:pPr>
              <w:spacing w:before="40" w:after="40"/>
            </w:pPr>
            <w:r>
              <w:rPr>
                <w:color w:val="1A1A1A"/>
                <w:sz w:val="16"/>
              </w:rPr>
              <w:t>BCBS (July 2016), d374</w:t>
            </w:r>
          </w:p>
        </w:tc>
        <w:tc>
          <w:tcPr>
            <w:tcW w:w="4176" w:type="dxa"/>
            <w:shd w:val="clear" w:color="auto" w:fill="FFFFFF"/>
          </w:tcPr>
          <w:p w14:paraId="4FCD1AD7" w14:textId="77777777" w:rsidR="003E5E70" w:rsidRDefault="00000000">
            <w:pPr>
              <w:spacing w:before="40" w:after="40"/>
            </w:pPr>
            <w:r>
              <w:rPr>
                <w:color w:val="1A1A1A"/>
                <w:sz w:val="16"/>
              </w:rPr>
              <w:t>Capital treatment for simple, transparent and comparable securitisations. Basel Committee on Banking Supervision.</w:t>
            </w:r>
          </w:p>
        </w:tc>
        <w:tc>
          <w:tcPr>
            <w:tcW w:w="3240" w:type="dxa"/>
            <w:shd w:val="clear" w:color="auto" w:fill="FFFFFF"/>
          </w:tcPr>
          <w:p w14:paraId="0A8B8406" w14:textId="77777777" w:rsidR="003E5E70" w:rsidRDefault="00000000">
            <w:pPr>
              <w:spacing w:before="40" w:after="40"/>
            </w:pPr>
            <w:r>
              <w:rPr>
                <w:color w:val="1A1A1A"/>
                <w:sz w:val="16"/>
              </w:rPr>
              <w:t>The preferential capital treatment and the two additional capital criteria — Appendix A, section D; Sections 1, 7.</w:t>
            </w:r>
          </w:p>
        </w:tc>
      </w:tr>
      <w:tr w:rsidR="003E5E70" w14:paraId="7E4D16F2" w14:textId="77777777">
        <w:trPr>
          <w:jc w:val="center"/>
        </w:trPr>
        <w:tc>
          <w:tcPr>
            <w:tcW w:w="1944" w:type="dxa"/>
            <w:shd w:val="clear" w:color="auto" w:fill="F2F2F2"/>
          </w:tcPr>
          <w:p w14:paraId="379D39C6" w14:textId="77777777" w:rsidR="003E5E70" w:rsidRDefault="00000000">
            <w:pPr>
              <w:spacing w:before="40" w:after="40"/>
            </w:pPr>
            <w:r>
              <w:rPr>
                <w:color w:val="1A1A1A"/>
                <w:sz w:val="16"/>
              </w:rPr>
              <w:t>BCBS–IOSCO (May 2018)</w:t>
            </w:r>
          </w:p>
        </w:tc>
        <w:tc>
          <w:tcPr>
            <w:tcW w:w="4176" w:type="dxa"/>
            <w:shd w:val="clear" w:color="auto" w:fill="F2F2F2"/>
          </w:tcPr>
          <w:p w14:paraId="25BE2F88" w14:textId="77777777" w:rsidR="003E5E70" w:rsidRDefault="00000000">
            <w:pPr>
              <w:spacing w:before="40" w:after="40"/>
            </w:pPr>
            <w:r>
              <w:rPr>
                <w:color w:val="1A1A1A"/>
                <w:sz w:val="16"/>
              </w:rPr>
              <w:t>Criteria for identifying simple, transparent and comparable short-term securitisations.</w:t>
            </w:r>
          </w:p>
        </w:tc>
        <w:tc>
          <w:tcPr>
            <w:tcW w:w="3240" w:type="dxa"/>
            <w:shd w:val="clear" w:color="auto" w:fill="F2F2F2"/>
          </w:tcPr>
          <w:p w14:paraId="0C323CA4" w14:textId="77777777" w:rsidR="003E5E70" w:rsidRDefault="00000000">
            <w:pPr>
              <w:spacing w:before="40" w:after="40"/>
            </w:pPr>
            <w:r>
              <w:rPr>
                <w:color w:val="1A1A1A"/>
                <w:sz w:val="16"/>
              </w:rPr>
              <w:t>The separate STC criteria set for ABCP programmes — Section 4.</w:t>
            </w:r>
          </w:p>
        </w:tc>
      </w:tr>
      <w:tr w:rsidR="003E5E70" w14:paraId="2DE6F1F8" w14:textId="77777777">
        <w:trPr>
          <w:jc w:val="center"/>
        </w:trPr>
        <w:tc>
          <w:tcPr>
            <w:tcW w:w="1944" w:type="dxa"/>
            <w:shd w:val="clear" w:color="auto" w:fill="FFFFFF"/>
          </w:tcPr>
          <w:p w14:paraId="6E764B08" w14:textId="77777777" w:rsidR="003E5E70" w:rsidRDefault="00000000">
            <w:pPr>
              <w:spacing w:before="40" w:after="40"/>
            </w:pPr>
            <w:r>
              <w:rPr>
                <w:color w:val="1A1A1A"/>
                <w:sz w:val="16"/>
              </w:rPr>
              <w:t>BCBS (May 2018), d414</w:t>
            </w:r>
          </w:p>
        </w:tc>
        <w:tc>
          <w:tcPr>
            <w:tcW w:w="4176" w:type="dxa"/>
            <w:shd w:val="clear" w:color="auto" w:fill="FFFFFF"/>
          </w:tcPr>
          <w:p w14:paraId="4B295B54" w14:textId="77777777" w:rsidR="003E5E70" w:rsidRDefault="00000000">
            <w:pPr>
              <w:spacing w:before="40" w:after="40"/>
            </w:pPr>
            <w:r>
              <w:rPr>
                <w:color w:val="1A1A1A"/>
                <w:sz w:val="16"/>
              </w:rPr>
              <w:t>Capital treatment for simple, transparent and comparable short-term securitisations.</w:t>
            </w:r>
          </w:p>
        </w:tc>
        <w:tc>
          <w:tcPr>
            <w:tcW w:w="3240" w:type="dxa"/>
            <w:shd w:val="clear" w:color="auto" w:fill="FFFFFF"/>
          </w:tcPr>
          <w:p w14:paraId="0CA1953D" w14:textId="77777777" w:rsidR="003E5E70" w:rsidRDefault="00000000">
            <w:pPr>
              <w:spacing w:before="40" w:after="40"/>
            </w:pPr>
            <w:r>
              <w:rPr>
                <w:color w:val="1A1A1A"/>
                <w:sz w:val="16"/>
              </w:rPr>
              <w:t>Capital treatment for ABCP STC programmes — Section 4.</w:t>
            </w:r>
          </w:p>
        </w:tc>
      </w:tr>
    </w:tbl>
    <w:p w14:paraId="0FDD8266" w14:textId="77777777" w:rsidR="003E5E70" w:rsidRDefault="00000000">
      <w:pPr>
        <w:keepNext/>
        <w:spacing w:before="260" w:after="60"/>
      </w:pPr>
      <w:r>
        <w:rPr>
          <w:b/>
          <w:color w:val="355574"/>
          <w:sz w:val="24"/>
        </w:rPr>
        <w:t>Basel consolidated framework — securitisation and DRC</w:t>
      </w:r>
    </w:p>
    <w:tbl>
      <w:tblPr>
        <w:tblStyle w:val="TableGrid"/>
        <w:tblW w:w="0" w:type="auto"/>
        <w:jc w:val="center"/>
        <w:tblLook w:val="04A0" w:firstRow="1" w:lastRow="0" w:firstColumn="1" w:lastColumn="0" w:noHBand="0" w:noVBand="1"/>
      </w:tblPr>
      <w:tblGrid>
        <w:gridCol w:w="1440"/>
        <w:gridCol w:w="3528"/>
        <w:gridCol w:w="4392"/>
      </w:tblGrid>
      <w:tr w:rsidR="003E5E70" w14:paraId="3104953C" w14:textId="77777777">
        <w:trPr>
          <w:jc w:val="center"/>
        </w:trPr>
        <w:tc>
          <w:tcPr>
            <w:tcW w:w="1440" w:type="dxa"/>
            <w:shd w:val="clear" w:color="auto" w:fill="0E2C4B"/>
          </w:tcPr>
          <w:p w14:paraId="3FE04B96" w14:textId="77777777" w:rsidR="003E5E70" w:rsidRDefault="00000000">
            <w:pPr>
              <w:spacing w:before="40" w:after="40"/>
            </w:pPr>
            <w:r>
              <w:rPr>
                <w:b/>
                <w:color w:val="FFFFFF"/>
                <w:sz w:val="17"/>
              </w:rPr>
              <w:t>Reference</w:t>
            </w:r>
          </w:p>
        </w:tc>
        <w:tc>
          <w:tcPr>
            <w:tcW w:w="3528" w:type="dxa"/>
            <w:shd w:val="clear" w:color="auto" w:fill="0E2C4B"/>
          </w:tcPr>
          <w:p w14:paraId="1AC08CBD" w14:textId="77777777" w:rsidR="003E5E70" w:rsidRDefault="00000000">
            <w:pPr>
              <w:spacing w:before="40" w:after="40"/>
            </w:pPr>
            <w:r>
              <w:rPr>
                <w:b/>
                <w:color w:val="FFFFFF"/>
                <w:sz w:val="17"/>
              </w:rPr>
              <w:t>Title and source</w:t>
            </w:r>
          </w:p>
        </w:tc>
        <w:tc>
          <w:tcPr>
            <w:tcW w:w="4392" w:type="dxa"/>
            <w:shd w:val="clear" w:color="auto" w:fill="0E2C4B"/>
          </w:tcPr>
          <w:p w14:paraId="67E400EE" w14:textId="77777777" w:rsidR="003E5E70" w:rsidRDefault="00000000">
            <w:pPr>
              <w:spacing w:before="40" w:after="40"/>
            </w:pPr>
            <w:r>
              <w:rPr>
                <w:b/>
                <w:color w:val="FFFFFF"/>
                <w:sz w:val="17"/>
              </w:rPr>
              <w:t>What it governs in this note</w:t>
            </w:r>
          </w:p>
        </w:tc>
      </w:tr>
      <w:tr w:rsidR="003E5E70" w14:paraId="385D6DF4" w14:textId="77777777">
        <w:trPr>
          <w:jc w:val="center"/>
        </w:trPr>
        <w:tc>
          <w:tcPr>
            <w:tcW w:w="1440" w:type="dxa"/>
            <w:shd w:val="clear" w:color="auto" w:fill="F2F2F2"/>
          </w:tcPr>
          <w:p w14:paraId="17DDF26B" w14:textId="77777777" w:rsidR="003E5E70" w:rsidRDefault="00000000">
            <w:pPr>
              <w:spacing w:before="40" w:after="40"/>
            </w:pPr>
            <w:r>
              <w:rPr>
                <w:color w:val="1A1A1A"/>
                <w:sz w:val="16"/>
              </w:rPr>
              <w:t>CRE40</w:t>
            </w:r>
          </w:p>
        </w:tc>
        <w:tc>
          <w:tcPr>
            <w:tcW w:w="3528" w:type="dxa"/>
            <w:shd w:val="clear" w:color="auto" w:fill="F2F2F2"/>
          </w:tcPr>
          <w:p w14:paraId="38A9C19F" w14:textId="77777777" w:rsidR="003E5E70" w:rsidRDefault="00000000">
            <w:pPr>
              <w:spacing w:before="40" w:after="40"/>
            </w:pPr>
            <w:r>
              <w:rPr>
                <w:color w:val="1A1A1A"/>
                <w:sz w:val="16"/>
              </w:rPr>
              <w:t>Securitisation — general provisions. Basel consolidated framework.</w:t>
            </w:r>
          </w:p>
        </w:tc>
        <w:tc>
          <w:tcPr>
            <w:tcW w:w="4392" w:type="dxa"/>
            <w:shd w:val="clear" w:color="auto" w:fill="F2F2F2"/>
          </w:tcPr>
          <w:p w14:paraId="6375C6ED" w14:textId="77777777" w:rsidR="003E5E70" w:rsidRDefault="00000000">
            <w:pPr>
              <w:spacing w:before="40" w:after="40"/>
            </w:pPr>
            <w:r>
              <w:rPr>
                <w:color w:val="1A1A1A"/>
                <w:sz w:val="16"/>
              </w:rPr>
              <w:t>STC scope and the term STC criteria (CRE40.67, 40.72–95); ABCP STC criteria (40.96–165); the due-diligence requirements and the 1250% residual (40.31–36, 40.41) — Sections 2, 4, 5.</w:t>
            </w:r>
          </w:p>
        </w:tc>
      </w:tr>
      <w:tr w:rsidR="003E5E70" w14:paraId="654DAF07" w14:textId="77777777">
        <w:trPr>
          <w:jc w:val="center"/>
        </w:trPr>
        <w:tc>
          <w:tcPr>
            <w:tcW w:w="1440" w:type="dxa"/>
            <w:shd w:val="clear" w:color="auto" w:fill="FFFFFF"/>
          </w:tcPr>
          <w:p w14:paraId="73500D25" w14:textId="77777777" w:rsidR="003E5E70" w:rsidRDefault="00000000">
            <w:pPr>
              <w:spacing w:before="40" w:after="40"/>
            </w:pPr>
            <w:r>
              <w:rPr>
                <w:color w:val="1A1A1A"/>
                <w:sz w:val="16"/>
              </w:rPr>
              <w:t>CRE42</w:t>
            </w:r>
          </w:p>
        </w:tc>
        <w:tc>
          <w:tcPr>
            <w:tcW w:w="3528" w:type="dxa"/>
            <w:shd w:val="clear" w:color="auto" w:fill="FFFFFF"/>
          </w:tcPr>
          <w:p w14:paraId="611526AC" w14:textId="77777777" w:rsidR="003E5E70" w:rsidRDefault="00000000">
            <w:pPr>
              <w:spacing w:before="40" w:after="40"/>
            </w:pPr>
            <w:r>
              <w:rPr>
                <w:color w:val="1A1A1A"/>
                <w:sz w:val="16"/>
              </w:rPr>
              <w:t>Securitisation — external-ratings-based approach (SEC-ERBA).</w:t>
            </w:r>
          </w:p>
        </w:tc>
        <w:tc>
          <w:tcPr>
            <w:tcW w:w="4392" w:type="dxa"/>
            <w:shd w:val="clear" w:color="auto" w:fill="FFFFFF"/>
          </w:tcPr>
          <w:p w14:paraId="0379736C" w14:textId="77777777" w:rsidR="003E5E70" w:rsidRDefault="00000000">
            <w:pPr>
              <w:spacing w:before="40" w:after="40"/>
            </w:pPr>
            <w:r>
              <w:rPr>
                <w:color w:val="1A1A1A"/>
                <w:sz w:val="16"/>
              </w:rPr>
              <w:t>The standard and STC ratings-based risk-weight tables, the 1-year interpolation, the non-senior thickness adjustment, and the risk-weight floors — Sections 6, 7; Appendix B.</w:t>
            </w:r>
          </w:p>
        </w:tc>
      </w:tr>
      <w:tr w:rsidR="003E5E70" w14:paraId="0C5FD190" w14:textId="77777777">
        <w:trPr>
          <w:jc w:val="center"/>
        </w:trPr>
        <w:tc>
          <w:tcPr>
            <w:tcW w:w="1440" w:type="dxa"/>
            <w:shd w:val="clear" w:color="auto" w:fill="F2F2F2"/>
          </w:tcPr>
          <w:p w14:paraId="7040939B" w14:textId="77777777" w:rsidR="003E5E70" w:rsidRDefault="00000000">
            <w:pPr>
              <w:spacing w:before="40" w:after="40"/>
            </w:pPr>
            <w:r>
              <w:rPr>
                <w:color w:val="1A1A1A"/>
                <w:sz w:val="16"/>
              </w:rPr>
              <w:t>CRE41 / CRE44</w:t>
            </w:r>
          </w:p>
        </w:tc>
        <w:tc>
          <w:tcPr>
            <w:tcW w:w="3528" w:type="dxa"/>
            <w:shd w:val="clear" w:color="auto" w:fill="F2F2F2"/>
          </w:tcPr>
          <w:p w14:paraId="786B8902" w14:textId="77777777" w:rsidR="003E5E70" w:rsidRDefault="00000000">
            <w:pPr>
              <w:spacing w:before="40" w:after="40"/>
            </w:pPr>
            <w:r>
              <w:rPr>
                <w:color w:val="1A1A1A"/>
                <w:sz w:val="16"/>
              </w:rPr>
              <w:t>Securitisation — standardised approach (SEC-SA) and internal-ratings-based approach (SEC-IRBA).</w:t>
            </w:r>
          </w:p>
        </w:tc>
        <w:tc>
          <w:tcPr>
            <w:tcW w:w="4392" w:type="dxa"/>
            <w:shd w:val="clear" w:color="auto" w:fill="F2F2F2"/>
          </w:tcPr>
          <w:p w14:paraId="5073FA8D" w14:textId="77777777" w:rsidR="003E5E70" w:rsidRDefault="00000000">
            <w:pPr>
              <w:spacing w:before="40" w:after="40"/>
            </w:pPr>
            <w:r>
              <w:rPr>
                <w:color w:val="1A1A1A"/>
                <w:sz w:val="16"/>
              </w:rPr>
              <w:t>The STC supervisory parameter (0.5) and the STC 10% / 15% floors — Section 7.</w:t>
            </w:r>
          </w:p>
        </w:tc>
      </w:tr>
      <w:tr w:rsidR="003E5E70" w14:paraId="7DBEA2E6" w14:textId="77777777">
        <w:trPr>
          <w:jc w:val="center"/>
        </w:trPr>
        <w:tc>
          <w:tcPr>
            <w:tcW w:w="1440" w:type="dxa"/>
            <w:shd w:val="clear" w:color="auto" w:fill="FFFFFF"/>
          </w:tcPr>
          <w:p w14:paraId="52F728B9" w14:textId="77777777" w:rsidR="003E5E70" w:rsidRDefault="00000000">
            <w:pPr>
              <w:spacing w:before="40" w:after="40"/>
            </w:pPr>
            <w:r>
              <w:rPr>
                <w:color w:val="1A1A1A"/>
                <w:sz w:val="16"/>
              </w:rPr>
              <w:t>CRE45</w:t>
            </w:r>
          </w:p>
        </w:tc>
        <w:tc>
          <w:tcPr>
            <w:tcW w:w="3528" w:type="dxa"/>
            <w:shd w:val="clear" w:color="auto" w:fill="FFFFFF"/>
          </w:tcPr>
          <w:p w14:paraId="6EE22FE0" w14:textId="77777777" w:rsidR="003E5E70" w:rsidRDefault="00000000">
            <w:pPr>
              <w:spacing w:before="40" w:after="40"/>
            </w:pPr>
            <w:r>
              <w:rPr>
                <w:color w:val="1A1A1A"/>
                <w:sz w:val="16"/>
              </w:rPr>
              <w:t>Securitisation — non-performing-loan securitisations.</w:t>
            </w:r>
          </w:p>
        </w:tc>
        <w:tc>
          <w:tcPr>
            <w:tcW w:w="4392" w:type="dxa"/>
            <w:shd w:val="clear" w:color="auto" w:fill="FFFFFF"/>
          </w:tcPr>
          <w:p w14:paraId="76538913" w14:textId="77777777" w:rsidR="003E5E70" w:rsidRDefault="00000000">
            <w:pPr>
              <w:spacing w:before="40" w:after="40"/>
            </w:pPr>
            <w:r>
              <w:rPr>
                <w:color w:val="1A1A1A"/>
                <w:sz w:val="16"/>
              </w:rPr>
              <w:t>The non-performing-loan threshold that AUTO-2024-1 sits well clear of — Section 4.</w:t>
            </w:r>
          </w:p>
        </w:tc>
      </w:tr>
      <w:tr w:rsidR="003E5E70" w14:paraId="6D38D173" w14:textId="77777777">
        <w:trPr>
          <w:jc w:val="center"/>
        </w:trPr>
        <w:tc>
          <w:tcPr>
            <w:tcW w:w="1440" w:type="dxa"/>
            <w:shd w:val="clear" w:color="auto" w:fill="F2F2F2"/>
          </w:tcPr>
          <w:p w14:paraId="157C3B48" w14:textId="77777777" w:rsidR="003E5E70" w:rsidRDefault="00000000">
            <w:pPr>
              <w:spacing w:before="40" w:after="40"/>
            </w:pPr>
            <w:r>
              <w:rPr>
                <w:color w:val="1A1A1A"/>
                <w:sz w:val="16"/>
              </w:rPr>
              <w:t>MAR22</w:t>
            </w:r>
          </w:p>
        </w:tc>
        <w:tc>
          <w:tcPr>
            <w:tcW w:w="3528" w:type="dxa"/>
            <w:shd w:val="clear" w:color="auto" w:fill="F2F2F2"/>
          </w:tcPr>
          <w:p w14:paraId="59FAF805" w14:textId="77777777" w:rsidR="003E5E70" w:rsidRDefault="00000000">
            <w:pPr>
              <w:spacing w:before="40" w:after="40"/>
            </w:pPr>
            <w:r>
              <w:rPr>
                <w:color w:val="1A1A1A"/>
                <w:sz w:val="16"/>
              </w:rPr>
              <w:t>Standardised approach — default risk capital requirement.</w:t>
            </w:r>
          </w:p>
        </w:tc>
        <w:tc>
          <w:tcPr>
            <w:tcW w:w="4392" w:type="dxa"/>
            <w:shd w:val="clear" w:color="auto" w:fill="F2F2F2"/>
          </w:tcPr>
          <w:p w14:paraId="0C09C0DF" w14:textId="77777777" w:rsidR="003E5E70" w:rsidRDefault="00000000">
            <w:pPr>
              <w:spacing w:before="40" w:after="40"/>
            </w:pPr>
            <w:r>
              <w:rPr>
                <w:color w:val="1A1A1A"/>
                <w:sz w:val="16"/>
              </w:rPr>
              <w:t>The DRC securitisation (non-CTP) treatment; the import of the banking-book risk weights into the trading book, with the risk-weight maturity parameter set to one year for every tranche — Sections 3, 6.</w:t>
            </w:r>
          </w:p>
        </w:tc>
      </w:tr>
    </w:tbl>
    <w:p w14:paraId="37C80996" w14:textId="77777777" w:rsidR="003E5E70" w:rsidRDefault="00000000">
      <w:pPr>
        <w:keepNext/>
        <w:spacing w:before="260" w:after="60"/>
      </w:pPr>
      <w:r>
        <w:rPr>
          <w:b/>
          <w:color w:val="355574"/>
          <w:sz w:val="24"/>
        </w:rPr>
        <w:t>Regional regimes</w:t>
      </w:r>
    </w:p>
    <w:tbl>
      <w:tblPr>
        <w:tblStyle w:val="TableGrid"/>
        <w:tblW w:w="0" w:type="auto"/>
        <w:jc w:val="center"/>
        <w:tblLook w:val="04A0" w:firstRow="1" w:lastRow="0" w:firstColumn="1" w:lastColumn="0" w:noHBand="0" w:noVBand="1"/>
      </w:tblPr>
      <w:tblGrid>
        <w:gridCol w:w="2232"/>
        <w:gridCol w:w="3888"/>
        <w:gridCol w:w="3240"/>
      </w:tblGrid>
      <w:tr w:rsidR="003E5E70" w14:paraId="7EDA4101" w14:textId="77777777">
        <w:trPr>
          <w:jc w:val="center"/>
        </w:trPr>
        <w:tc>
          <w:tcPr>
            <w:tcW w:w="2232" w:type="dxa"/>
            <w:shd w:val="clear" w:color="auto" w:fill="0E2C4B"/>
          </w:tcPr>
          <w:p w14:paraId="10248D0C" w14:textId="77777777" w:rsidR="003E5E70" w:rsidRDefault="00000000">
            <w:pPr>
              <w:spacing w:before="40" w:after="40"/>
            </w:pPr>
            <w:r>
              <w:rPr>
                <w:b/>
                <w:color w:val="FFFFFF"/>
                <w:sz w:val="17"/>
              </w:rPr>
              <w:t>Reference</w:t>
            </w:r>
          </w:p>
        </w:tc>
        <w:tc>
          <w:tcPr>
            <w:tcW w:w="3888" w:type="dxa"/>
            <w:shd w:val="clear" w:color="auto" w:fill="0E2C4B"/>
          </w:tcPr>
          <w:p w14:paraId="6543B8C2" w14:textId="77777777" w:rsidR="003E5E70" w:rsidRDefault="00000000">
            <w:pPr>
              <w:spacing w:before="40" w:after="40"/>
            </w:pPr>
            <w:r>
              <w:rPr>
                <w:b/>
                <w:color w:val="FFFFFF"/>
                <w:sz w:val="17"/>
              </w:rPr>
              <w:t>Title and source</w:t>
            </w:r>
          </w:p>
        </w:tc>
        <w:tc>
          <w:tcPr>
            <w:tcW w:w="3240" w:type="dxa"/>
            <w:shd w:val="clear" w:color="auto" w:fill="0E2C4B"/>
          </w:tcPr>
          <w:p w14:paraId="7213DB8A" w14:textId="77777777" w:rsidR="003E5E70" w:rsidRDefault="00000000">
            <w:pPr>
              <w:spacing w:before="40" w:after="40"/>
            </w:pPr>
            <w:r>
              <w:rPr>
                <w:b/>
                <w:color w:val="FFFFFF"/>
                <w:sz w:val="17"/>
              </w:rPr>
              <w:t>What it governs in this note</w:t>
            </w:r>
          </w:p>
        </w:tc>
      </w:tr>
      <w:tr w:rsidR="003E5E70" w14:paraId="17FD9EE2" w14:textId="77777777">
        <w:trPr>
          <w:jc w:val="center"/>
        </w:trPr>
        <w:tc>
          <w:tcPr>
            <w:tcW w:w="2232" w:type="dxa"/>
            <w:shd w:val="clear" w:color="auto" w:fill="F2F2F2"/>
          </w:tcPr>
          <w:p w14:paraId="15FCB794" w14:textId="77777777" w:rsidR="003E5E70" w:rsidRDefault="00000000">
            <w:pPr>
              <w:spacing w:before="40" w:after="40"/>
            </w:pPr>
            <w:r>
              <w:rPr>
                <w:color w:val="1A1A1A"/>
                <w:sz w:val="16"/>
              </w:rPr>
              <w:t>Regulation (EU) 2017/2402</w:t>
            </w:r>
          </w:p>
        </w:tc>
        <w:tc>
          <w:tcPr>
            <w:tcW w:w="3888" w:type="dxa"/>
            <w:shd w:val="clear" w:color="auto" w:fill="F2F2F2"/>
          </w:tcPr>
          <w:p w14:paraId="1B1B781E" w14:textId="77777777" w:rsidR="003E5E70" w:rsidRDefault="00000000">
            <w:pPr>
              <w:spacing w:before="40" w:after="40"/>
            </w:pPr>
            <w:r>
              <w:rPr>
                <w:color w:val="1A1A1A"/>
                <w:sz w:val="16"/>
              </w:rPr>
              <w:t>The EU Securitisation Regulation — the 'STS' framework (general requirements and the STS criteria).</w:t>
            </w:r>
          </w:p>
        </w:tc>
        <w:tc>
          <w:tcPr>
            <w:tcW w:w="3240" w:type="dxa"/>
            <w:shd w:val="clear" w:color="auto" w:fill="F2F2F2"/>
          </w:tcPr>
          <w:p w14:paraId="07DBD817" w14:textId="77777777" w:rsidR="003E5E70" w:rsidRDefault="00000000">
            <w:pPr>
              <w:spacing w:before="40" w:after="40"/>
            </w:pPr>
            <w:r>
              <w:rPr>
                <w:color w:val="1A1A1A"/>
                <w:sz w:val="16"/>
              </w:rPr>
              <w:t>The EU codification of STC — Section 3.</w:t>
            </w:r>
          </w:p>
        </w:tc>
      </w:tr>
      <w:tr w:rsidR="003E5E70" w14:paraId="3AD183A1" w14:textId="77777777">
        <w:trPr>
          <w:jc w:val="center"/>
        </w:trPr>
        <w:tc>
          <w:tcPr>
            <w:tcW w:w="2232" w:type="dxa"/>
            <w:shd w:val="clear" w:color="auto" w:fill="FFFFFF"/>
          </w:tcPr>
          <w:p w14:paraId="77C5043D" w14:textId="77777777" w:rsidR="003E5E70" w:rsidRDefault="00000000">
            <w:pPr>
              <w:spacing w:before="40" w:after="40"/>
            </w:pPr>
            <w:r>
              <w:rPr>
                <w:color w:val="1A1A1A"/>
                <w:sz w:val="16"/>
              </w:rPr>
              <w:t>Regulation (EU) 2017/2401</w:t>
            </w:r>
          </w:p>
        </w:tc>
        <w:tc>
          <w:tcPr>
            <w:tcW w:w="3888" w:type="dxa"/>
            <w:shd w:val="clear" w:color="auto" w:fill="FFFFFF"/>
          </w:tcPr>
          <w:p w14:paraId="5C408494" w14:textId="77777777" w:rsidR="003E5E70" w:rsidRDefault="00000000">
            <w:pPr>
              <w:spacing w:before="40" w:after="40"/>
            </w:pPr>
            <w:r>
              <w:rPr>
                <w:color w:val="1A1A1A"/>
                <w:sz w:val="16"/>
              </w:rPr>
              <w:t>Amendment to the Capital Requirements Regulation for STS securitisations.</w:t>
            </w:r>
          </w:p>
        </w:tc>
        <w:tc>
          <w:tcPr>
            <w:tcW w:w="3240" w:type="dxa"/>
            <w:shd w:val="clear" w:color="auto" w:fill="FFFFFF"/>
          </w:tcPr>
          <w:p w14:paraId="322B1BAD" w14:textId="77777777" w:rsidR="003E5E70" w:rsidRDefault="00000000">
            <w:pPr>
              <w:spacing w:before="40" w:after="40"/>
            </w:pPr>
            <w:r>
              <w:rPr>
                <w:color w:val="1A1A1A"/>
                <w:sz w:val="16"/>
              </w:rPr>
              <w:t>The EU capital treatment of STS positions — Section 3.</w:t>
            </w:r>
          </w:p>
        </w:tc>
      </w:tr>
      <w:tr w:rsidR="003E5E70" w14:paraId="493E9375" w14:textId="77777777">
        <w:trPr>
          <w:jc w:val="center"/>
        </w:trPr>
        <w:tc>
          <w:tcPr>
            <w:tcW w:w="2232" w:type="dxa"/>
            <w:shd w:val="clear" w:color="auto" w:fill="F2F2F2"/>
          </w:tcPr>
          <w:p w14:paraId="12B391C8" w14:textId="77777777" w:rsidR="003E5E70" w:rsidRDefault="00000000">
            <w:pPr>
              <w:spacing w:before="40" w:after="40"/>
            </w:pPr>
            <w:r>
              <w:rPr>
                <w:color w:val="1A1A1A"/>
                <w:sz w:val="16"/>
              </w:rPr>
              <w:t>Dodd-Frank Act, section 939A (United States)</w:t>
            </w:r>
          </w:p>
        </w:tc>
        <w:tc>
          <w:tcPr>
            <w:tcW w:w="3888" w:type="dxa"/>
            <w:shd w:val="clear" w:color="auto" w:fill="F2F2F2"/>
          </w:tcPr>
          <w:p w14:paraId="0DEC546A" w14:textId="77777777" w:rsidR="003E5E70" w:rsidRDefault="00000000">
            <w:pPr>
              <w:spacing w:before="40" w:after="40"/>
            </w:pPr>
            <w:r>
              <w:rPr>
                <w:color w:val="1A1A1A"/>
                <w:sz w:val="16"/>
              </w:rPr>
              <w:t>Removal of statutory references to, and reliance on, credit ratings in US financial regulation.</w:t>
            </w:r>
          </w:p>
        </w:tc>
        <w:tc>
          <w:tcPr>
            <w:tcW w:w="3240" w:type="dxa"/>
            <w:shd w:val="clear" w:color="auto" w:fill="F2F2F2"/>
          </w:tcPr>
          <w:p w14:paraId="3E6F272C" w14:textId="77777777" w:rsidR="003E5E70" w:rsidRDefault="00000000">
            <w:pPr>
              <w:spacing w:before="40" w:after="40"/>
            </w:pPr>
            <w:r>
              <w:rPr>
                <w:color w:val="1A1A1A"/>
                <w:sz w:val="16"/>
              </w:rPr>
              <w:t>Context for the United States not adopting the ratings-based securitisation approaches or the STC treatment — Section 3.</w:t>
            </w:r>
          </w:p>
        </w:tc>
      </w:tr>
    </w:tbl>
    <w:p w14:paraId="00ABCC7E" w14:textId="77777777" w:rsidR="003E5E70" w:rsidRDefault="00000000">
      <w:pPr>
        <w:keepNext/>
        <w:spacing w:before="260" w:after="60"/>
      </w:pPr>
      <w:r>
        <w:rPr>
          <w:b/>
          <w:color w:val="355574"/>
          <w:sz w:val="24"/>
        </w:rPr>
        <w:t>Internal sources</w:t>
      </w:r>
    </w:p>
    <w:tbl>
      <w:tblPr>
        <w:tblStyle w:val="TableGrid"/>
        <w:tblW w:w="0" w:type="auto"/>
        <w:jc w:val="center"/>
        <w:tblLook w:val="04A0" w:firstRow="1" w:lastRow="0" w:firstColumn="1" w:lastColumn="0" w:noHBand="0" w:noVBand="1"/>
      </w:tblPr>
      <w:tblGrid>
        <w:gridCol w:w="2160"/>
        <w:gridCol w:w="3600"/>
        <w:gridCol w:w="3600"/>
      </w:tblGrid>
      <w:tr w:rsidR="003E5E70" w14:paraId="79B13940" w14:textId="77777777">
        <w:trPr>
          <w:jc w:val="center"/>
        </w:trPr>
        <w:tc>
          <w:tcPr>
            <w:tcW w:w="2160" w:type="dxa"/>
            <w:shd w:val="clear" w:color="auto" w:fill="0E2C4B"/>
          </w:tcPr>
          <w:p w14:paraId="59D0C135" w14:textId="77777777" w:rsidR="003E5E70" w:rsidRDefault="00000000">
            <w:pPr>
              <w:spacing w:before="40" w:after="40"/>
            </w:pPr>
            <w:r>
              <w:rPr>
                <w:b/>
                <w:color w:val="FFFFFF"/>
                <w:sz w:val="17"/>
              </w:rPr>
              <w:t>Reference</w:t>
            </w:r>
          </w:p>
        </w:tc>
        <w:tc>
          <w:tcPr>
            <w:tcW w:w="3600" w:type="dxa"/>
            <w:shd w:val="clear" w:color="auto" w:fill="0E2C4B"/>
          </w:tcPr>
          <w:p w14:paraId="3890FA61" w14:textId="77777777" w:rsidR="003E5E70" w:rsidRDefault="00000000">
            <w:pPr>
              <w:spacing w:before="40" w:after="40"/>
            </w:pPr>
            <w:r>
              <w:rPr>
                <w:b/>
                <w:color w:val="FFFFFF"/>
                <w:sz w:val="17"/>
              </w:rPr>
              <w:t>Source</w:t>
            </w:r>
          </w:p>
        </w:tc>
        <w:tc>
          <w:tcPr>
            <w:tcW w:w="3600" w:type="dxa"/>
            <w:shd w:val="clear" w:color="auto" w:fill="0E2C4B"/>
          </w:tcPr>
          <w:p w14:paraId="2CE21E4D" w14:textId="77777777" w:rsidR="003E5E70" w:rsidRDefault="00000000">
            <w:pPr>
              <w:spacing w:before="40" w:after="40"/>
            </w:pPr>
            <w:r>
              <w:rPr>
                <w:b/>
                <w:color w:val="FFFFFF"/>
                <w:sz w:val="17"/>
              </w:rPr>
              <w:t>What it provides</w:t>
            </w:r>
          </w:p>
        </w:tc>
      </w:tr>
      <w:tr w:rsidR="003E5E70" w14:paraId="2630BEDB" w14:textId="77777777">
        <w:trPr>
          <w:jc w:val="center"/>
        </w:trPr>
        <w:tc>
          <w:tcPr>
            <w:tcW w:w="2160" w:type="dxa"/>
            <w:shd w:val="clear" w:color="auto" w:fill="F2F2F2"/>
          </w:tcPr>
          <w:p w14:paraId="1EEE3ED1" w14:textId="77777777" w:rsidR="003E5E70" w:rsidRDefault="00000000">
            <w:pPr>
              <w:spacing w:before="40" w:after="40"/>
            </w:pPr>
            <w:r>
              <w:rPr>
                <w:color w:val="1A1A1A"/>
                <w:sz w:val="16"/>
              </w:rPr>
              <w:t>FRTB_Sec_Config.xlsx</w:t>
            </w:r>
          </w:p>
        </w:tc>
        <w:tc>
          <w:tcPr>
            <w:tcW w:w="3600" w:type="dxa"/>
            <w:shd w:val="clear" w:color="auto" w:fill="F2F2F2"/>
          </w:tcPr>
          <w:p w14:paraId="34ECA76D" w14:textId="77777777" w:rsidR="003E5E70" w:rsidRDefault="00000000">
            <w:pPr>
              <w:spacing w:before="40" w:after="40"/>
            </w:pPr>
            <w:r>
              <w:rPr>
                <w:color w:val="1A1A1A"/>
                <w:sz w:val="16"/>
              </w:rPr>
              <w:t>Securitisation configuration workbook (Deal_Master, SEC-ERBA tables, SEC_Floors).</w:t>
            </w:r>
          </w:p>
        </w:tc>
        <w:tc>
          <w:tcPr>
            <w:tcW w:w="3600" w:type="dxa"/>
            <w:shd w:val="clear" w:color="auto" w:fill="F2F2F2"/>
          </w:tcPr>
          <w:p w14:paraId="75DFCFB8" w14:textId="77777777" w:rsidR="003E5E70" w:rsidRDefault="00000000">
            <w:pPr>
              <w:spacing w:before="40" w:after="40"/>
            </w:pPr>
            <w:r>
              <w:rPr>
                <w:color w:val="1A1A1A"/>
                <w:sz w:val="16"/>
              </w:rPr>
              <w:t xml:space="preserve">The AUTO-2024-1 STC designation; the standard and STC risk-weight tables and floors used in </w:t>
            </w:r>
            <w:r>
              <w:rPr>
                <w:color w:val="1A1A1A"/>
                <w:sz w:val="16"/>
              </w:rPr>
              <w:lastRenderedPageBreak/>
              <w:t>Sections 6–7 and Appendix B.</w:t>
            </w:r>
          </w:p>
        </w:tc>
      </w:tr>
      <w:tr w:rsidR="003E5E70" w14:paraId="5C505F59" w14:textId="77777777">
        <w:trPr>
          <w:jc w:val="center"/>
        </w:trPr>
        <w:tc>
          <w:tcPr>
            <w:tcW w:w="2160" w:type="dxa"/>
            <w:shd w:val="clear" w:color="auto" w:fill="FFFFFF"/>
          </w:tcPr>
          <w:p w14:paraId="37169886" w14:textId="77777777" w:rsidR="003E5E70" w:rsidRDefault="00000000">
            <w:pPr>
              <w:spacing w:before="40" w:after="40"/>
            </w:pPr>
            <w:r>
              <w:rPr>
                <w:color w:val="1A1A1A"/>
                <w:sz w:val="16"/>
              </w:rPr>
              <w:lastRenderedPageBreak/>
              <w:t>drc_securitisation engine</w:t>
            </w:r>
          </w:p>
        </w:tc>
        <w:tc>
          <w:tcPr>
            <w:tcW w:w="3600" w:type="dxa"/>
            <w:shd w:val="clear" w:color="auto" w:fill="FFFFFF"/>
          </w:tcPr>
          <w:p w14:paraId="78E612A9" w14:textId="77777777" w:rsidR="003E5E70" w:rsidRDefault="00000000">
            <w:pPr>
              <w:spacing w:before="40" w:after="40"/>
            </w:pPr>
            <w:r>
              <w:rPr>
                <w:color w:val="1A1A1A"/>
                <w:sz w:val="16"/>
              </w:rPr>
              <w:t>FRTB DRC securitisation pipeline (sec_loader, sec_erba, sec_caps, sec_engine).</w:t>
            </w:r>
          </w:p>
        </w:tc>
        <w:tc>
          <w:tcPr>
            <w:tcW w:w="3600" w:type="dxa"/>
            <w:shd w:val="clear" w:color="auto" w:fill="FFFFFF"/>
          </w:tcPr>
          <w:p w14:paraId="2D66D043" w14:textId="1D9F18D2" w:rsidR="003E5E70" w:rsidRDefault="00000000">
            <w:pPr>
              <w:spacing w:before="40" w:after="40"/>
            </w:pPr>
            <w:r>
              <w:rPr>
                <w:color w:val="1A1A1A"/>
                <w:sz w:val="16"/>
              </w:rPr>
              <w:t xml:space="preserve">The risk-weight, floor and capital computations; the </w:t>
            </w:r>
            <w:r w:rsidR="006F12A0">
              <w:rPr>
                <w:color w:val="1A1A1A"/>
                <w:sz w:val="16"/>
              </w:rPr>
              <w:t xml:space="preserve"> </w:t>
            </w:r>
            <w:r>
              <w:rPr>
                <w:color w:val="1A1A1A"/>
                <w:sz w:val="16"/>
              </w:rPr>
              <w:t xml:space="preserve"> portfolio totals quoted in Sections 1 and 6.</w:t>
            </w:r>
          </w:p>
        </w:tc>
      </w:tr>
      <w:tr w:rsidR="003E5E70" w14:paraId="16D7C9AD" w14:textId="77777777">
        <w:trPr>
          <w:jc w:val="center"/>
        </w:trPr>
        <w:tc>
          <w:tcPr>
            <w:tcW w:w="2160" w:type="dxa"/>
            <w:shd w:val="clear" w:color="auto" w:fill="F2F2F2"/>
          </w:tcPr>
          <w:p w14:paraId="1266BE57" w14:textId="2B6417E6" w:rsidR="003E5E70" w:rsidRDefault="006F12A0">
            <w:pPr>
              <w:spacing w:before="40" w:after="40"/>
            </w:pPr>
            <w:r>
              <w:rPr>
                <w:color w:val="1A1A1A"/>
                <w:sz w:val="16"/>
              </w:rPr>
              <w:t xml:space="preserve"> </w:t>
            </w:r>
            <w:r w:rsidR="00000000">
              <w:rPr>
                <w:color w:val="1A1A1A"/>
                <w:sz w:val="16"/>
              </w:rPr>
              <w:t xml:space="preserve"> reference portfolio</w:t>
            </w:r>
          </w:p>
        </w:tc>
        <w:tc>
          <w:tcPr>
            <w:tcW w:w="3600" w:type="dxa"/>
            <w:shd w:val="clear" w:color="auto" w:fill="F2F2F2"/>
          </w:tcPr>
          <w:p w14:paraId="0AA0BD64" w14:textId="1BECE987" w:rsidR="003E5E70" w:rsidRDefault="00000000">
            <w:pPr>
              <w:spacing w:before="40" w:after="40"/>
            </w:pPr>
            <w:proofErr w:type="spellStart"/>
            <w:r>
              <w:rPr>
                <w:color w:val="1A1A1A"/>
                <w:sz w:val="16"/>
              </w:rPr>
              <w:t>FRTB_Combined_Portfolio</w:t>
            </w:r>
            <w:proofErr w:type="spellEnd"/>
            <w:r>
              <w:rPr>
                <w:color w:val="1A1A1A"/>
                <w:sz w:val="16"/>
              </w:rPr>
              <w:t>_</w:t>
            </w:r>
            <w:r w:rsidR="006F12A0">
              <w:rPr>
                <w:color w:val="1A1A1A"/>
                <w:sz w:val="16"/>
              </w:rPr>
              <w:t xml:space="preserve"> </w:t>
            </w:r>
            <w:r>
              <w:rPr>
                <w:color w:val="1A1A1A"/>
                <w:sz w:val="16"/>
              </w:rPr>
              <w:t>.xlsx — Combined Holdings.</w:t>
            </w:r>
          </w:p>
        </w:tc>
        <w:tc>
          <w:tcPr>
            <w:tcW w:w="3600" w:type="dxa"/>
            <w:shd w:val="clear" w:color="auto" w:fill="F2F2F2"/>
          </w:tcPr>
          <w:p w14:paraId="538E5821" w14:textId="77777777" w:rsidR="003E5E70" w:rsidRDefault="00000000">
            <w:pPr>
              <w:spacing w:before="40" w:after="40"/>
            </w:pPr>
            <w:r>
              <w:rPr>
                <w:color w:val="1A1A1A"/>
                <w:sz w:val="16"/>
              </w:rPr>
              <w:t>The AUTO-2024-1 tranche positions (IDs 50 and 51) used in the worked example.</w:t>
            </w:r>
          </w:p>
        </w:tc>
      </w:tr>
    </w:tbl>
    <w:p w14:paraId="6F60A399" w14:textId="7B1AD289" w:rsidR="003E5E70" w:rsidRDefault="00000000">
      <w:pPr>
        <w:spacing w:before="40" w:after="100" w:line="269" w:lineRule="auto"/>
      </w:pPr>
      <w:r>
        <w:rPr>
          <w:i/>
          <w:color w:val="555555"/>
          <w:sz w:val="17"/>
        </w:rPr>
        <w:t xml:space="preserve">Note on authority: the Basel consolidated framework texts (CRE and MAR chapters) and the BCBS / IOSCO papers are the authoritative sources. </w:t>
      </w:r>
    </w:p>
    <w:sectPr w:rsidR="003E5E70" w:rsidSect="00034616">
      <w:footerReference w:type="default" r:id="rId10"/>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555DA" w14:textId="77777777" w:rsidR="00945F2C" w:rsidRDefault="00945F2C">
      <w:pPr>
        <w:spacing w:after="0" w:line="240" w:lineRule="auto"/>
      </w:pPr>
      <w:r>
        <w:separator/>
      </w:r>
    </w:p>
  </w:endnote>
  <w:endnote w:type="continuationSeparator" w:id="0">
    <w:p w14:paraId="79CFA18C" w14:textId="77777777" w:rsidR="00945F2C" w:rsidRDefault="00945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C7" w14:textId="74707270" w:rsidR="003E5E70" w:rsidRDefault="00000000">
    <w:pPr>
      <w:pStyle w:val="Footer"/>
      <w:pBdr>
        <w:top w:val="single" w:sz="4" w:space="4" w:color="CCCCCC"/>
      </w:pBdr>
    </w:pPr>
    <w:r>
      <w:rPr>
        <w:color w:val="555555"/>
        <w:sz w:val="15"/>
      </w:rPr>
      <w:t xml:space="preserve">Market Risk · FRTB </w:t>
    </w:r>
    <w:proofErr w:type="spellStart"/>
    <w:r>
      <w:rPr>
        <w:color w:val="555555"/>
        <w:sz w:val="15"/>
      </w:rPr>
      <w:t>Programme</w:t>
    </w:r>
    <w:proofErr w:type="spellEnd"/>
    <w:r>
      <w:rPr>
        <w:color w:val="555555"/>
        <w:sz w:val="15"/>
      </w:rPr>
      <w:t xml:space="preserve">   |   STC Due-Diligence Benefit Note   |   </w:t>
    </w:r>
    <w:r w:rsidR="00676FFE">
      <w:rPr>
        <w:color w:val="555555"/>
        <w:sz w:val="15"/>
      </w:rPr>
      <w:t xml:space="preserve">                   </w:t>
    </w:r>
    <w:r>
      <w:rPr>
        <w:color w:val="555555"/>
        <w:sz w:val="15"/>
      </w:rPr>
      <w:tab/>
    </w:r>
    <w:r>
      <w:rPr>
        <w:color w:val="555555"/>
        <w:sz w:val="16"/>
      </w:rPr>
      <w:t xml:space="preserve">Page </w:t>
    </w:r>
    <w:r>
      <w:rPr>
        <w:color w:val="555555"/>
        <w:sz w:val="16"/>
      </w:rPr>
      <w:fldChar w:fldCharType="begin"/>
    </w:r>
    <w:r>
      <w:rPr>
        <w:color w:val="555555"/>
        <w:sz w:val="16"/>
      </w:rPr>
      <w:instrText>PAGE</w:instrText>
    </w:r>
    <w:r w:rsidR="00676FFE">
      <w:rPr>
        <w:color w:val="555555"/>
        <w:sz w:val="16"/>
      </w:rPr>
      <w:fldChar w:fldCharType="separate"/>
    </w:r>
    <w:r w:rsidR="00676FFE">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95F82" w14:textId="77777777" w:rsidR="00945F2C" w:rsidRDefault="00945F2C">
      <w:pPr>
        <w:spacing w:after="0" w:line="240" w:lineRule="auto"/>
      </w:pPr>
      <w:r>
        <w:separator/>
      </w:r>
    </w:p>
  </w:footnote>
  <w:footnote w:type="continuationSeparator" w:id="0">
    <w:p w14:paraId="58F499BA" w14:textId="77777777" w:rsidR="00945F2C" w:rsidRDefault="00945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877795">
    <w:abstractNumId w:val="8"/>
  </w:num>
  <w:num w:numId="2" w16cid:durableId="25832173">
    <w:abstractNumId w:val="6"/>
  </w:num>
  <w:num w:numId="3" w16cid:durableId="473523169">
    <w:abstractNumId w:val="5"/>
  </w:num>
  <w:num w:numId="4" w16cid:durableId="739987148">
    <w:abstractNumId w:val="4"/>
  </w:num>
  <w:num w:numId="5" w16cid:durableId="497893346">
    <w:abstractNumId w:val="7"/>
  </w:num>
  <w:num w:numId="6" w16cid:durableId="1917783732">
    <w:abstractNumId w:val="3"/>
  </w:num>
  <w:num w:numId="7" w16cid:durableId="1727993206">
    <w:abstractNumId w:val="2"/>
  </w:num>
  <w:num w:numId="8" w16cid:durableId="236406680">
    <w:abstractNumId w:val="1"/>
  </w:num>
  <w:num w:numId="9" w16cid:durableId="1791895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E4"/>
    <w:rsid w:val="0015074B"/>
    <w:rsid w:val="0029639D"/>
    <w:rsid w:val="00326F90"/>
    <w:rsid w:val="003E5E70"/>
    <w:rsid w:val="00676FFE"/>
    <w:rsid w:val="006F12A0"/>
    <w:rsid w:val="00945F2C"/>
    <w:rsid w:val="00AA1D8D"/>
    <w:rsid w:val="00B47730"/>
    <w:rsid w:val="00CB0664"/>
    <w:rsid w:val="00EC6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81E0D"/>
  <w14:defaultImageDpi w14:val="300"/>
  <w15:docId w15:val="{461C8756-F67B-462B-93E1-842B58BB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3698</Words>
  <Characters>21081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STC Securitisations — Due Diligence as the Gateway to Preferential DRC</dc:title>
  <dc:subject>FRTB Default Risk Charge — securitisation (non-CTP)</dc:subject>
  <dc:creator>Market Risk — FRTB Programme</dc:creator>
  <cp:keywords/>
  <dc:description>generated by python-docx</dc:description>
  <cp:lastModifiedBy>Office</cp:lastModifiedBy>
  <cp:revision>4</cp:revision>
  <dcterms:created xsi:type="dcterms:W3CDTF">2013-12-23T23:15:00Z</dcterms:created>
  <dcterms:modified xsi:type="dcterms:W3CDTF">2026-05-22T15:52:00Z</dcterms:modified>
  <cp:category/>
</cp:coreProperties>
</file>