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564"/>
          <w:sz w:val="52"/>
        </w:rPr>
        <w:t>IL Gilt Inflation Sensitivity</w:t>
      </w:r>
    </w:p>
    <w:p>
      <w:pPr>
        <w:jc w:val="center"/>
      </w:pPr>
      <w:r>
        <w:rPr>
          <w:color w:val="404040"/>
          <w:sz w:val="24"/>
        </w:rPr>
        <w:t>Functionality Reference  |  FRTB SA MAR21.8b  |  5 Feb 2026 Snapshot</w:t>
      </w:r>
    </w:p>
    <w:p/>
    <w:p>
      <w:pPr>
        <w:pStyle w:val="Heading1"/>
      </w:pPr>
      <w:r>
        <w:rPr>
          <w:b/>
          <w:color w:val="1F3564"/>
        </w:rPr>
        <w:t>1.  What Does This Feature Do?</w:t>
      </w:r>
    </w:p>
    <w:p>
      <w:r>
        <w:rPr>
          <w:sz w:val="22"/>
        </w:rPr>
        <w:t>The inflation sensitivity calculation measures how much the USD market value of an Index-Linked (IL) Gilt position changes when breakeven inflation rises by 1 basis point across all maturities simultaneously. The result is a single number called GIRR_GBP_INFLATION reported in USD. It feeds directly into the FRTB Standardised Approach capital calculation as the GBP inflation sub-bucket sensitivity.</w:t>
      </w:r>
    </w:p>
    <w:p/>
    <w:p>
      <w:pPr>
        <w:pStyle w:val="Heading1"/>
      </w:pPr>
      <w:r>
        <w:rPr>
          <w:b/>
          <w:color w:val="1F3564"/>
        </w:rPr>
        <w:t>2.  End-to-End Data 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0819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819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8"/>
        </w:rPr>
        <w:t>Figure 1 - Data flows from Excel inputs through the curve loader and bond builder into the sensitivity calc, outputting GIRR_GBP_INFLATION in USD.</w:t>
      </w:r>
    </w:p>
    <w:p/>
    <w:p>
      <w:pPr>
        <w:pStyle w:val="Heading1"/>
      </w:pPr>
      <w:r>
        <w:rPr>
          <w:b/>
          <w:color w:val="1F3564"/>
        </w:rPr>
        <w:t>3.  Inputs and Outputs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1945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8"/>
        </w:rPr>
        <w:t>Figure 2 - All seven inputs (left) and the single output (right).</w:t>
      </w:r>
    </w:p>
    <w:p/>
    <w:p>
      <w:pPr>
        <w:pStyle w:val="Heading1"/>
      </w:pPr>
      <w:r>
        <w:rPr>
          <w:b/>
          <w:color w:val="1F3564"/>
        </w:rPr>
        <w:t>4.  Where Each Input Comes From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3564"/>
          </w:tcPr>
          <w:p>
            <w:r>
              <w:rPr>
                <w:b/>
                <w:color w:val="FFFFFF"/>
              </w:rPr>
              <w:t>Input</w:t>
            </w:r>
          </w:p>
        </w:tc>
        <w:tc>
          <w:tcPr>
            <w:tcW w:type="dxa" w:w="3249"/>
            <w:shd w:val="clear" w:color="auto" w:fill="1F3564"/>
          </w:tcPr>
          <w:p>
            <w:r>
              <w:rPr>
                <w:b/>
                <w:color w:val="FFFFFF"/>
              </w:rPr>
              <w:t>Source in Excel</w:t>
            </w:r>
          </w:p>
        </w:tc>
        <w:tc>
          <w:tcPr>
            <w:tcW w:type="dxa" w:w="3249"/>
            <w:shd w:val="clear" w:color="auto" w:fill="1F3564"/>
          </w:tcPr>
          <w:p>
            <w:r>
              <w:rPr>
                <w:b/>
                <w:color w:val="FFFFFF"/>
              </w:rPr>
              <w:t>Example Value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  <w:t>Notional (GBP)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Holdings sheet -&gt; Quantity/Notional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5,000,000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  <w:t>Coupon rate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Holdings sheet -&gt; Coupon/Rate (%)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1.25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  <w:t>Maturity date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Holdings sheet -&gt; Maturity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2040-07-22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  <w:t>Nominal gilt yield curve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GBP_Curves sheet -&gt; UK Nominal Gilt Yield Curve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4.60% at 10Y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  <w:t>Real gilt yield curve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GBP_Curves sheet -&gt; UK Real Yield Curve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0.95% at 10Y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  <w:t>SONIA discount curve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GBP_Curves sheet -&gt; SONIA Rate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3.95% at 10Y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  <w:t>USD/GBP FX rate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Market data snapshot -&gt; USD/GBP column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1.3645</w:t>
            </w:r>
          </w:p>
        </w:tc>
      </w:tr>
    </w:tbl>
    <w:p/>
    <w:p>
      <w:pPr>
        <w:pStyle w:val="Heading1"/>
      </w:pPr>
      <w:r>
        <w:rPr>
          <w:b/>
          <w:color w:val="1F3564"/>
        </w:rPr>
        <w:t>5.  Breakeven Inflation - The Core Input</w:t>
      </w:r>
    </w:p>
    <w:p>
      <w:r>
        <w:rPr>
          <w:sz w:val="22"/>
        </w:rPr>
        <w:t>At each cashflow date the code computes:</w:t>
        <w:br/>
        <w:br/>
        <w:t xml:space="preserve">          pi(t)  =  Nominal Gilt Yield(t)  -  Real Gilt Yield(t)</w:t>
        <w:br/>
        <w:br/>
        <w:t>Both curves are read directly from the GBP_Curves sheet. The chart below shows the three curves for the 5 Feb 2026 snapshot. Breakeven rises from about 2.7% at 1 year to 4.7% at 30 years, reflecting structural pension fund demand for long-dated inflation protection.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61794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179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8"/>
        </w:rPr>
        <w:t>Figure 3 - Nominal gilt yield (blue), real gilt yield (gold) and implied breakeven inflation (green). The shaded area is the breakeven spread used in the calculation.</w:t>
      </w:r>
    </w:p>
    <w:p/>
    <w:p>
      <w:pPr>
        <w:pStyle w:val="Heading1"/>
      </w:pPr>
      <w:r>
        <w:rPr>
          <w:b/>
          <w:color w:val="1F3564"/>
        </w:rPr>
        <w:t>6.  The Five Computation Steps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95987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598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8"/>
        </w:rPr>
        <w:t>Figure 4 - The five steps executed for each IL gilt position.</w:t>
      </w:r>
    </w:p>
    <w:p/>
    <w:p>
      <w:r>
        <w:rPr>
          <w:b/>
          <w:color w:val="1F3564"/>
          <w:sz w:val="21"/>
        </w:rPr>
        <w:t xml:space="preserve">Step 1 - Read real cashflows:  </w:t>
      </w:r>
      <w:r>
        <w:rPr>
          <w:sz w:val="21"/>
        </w:rPr>
        <w:t>QuantLib generates the bond cashflow schedule (coupons + principal) in GBP using the real coupon rate, maturity and Actual/365 day count. These are undiscounted raw amounts.</w:t>
      </w:r>
    </w:p>
    <w:p>
      <w:r>
        <w:rPr>
          <w:b/>
          <w:color w:val="1F3564"/>
          <w:sz w:val="21"/>
        </w:rPr>
        <w:t xml:space="preserve">Step 2 - Inflate each cashflow to nominal:  </w:t>
      </w:r>
      <w:r>
        <w:rPr>
          <w:sz w:val="21"/>
        </w:rPr>
        <w:t>Each real GBP cashflow is multiplied by (1 + pi(t))^t where pi(t) is the breakeven inflation interpolated at that cashflow date. This converts the real cashflow to its nominal GBP equivalent.</w:t>
      </w:r>
    </w:p>
    <w:p>
      <w:r>
        <w:rPr>
          <w:b/>
          <w:color w:val="1F3564"/>
          <w:sz w:val="21"/>
        </w:rPr>
        <w:t xml:space="preserve">Step 3 - Discount at SONIA:  </w:t>
      </w:r>
      <w:r>
        <w:rPr>
          <w:sz w:val="21"/>
        </w:rPr>
        <w:t>The nominal GBP cashflow is discounted using the SONIA discount factor for that date. Summing over all cashflows gives PV_base in GBP.</w:t>
      </w:r>
    </w:p>
    <w:p>
      <w:r>
        <w:rPr>
          <w:b/>
          <w:color w:val="1F3564"/>
          <w:sz w:val="21"/>
        </w:rPr>
        <w:t xml:space="preserve">Step 4 - Bump breakeven by +1bp and repeat:  </w:t>
      </w:r>
      <w:r>
        <w:rPr>
          <w:sz w:val="21"/>
        </w:rPr>
        <w:t>Steps 2 and 3 are repeated with pi(t) increased by 0.0001 at every tenor. The SONIA discount curve is held fixed - only the inflation expectation moves. This gives PV_bumped in GBP.</w:t>
      </w:r>
    </w:p>
    <w:p>
      <w:r>
        <w:rPr>
          <w:b/>
          <w:color w:val="1F3564"/>
          <w:sz w:val="21"/>
        </w:rPr>
        <w:t xml:space="preserve">Step 5 - Compute sensitivity and convert to USD:  </w:t>
      </w:r>
      <w:r>
        <w:rPr>
          <w:sz w:val="21"/>
        </w:rPr>
        <w:t>Sensitivity (GBP) = (PV_bumped - PV_base) / 0.0001. Multiplied by USD/GBP to give GIRR_GBP_INFLATION in USD. FX conversion is applied once here at the very end.</w:t>
      </w:r>
    </w:p>
    <w:p/>
    <w:p>
      <w:pPr>
        <w:pStyle w:val="Heading1"/>
      </w:pPr>
      <w:r>
        <w:rPr>
          <w:b/>
          <w:color w:val="1F3564"/>
        </w:rPr>
        <w:t>7.  Key Design Decisions</w:t>
      </w:r>
    </w:p>
    <w:p>
      <w:pPr>
        <w:pStyle w:val="ListBullet"/>
      </w:pPr>
      <w:r>
        <w:rPr>
          <w:b/>
          <w:color w:val="1F3564"/>
          <w:sz w:val="21"/>
        </w:rPr>
        <w:t xml:space="preserve">Nominal gilt - not SONIA - for breakeven:  </w:t>
      </w:r>
      <w:r>
        <w:rPr>
          <w:sz w:val="21"/>
        </w:rPr>
        <w:t>SONIA carries bank credit risk. Breakeven must use sovereign gilt yields on both legs so the credit component cancels. Using SONIA overstates breakeven by ~60-80bp.</w:t>
      </w:r>
    </w:p>
    <w:p>
      <w:pPr>
        <w:pStyle w:val="ListBullet"/>
      </w:pPr>
      <w:r>
        <w:rPr>
          <w:b/>
          <w:color w:val="1F3564"/>
          <w:sz w:val="21"/>
        </w:rPr>
        <w:t xml:space="preserve">GBP notional throughout - FX only at the end:  </w:t>
      </w:r>
      <w:r>
        <w:rPr>
          <w:sz w:val="21"/>
        </w:rPr>
        <w:t>The bond is priced entirely in GBP. Applying FX at the end ensures that GBP discount rates are applied to GBP cashflows, not to USD-sized cashflows.</w:t>
      </w:r>
    </w:p>
    <w:p>
      <w:pPr>
        <w:pStyle w:val="ListBullet"/>
      </w:pPr>
      <w:r>
        <w:rPr>
          <w:b/>
          <w:color w:val="1F3564"/>
          <w:sz w:val="21"/>
        </w:rPr>
        <w:t xml:space="preserve">SONIA still used for discounting:  </w:t>
      </w:r>
      <w:r>
        <w:rPr>
          <w:sz w:val="21"/>
        </w:rPr>
        <w:t>MAR21 requires SONIA as the GBP risk-free discount curve. Only the breakeven source has been corrected to use gilt yields.</w:t>
      </w:r>
    </w:p>
    <w:p>
      <w:pPr>
        <w:pStyle w:val="ListBullet"/>
      </w:pPr>
      <w:r>
        <w:rPr>
          <w:b/>
          <w:color w:val="1F3564"/>
          <w:sz w:val="21"/>
        </w:rPr>
        <w:t xml:space="preserve">One scalar output per currency:  </w:t>
      </w:r>
      <w:r>
        <w:rPr>
          <w:sz w:val="21"/>
        </w:rPr>
        <w:t>MAR21.8b prescribes a single inflation sensitivity per currency with no term structure. The code sums across all cashflow dates into one number.</w:t>
      </w:r>
    </w:p>
    <w:p>
      <w:pPr>
        <w:pStyle w:val="ListBullet"/>
      </w:pPr>
      <w:r>
        <w:rPr>
          <w:b/>
          <w:color w:val="1F3564"/>
          <w:sz w:val="21"/>
        </w:rPr>
        <w:t xml:space="preserve">All rates from Excel - no hardcoding:  </w:t>
      </w:r>
      <w:r>
        <w:rPr>
          <w:sz w:val="21"/>
        </w:rPr>
        <w:t>Nominal gilt, real gilt and SONIA rates are all read from the GBP_Curves sheet. To update market data, edit the Excel file only - no Python changes needed.</w:t>
      </w:r>
    </w:p>
    <w:p/>
    <w:p>
      <w:pPr>
        <w:pStyle w:val="Heading1"/>
      </w:pPr>
      <w:r>
        <w:rPr>
          <w:b/>
          <w:color w:val="1F3564"/>
        </w:rPr>
        <w:t>8.  Output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D6E4F0"/>
          </w:tcPr>
          <w:p>
            <w:r>
              <w:rPr>
                <w:b/>
                <w:sz w:val="20"/>
              </w:rPr>
              <w:t>Output key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GIRR_GBP_INFLATION</w:t>
            </w:r>
          </w:p>
        </w:tc>
      </w:tr>
      <w:tr>
        <w:tc>
          <w:tcPr>
            <w:tcW w:type="dxa" w:w="4873"/>
            <w:shd w:val="clear" w:color="auto" w:fill="D6E4F0"/>
          </w:tcPr>
          <w:p>
            <w:r>
              <w:rPr>
                <w:b/>
                <w:sz w:val="20"/>
              </w:rPr>
              <w:t>Currency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USD (after USD/GBP FX conversion)</w:t>
            </w:r>
          </w:p>
        </w:tc>
      </w:tr>
      <w:tr>
        <w:tc>
          <w:tcPr>
            <w:tcW w:type="dxa" w:w="4873"/>
            <w:shd w:val="clear" w:color="auto" w:fill="D6E4F0"/>
          </w:tcPr>
          <w:p>
            <w:r>
              <w:rPr>
                <w:b/>
                <w:sz w:val="20"/>
              </w:rPr>
              <w:t>Sign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Positive = IL gilt holder gains when inflation rises</w:t>
            </w:r>
          </w:p>
        </w:tc>
      </w:tr>
      <w:tr>
        <w:tc>
          <w:tcPr>
            <w:tcW w:type="dxa" w:w="4873"/>
            <w:shd w:val="clear" w:color="auto" w:fill="D6E4F0"/>
          </w:tcPr>
          <w:p>
            <w:r>
              <w:rPr>
                <w:b/>
                <w:sz w:val="20"/>
              </w:rPr>
              <w:t>FRTB bucket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GIRR GBP inflation sub-bucket  (MAR21.8b)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