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BEE83" w14:textId="77777777" w:rsidR="007F2DE4" w:rsidRDefault="007F2DE4"/>
    <w:p w14:paraId="3BA9D10F" w14:textId="77777777" w:rsidR="007F2DE4" w:rsidRDefault="007F2DE4"/>
    <w:p w14:paraId="7CC61280" w14:textId="77777777" w:rsidR="007F2DE4" w:rsidRDefault="00000000">
      <w:pPr>
        <w:jc w:val="center"/>
      </w:pPr>
      <w:r>
        <w:rPr>
          <w:noProof/>
        </w:rPr>
        <w:drawing>
          <wp:inline distT="0" distB="0" distL="0" distR="0" wp14:anchorId="6AA90C0D" wp14:editId="72403825">
            <wp:extent cx="868680" cy="86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512.png"/>
                    <pic:cNvPicPr/>
                  </pic:nvPicPr>
                  <pic:blipFill>
                    <a:blip r:embed="rId8"/>
                    <a:stretch>
                      <a:fillRect/>
                    </a:stretch>
                  </pic:blipFill>
                  <pic:spPr>
                    <a:xfrm>
                      <a:off x="0" y="0"/>
                      <a:ext cx="868680" cy="868680"/>
                    </a:xfrm>
                    <a:prstGeom prst="rect">
                      <a:avLst/>
                    </a:prstGeom>
                  </pic:spPr>
                </pic:pic>
              </a:graphicData>
            </a:graphic>
          </wp:inline>
        </w:drawing>
      </w:r>
    </w:p>
    <w:p w14:paraId="55C0A179" w14:textId="77777777" w:rsidR="007F2DE4" w:rsidRDefault="00000000">
      <w:pPr>
        <w:spacing w:before="440"/>
        <w:jc w:val="center"/>
      </w:pPr>
      <w:r>
        <w:rPr>
          <w:b/>
          <w:color w:val="C2453C"/>
          <w:sz w:val="21"/>
        </w:rPr>
        <w:t>FRTB DEFAULT RISK CHARGE  ·  SECURITISATION (NON-CTP)</w:t>
      </w:r>
    </w:p>
    <w:p w14:paraId="59FF8B3A" w14:textId="77777777" w:rsidR="007F2DE4" w:rsidRDefault="00000000">
      <w:pPr>
        <w:spacing w:before="200"/>
        <w:jc w:val="center"/>
      </w:pPr>
      <w:r>
        <w:rPr>
          <w:b/>
          <w:color w:val="0E2C4B"/>
          <w:sz w:val="54"/>
        </w:rPr>
        <w:t>Two Maturity Rules for</w:t>
      </w:r>
      <w:r>
        <w:rPr>
          <w:b/>
          <w:color w:val="0E2C4B"/>
          <w:sz w:val="54"/>
        </w:rPr>
        <w:br/>
        <w:t>Securitisations</w:t>
      </w:r>
    </w:p>
    <w:p w14:paraId="3B8D1BF8" w14:textId="77777777" w:rsidR="007F2DE4" w:rsidRDefault="00000000">
      <w:pPr>
        <w:spacing w:before="160"/>
        <w:jc w:val="center"/>
      </w:pPr>
      <w:r>
        <w:rPr>
          <w:color w:val="355574"/>
          <w:sz w:val="30"/>
        </w:rPr>
        <w:t>Where Default Risk Ends and</w:t>
      </w:r>
      <w:r>
        <w:rPr>
          <w:color w:val="355574"/>
          <w:sz w:val="30"/>
        </w:rPr>
        <w:br/>
        <w:t>Migration Risk Begins</w:t>
      </w:r>
    </w:p>
    <w:p w14:paraId="2F76C226" w14:textId="77777777" w:rsidR="007F2DE4" w:rsidRDefault="007F2DE4">
      <w:pPr>
        <w:pBdr>
          <w:bottom w:val="single" w:sz="6" w:space="4" w:color="C0C0C0"/>
        </w:pBdr>
        <w:spacing w:before="320" w:after="320"/>
        <w:jc w:val="center"/>
      </w:pPr>
    </w:p>
    <w:p w14:paraId="7A030976" w14:textId="77777777" w:rsidR="007F2DE4" w:rsidRDefault="00000000">
      <w:pPr>
        <w:jc w:val="center"/>
      </w:pPr>
      <w:r>
        <w:rPr>
          <w:i/>
          <w:color w:val="555555"/>
          <w:sz w:val="21"/>
        </w:rPr>
        <w:t>Methodology Note   ·   The MAR22.30 / MAR22.34(1) split, and how CSR-Sec picks up what DRC deliberately skips</w:t>
      </w:r>
    </w:p>
    <w:p w14:paraId="618EF604" w14:textId="295177EC" w:rsidR="007F2DE4" w:rsidRDefault="00000000">
      <w:pPr>
        <w:spacing w:before="680"/>
        <w:jc w:val="center"/>
      </w:pPr>
      <w:r>
        <w:rPr>
          <w:color w:val="555555"/>
          <w:sz w:val="20"/>
        </w:rPr>
        <w:br/>
        <w:t>Prepared by  ·  Market Risk — FRTB Programme</w:t>
      </w:r>
      <w:r>
        <w:rPr>
          <w:color w:val="555555"/>
          <w:sz w:val="20"/>
        </w:rPr>
        <w:br/>
        <w:t>Date  ·  29 May 2026</w:t>
      </w:r>
      <w:r>
        <w:rPr>
          <w:color w:val="555555"/>
          <w:sz w:val="20"/>
        </w:rPr>
        <w:br/>
      </w:r>
      <w:r>
        <w:rPr>
          <w:color w:val="555555"/>
          <w:sz w:val="18"/>
        </w:rPr>
        <w:br/>
        <w:t>Reference portfolio  ·  v5  ·  Engine  ·  drc_securitisation + capital_main</w:t>
      </w:r>
    </w:p>
    <w:p w14:paraId="4480E4EC" w14:textId="77777777" w:rsidR="007F2DE4" w:rsidRDefault="00000000">
      <w:r>
        <w:br w:type="page"/>
      </w:r>
    </w:p>
    <w:p w14:paraId="1FDB1A09" w14:textId="77777777" w:rsidR="007F2DE4" w:rsidRDefault="00000000">
      <w:pPr>
        <w:keepNext/>
        <w:pBdr>
          <w:bottom w:val="single" w:sz="10" w:space="4" w:color="0E2C4B"/>
        </w:pBdr>
        <w:spacing w:before="400" w:after="140"/>
      </w:pPr>
      <w:r>
        <w:rPr>
          <w:b/>
          <w:color w:val="0E2C4B"/>
          <w:sz w:val="32"/>
        </w:rPr>
        <w:lastRenderedPageBreak/>
        <w:t>Contents</w:t>
      </w:r>
    </w:p>
    <w:p w14:paraId="33829F1E" w14:textId="77777777" w:rsidR="007F2DE4" w:rsidRDefault="00000000">
      <w:pPr>
        <w:spacing w:before="40" w:after="40"/>
      </w:pPr>
      <w:r>
        <w:rPr>
          <w:color w:val="0E2C4B"/>
          <w:sz w:val="21"/>
        </w:rPr>
        <w:t>1.  Executive Summary</w:t>
      </w:r>
    </w:p>
    <w:p w14:paraId="351EFF31" w14:textId="77777777" w:rsidR="007F2DE4" w:rsidRDefault="00000000">
      <w:pPr>
        <w:spacing w:before="40" w:after="40"/>
      </w:pPr>
      <w:r>
        <w:rPr>
          <w:color w:val="0E2C4B"/>
          <w:sz w:val="21"/>
        </w:rPr>
        <w:t>2.  The Trap — Why Many Practitioners Miss This</w:t>
      </w:r>
    </w:p>
    <w:p w14:paraId="0130C49C" w14:textId="77777777" w:rsidR="007F2DE4" w:rsidRDefault="00000000">
      <w:pPr>
        <w:spacing w:before="40" w:after="40"/>
      </w:pPr>
      <w:r>
        <w:rPr>
          <w:color w:val="0E2C4B"/>
          <w:sz w:val="21"/>
        </w:rPr>
        <w:t>3.  Two Distinct Maturity Rules, Side by Side</w:t>
      </w:r>
    </w:p>
    <w:p w14:paraId="46F344ED" w14:textId="77777777" w:rsidR="007F2DE4" w:rsidRDefault="00000000">
      <w:pPr>
        <w:spacing w:before="40" w:after="40"/>
      </w:pPr>
      <w:r>
        <w:rPr>
          <w:color w:val="0E2C4B"/>
          <w:sz w:val="21"/>
        </w:rPr>
        <w:t>4.  The Regulator's Two-Component Design</w:t>
      </w:r>
    </w:p>
    <w:p w14:paraId="7DA81109" w14:textId="77777777" w:rsidR="007F2DE4" w:rsidRDefault="00000000">
      <w:pPr>
        <w:spacing w:before="40" w:after="40"/>
      </w:pPr>
      <w:r>
        <w:rPr>
          <w:color w:val="0E2C4B"/>
          <w:sz w:val="21"/>
        </w:rPr>
        <w:t>5.  Default Risk Capital — Capped at 1Y by Design</w:t>
      </w:r>
    </w:p>
    <w:p w14:paraId="33A282E0" w14:textId="77777777" w:rsidR="007F2DE4" w:rsidRDefault="00000000">
      <w:pPr>
        <w:spacing w:before="40" w:after="40"/>
      </w:pPr>
      <w:r>
        <w:rPr>
          <w:color w:val="0E2C4B"/>
          <w:sz w:val="21"/>
        </w:rPr>
        <w:t>6.  Migration Risk Capital — Picked Up by CSR-Sec</w:t>
      </w:r>
    </w:p>
    <w:p w14:paraId="7C83A7E8" w14:textId="77777777" w:rsidR="007F2DE4" w:rsidRDefault="00000000">
      <w:pPr>
        <w:spacing w:before="40" w:after="40"/>
      </w:pPr>
      <w:r>
        <w:rPr>
          <w:color w:val="0E2C4B"/>
          <w:sz w:val="21"/>
        </w:rPr>
        <w:t>7.  Shape — How Each Block Responds to M(T)</w:t>
      </w:r>
    </w:p>
    <w:p w14:paraId="61CD7BFF" w14:textId="77777777" w:rsidR="007F2DE4" w:rsidRDefault="00000000">
      <w:pPr>
        <w:spacing w:before="40" w:after="40"/>
      </w:pPr>
      <w:r>
        <w:rPr>
          <w:color w:val="0E2C4B"/>
          <w:sz w:val="21"/>
        </w:rPr>
        <w:t>8.  Conclusions</w:t>
      </w:r>
    </w:p>
    <w:p w14:paraId="231AC446" w14:textId="77777777" w:rsidR="007F2DE4" w:rsidRDefault="00000000">
      <w:pPr>
        <w:spacing w:before="40" w:after="40"/>
      </w:pPr>
      <w:r>
        <w:rPr>
          <w:b/>
          <w:color w:val="355574"/>
          <w:sz w:val="21"/>
        </w:rPr>
        <w:t>Appendix A — Engine Implementation Map</w:t>
      </w:r>
    </w:p>
    <w:p w14:paraId="54E874B7" w14:textId="77777777" w:rsidR="007F2DE4" w:rsidRDefault="00000000">
      <w:pPr>
        <w:spacing w:before="40" w:after="40"/>
      </w:pPr>
      <w:r>
        <w:rPr>
          <w:b/>
          <w:color w:val="355574"/>
          <w:sz w:val="21"/>
        </w:rPr>
        <w:t>Appendix B — Reconciliation Arithmetic</w:t>
      </w:r>
    </w:p>
    <w:p w14:paraId="74D26EAA" w14:textId="77777777" w:rsidR="007F2DE4" w:rsidRDefault="00000000">
      <w:pPr>
        <w:spacing w:before="40" w:after="40"/>
      </w:pPr>
      <w:r>
        <w:rPr>
          <w:b/>
          <w:color w:val="355574"/>
          <w:sz w:val="21"/>
        </w:rPr>
        <w:t>References</w:t>
      </w:r>
    </w:p>
    <w:p w14:paraId="47EC55F6" w14:textId="77777777" w:rsidR="007F2DE4" w:rsidRDefault="00000000">
      <w:r>
        <w:br w:type="page"/>
      </w:r>
    </w:p>
    <w:p w14:paraId="50AA8EEA" w14:textId="77777777" w:rsidR="007F2DE4" w:rsidRDefault="00000000">
      <w:pPr>
        <w:keepNext/>
        <w:pBdr>
          <w:bottom w:val="single" w:sz="10" w:space="4" w:color="0E2C4B"/>
        </w:pBdr>
        <w:spacing w:before="400" w:after="140"/>
      </w:pPr>
      <w:r>
        <w:rPr>
          <w:b/>
          <w:color w:val="0E2C4B"/>
          <w:sz w:val="32"/>
        </w:rPr>
        <w:lastRenderedPageBreak/>
        <w:t>1.  Executive Summary</w:t>
      </w:r>
    </w:p>
    <w:p w14:paraId="3A398AF6" w14:textId="77777777" w:rsidR="007F2DE4" w:rsidRDefault="00000000">
      <w:pPr>
        <w:spacing w:before="40" w:after="100" w:line="269" w:lineRule="auto"/>
      </w:pPr>
      <w:r>
        <w:rPr>
          <w:color w:val="1A1A1A"/>
          <w:sz w:val="21"/>
        </w:rPr>
        <w:t xml:space="preserve">In the FRTB framework a securitisation position is touched by </w:t>
      </w:r>
      <w:r>
        <w:rPr>
          <w:b/>
          <w:color w:val="1A1A1A"/>
          <w:sz w:val="21"/>
        </w:rPr>
        <w:t>two different maturity rules at the same time</w:t>
      </w:r>
      <w:r>
        <w:rPr>
          <w:color w:val="1A1A1A"/>
          <w:sz w:val="21"/>
        </w:rPr>
        <w:t xml:space="preserve">, and they do almost-opposite things. The rule that lives inside the risk-weight formula fixes the maturity at one year for every tranche, regardless of how long the tranche actually has to run. The rule that lives at the jump-to-default position pre-netting takes the position's *actual* remaining maturity and uses it to scale the gross JTD down if the position has less than a year to run. The two rules are not in conflict — they exist precisely so that the </w:t>
      </w:r>
      <w:r>
        <w:rPr>
          <w:b/>
          <w:color w:val="1A1A1A"/>
          <w:sz w:val="21"/>
        </w:rPr>
        <w:t>default risk</w:t>
      </w:r>
      <w:r>
        <w:rPr>
          <w:color w:val="1A1A1A"/>
          <w:sz w:val="21"/>
        </w:rPr>
        <w:t xml:space="preserve"> of the position is captured cleanly in one capital block (DRC) while its </w:t>
      </w:r>
      <w:r>
        <w:rPr>
          <w:b/>
          <w:color w:val="1A1A1A"/>
          <w:sz w:val="21"/>
        </w:rPr>
        <w:t>credit migration risk</w:t>
      </w:r>
      <w:r>
        <w:rPr>
          <w:color w:val="1A1A1A"/>
          <w:sz w:val="21"/>
        </w:rPr>
        <w:t xml:space="preserve"> is captured separately in another (CSR-Sec).</w:t>
      </w:r>
    </w:p>
    <w:p w14:paraId="4C94E50B" w14:textId="77777777" w:rsidR="007F2DE4" w:rsidRDefault="00000000">
      <w:pPr>
        <w:pBdr>
          <w:left w:val="single" w:sz="18" w:space="4" w:color="2E6B4F"/>
        </w:pBdr>
        <w:shd w:val="clear" w:color="auto" w:fill="E7F0EC"/>
        <w:spacing w:before="120" w:after="120"/>
        <w:ind w:left="72" w:right="72"/>
      </w:pPr>
      <w:r>
        <w:rPr>
          <w:b/>
          <w:color w:val="2E6B4F"/>
          <w:sz w:val="19"/>
        </w:rPr>
        <w:t xml:space="preserve">  KEY MESSAGE   </w:t>
      </w:r>
      <w:r>
        <w:rPr>
          <w:color w:val="2A2A2A"/>
          <w:sz w:val="19"/>
        </w:rPr>
        <w:t xml:space="preserve">Inside the securitisation risk-weight machinery, the maturity component is </w:t>
      </w:r>
      <w:r>
        <w:rPr>
          <w:b/>
          <w:color w:val="2A2A2A"/>
          <w:sz w:val="19"/>
        </w:rPr>
        <w:t>deliberately suppressed</w:t>
      </w:r>
      <w:r>
        <w:rPr>
          <w:color w:val="2A2A2A"/>
          <w:sz w:val="19"/>
        </w:rPr>
        <w:t xml:space="preserve"> — every tranche is calculated as if it were a one-year exposure. This is not an approximation or an error; it is the framework saying *default risk over the next 12 months* is what the DRC block is for, and *spread / migration risk over the position's life* is what the credit-spread block is for. Mix the two and you double-count.</w:t>
      </w:r>
    </w:p>
    <w:p w14:paraId="0723C37F" w14:textId="77777777" w:rsidR="007F2DE4" w:rsidRDefault="00000000">
      <w:pPr>
        <w:spacing w:before="40" w:after="100" w:line="269" w:lineRule="auto"/>
      </w:pPr>
      <w:r>
        <w:rPr>
          <w:color w:val="1A1A1A"/>
          <w:sz w:val="21"/>
        </w:rPr>
        <w:t xml:space="preserve">The practitioner's instinct — that a five-year AAA tranche must somehow attract more capital than a one-year AAA tranche on the same pool — is right. The extra risk is real. It just doesn't live in DRC. It lives in CSR-Sec, and it gets there mechanically through the </w:t>
      </w:r>
      <w:r>
        <w:rPr>
          <w:b/>
          <w:color w:val="1A1A1A"/>
          <w:sz w:val="21"/>
        </w:rPr>
        <w:t>credit-spread sensitivity (CS01) at the longer tenor pillars</w:t>
      </w:r>
      <w:r>
        <w:rPr>
          <w:color w:val="1A1A1A"/>
          <w:sz w:val="21"/>
        </w:rPr>
        <w:t>, where modified duration is larger and the per-pillar risk weight has been calibrated to embed migration shocks. The note below makes the split explicit, ties it to the exact paragraphs of the BIS framework, and reconciles it line by line with the engine's implementation.</w:t>
      </w:r>
    </w:p>
    <w:p w14:paraId="020F9337" w14:textId="77777777" w:rsidR="007F2DE4" w:rsidRDefault="00000000">
      <w:pPr>
        <w:keepNext/>
        <w:pBdr>
          <w:bottom w:val="single" w:sz="10" w:space="4" w:color="0E2C4B"/>
        </w:pBdr>
        <w:spacing w:before="400" w:after="140"/>
      </w:pPr>
      <w:r>
        <w:rPr>
          <w:b/>
          <w:color w:val="0E2C4B"/>
          <w:sz w:val="32"/>
        </w:rPr>
        <w:t>2.  The Trap — Why Many Practitioners Miss This</w:t>
      </w:r>
    </w:p>
    <w:p w14:paraId="2A8F61AD" w14:textId="77777777" w:rsidR="007F2DE4" w:rsidRDefault="00000000">
      <w:pPr>
        <w:spacing w:before="40" w:after="100" w:line="269" w:lineRule="auto"/>
      </w:pPr>
      <w:r>
        <w:rPr>
          <w:color w:val="1A1A1A"/>
          <w:sz w:val="21"/>
        </w:rPr>
        <w:t xml:space="preserve">A reasonable reading of the standardised ratings-based table for securitisations notices that it has separate columns for one-year and five-year maturities, with linear interpolation in between. A reasonable person then expects a five-year AAA senior to attract a higher risk weight than a one-year AAA senior on the same pool — and so a higher capital number. That intuition is </w:t>
      </w:r>
      <w:r>
        <w:rPr>
          <w:b/>
          <w:color w:val="1A1A1A"/>
          <w:sz w:val="21"/>
        </w:rPr>
        <w:t>right for the banking book</w:t>
      </w:r>
      <w:r>
        <w:rPr>
          <w:color w:val="1A1A1A"/>
          <w:sz w:val="21"/>
        </w:rPr>
        <w:t xml:space="preserve"> and </w:t>
      </w:r>
      <w:r>
        <w:rPr>
          <w:b/>
          <w:color w:val="1A1A1A"/>
          <w:sz w:val="21"/>
        </w:rPr>
        <w:t>wrong for the trading book</w:t>
      </w:r>
      <w:r>
        <w:rPr>
          <w:color w:val="1A1A1A"/>
          <w:sz w:val="21"/>
        </w:rPr>
        <w:t>.</w:t>
      </w:r>
    </w:p>
    <w:p w14:paraId="59A2E245" w14:textId="77777777" w:rsidR="007F2DE4" w:rsidRDefault="00000000">
      <w:pPr>
        <w:spacing w:before="40" w:after="100" w:line="269" w:lineRule="auto"/>
      </w:pPr>
      <w:r>
        <w:rPr>
          <w:color w:val="1A1A1A"/>
          <w:sz w:val="21"/>
        </w:rPr>
        <w:t>The reason is buried in a single short paragraph of the trading-book DRC chapter, which says — in plain words — *use the banking-book sec risk-weight machinery, but set the maturity input to one year for every tranche*. The 1-year and 5-year columns of the ratings table do not get interpolated; the 1-year column is always picked. The maturity sensitivity of the banking-book formula is silenced.</w:t>
      </w:r>
    </w:p>
    <w:p w14:paraId="58CF594A" w14:textId="77777777" w:rsidR="007F2DE4" w:rsidRDefault="00000000">
      <w:pPr>
        <w:spacing w:before="40" w:after="100" w:line="269" w:lineRule="auto"/>
      </w:pPr>
      <w:r>
        <w:rPr>
          <w:color w:val="1A1A1A"/>
          <w:sz w:val="21"/>
        </w:rPr>
        <w:t>Without context this looks broken. With context — that the trading book splits credit risk into a default block and a spread block — it is exactly right. The spread block has its own maturity sensitivity through CS01 at the longer pillars. Counting maturity in the DRC formula as well would double-charge for the same risk. The trap, then, is to assume that the two paragraphs (the one that pins the RW to 1Y, and the one that scales JTD if the position is under a year) describe the *same* maturity concept. They do not.</w:t>
      </w:r>
    </w:p>
    <w:p w14:paraId="25A15F20" w14:textId="77777777" w:rsidR="007F2DE4" w:rsidRDefault="00000000">
      <w:pPr>
        <w:keepNext/>
        <w:pBdr>
          <w:bottom w:val="single" w:sz="10" w:space="4" w:color="0E2C4B"/>
        </w:pBdr>
        <w:spacing w:before="400" w:after="140"/>
      </w:pPr>
      <w:r>
        <w:rPr>
          <w:b/>
          <w:color w:val="0E2C4B"/>
          <w:sz w:val="32"/>
        </w:rPr>
        <w:t>3.  Two Distinct Maturity Rules, Side by Side</w:t>
      </w:r>
    </w:p>
    <w:p w14:paraId="3ACB100A" w14:textId="77777777" w:rsidR="007F2DE4" w:rsidRDefault="00000000">
      <w:pPr>
        <w:spacing w:before="40" w:after="100" w:line="269" w:lineRule="auto"/>
      </w:pPr>
      <w:r>
        <w:rPr>
          <w:color w:val="1A1A1A"/>
          <w:sz w:val="21"/>
        </w:rPr>
        <w:t>The trading-book DRC framework applies two maturity rules to every securitisation position, and the two are independent of each other. The table below contrasts them; the rest of the note builds on the distinction.</w:t>
      </w:r>
    </w:p>
    <w:tbl>
      <w:tblPr>
        <w:tblStyle w:val="TableGrid"/>
        <w:tblW w:w="0" w:type="auto"/>
        <w:jc w:val="center"/>
        <w:tblLook w:val="04A0" w:firstRow="1" w:lastRow="0" w:firstColumn="1" w:lastColumn="0" w:noHBand="0" w:noVBand="1"/>
      </w:tblPr>
      <w:tblGrid>
        <w:gridCol w:w="1944"/>
        <w:gridCol w:w="3672"/>
        <w:gridCol w:w="3672"/>
      </w:tblGrid>
      <w:tr w:rsidR="007F2DE4" w14:paraId="5F05F68E" w14:textId="77777777">
        <w:trPr>
          <w:jc w:val="center"/>
        </w:trPr>
        <w:tc>
          <w:tcPr>
            <w:tcW w:w="1944" w:type="dxa"/>
            <w:shd w:val="clear" w:color="auto" w:fill="0E2C4B"/>
          </w:tcPr>
          <w:p w14:paraId="1B331911" w14:textId="77777777" w:rsidR="007F2DE4" w:rsidRDefault="00000000">
            <w:pPr>
              <w:spacing w:before="40" w:after="40"/>
            </w:pPr>
            <w:r>
              <w:rPr>
                <w:b/>
                <w:color w:val="FFFFFF"/>
                <w:sz w:val="18"/>
              </w:rPr>
              <w:t>Dimension</w:t>
            </w:r>
          </w:p>
        </w:tc>
        <w:tc>
          <w:tcPr>
            <w:tcW w:w="3672" w:type="dxa"/>
            <w:shd w:val="clear" w:color="auto" w:fill="0E2C4B"/>
          </w:tcPr>
          <w:p w14:paraId="125554F4" w14:textId="77777777" w:rsidR="007F2DE4" w:rsidRDefault="00000000">
            <w:pPr>
              <w:spacing w:before="40" w:after="40"/>
            </w:pPr>
            <w:r>
              <w:rPr>
                <w:b/>
                <w:color w:val="FFFFFF"/>
                <w:sz w:val="18"/>
              </w:rPr>
              <w:t>M(T) inside the RW formula</w:t>
            </w:r>
          </w:p>
        </w:tc>
        <w:tc>
          <w:tcPr>
            <w:tcW w:w="3672" w:type="dxa"/>
            <w:shd w:val="clear" w:color="auto" w:fill="0E2C4B"/>
          </w:tcPr>
          <w:p w14:paraId="6EA8DBD2" w14:textId="77777777" w:rsidR="007F2DE4" w:rsidRDefault="00000000">
            <w:pPr>
              <w:spacing w:before="40" w:after="40"/>
            </w:pPr>
            <w:r>
              <w:rPr>
                <w:b/>
                <w:color w:val="FFFFFF"/>
                <w:sz w:val="18"/>
              </w:rPr>
              <w:t>M(T) at JTD scaling, pre-netting</w:t>
            </w:r>
          </w:p>
        </w:tc>
      </w:tr>
      <w:tr w:rsidR="007F2DE4" w14:paraId="49526461" w14:textId="77777777">
        <w:trPr>
          <w:jc w:val="center"/>
        </w:trPr>
        <w:tc>
          <w:tcPr>
            <w:tcW w:w="1944" w:type="dxa"/>
            <w:shd w:val="clear" w:color="auto" w:fill="F2F2F2"/>
          </w:tcPr>
          <w:p w14:paraId="02D09BC0" w14:textId="77777777" w:rsidR="007F2DE4" w:rsidRDefault="00000000">
            <w:pPr>
              <w:spacing w:before="40" w:after="40"/>
            </w:pPr>
            <w:r>
              <w:rPr>
                <w:color w:val="1A1A1A"/>
                <w:sz w:val="17"/>
              </w:rPr>
              <w:lastRenderedPageBreak/>
              <w:t>Source</w:t>
            </w:r>
          </w:p>
        </w:tc>
        <w:tc>
          <w:tcPr>
            <w:tcW w:w="3672" w:type="dxa"/>
            <w:shd w:val="clear" w:color="auto" w:fill="F2F2F2"/>
          </w:tcPr>
          <w:p w14:paraId="17F3D963" w14:textId="77777777" w:rsidR="007F2DE4" w:rsidRDefault="00000000">
            <w:pPr>
              <w:spacing w:before="40" w:after="40"/>
            </w:pPr>
            <w:r>
              <w:rPr>
                <w:color w:val="1A1A1A"/>
                <w:sz w:val="17"/>
              </w:rPr>
              <w:t>MAR22.34(1) — the trading-book DRC overlay</w:t>
            </w:r>
          </w:p>
        </w:tc>
        <w:tc>
          <w:tcPr>
            <w:tcW w:w="3672" w:type="dxa"/>
            <w:shd w:val="clear" w:color="auto" w:fill="F2F2F2"/>
          </w:tcPr>
          <w:p w14:paraId="00E76D22" w14:textId="77777777" w:rsidR="007F2DE4" w:rsidRDefault="00000000">
            <w:pPr>
              <w:spacing w:before="40" w:after="40"/>
            </w:pPr>
            <w:r>
              <w:rPr>
                <w:color w:val="1A1A1A"/>
                <w:sz w:val="17"/>
              </w:rPr>
              <w:t>MAR22.30, importing MAR22.15-18 into sec</w:t>
            </w:r>
          </w:p>
        </w:tc>
      </w:tr>
      <w:tr w:rsidR="007F2DE4" w14:paraId="47FA28D5" w14:textId="77777777">
        <w:trPr>
          <w:jc w:val="center"/>
        </w:trPr>
        <w:tc>
          <w:tcPr>
            <w:tcW w:w="1944" w:type="dxa"/>
            <w:shd w:val="clear" w:color="auto" w:fill="FFFFFF"/>
          </w:tcPr>
          <w:p w14:paraId="78E1AB76" w14:textId="77777777" w:rsidR="007F2DE4" w:rsidRDefault="00000000">
            <w:pPr>
              <w:spacing w:before="40" w:after="40"/>
            </w:pPr>
            <w:r>
              <w:rPr>
                <w:color w:val="1A1A1A"/>
                <w:sz w:val="17"/>
              </w:rPr>
              <w:t>Where it is applied</w:t>
            </w:r>
          </w:p>
        </w:tc>
        <w:tc>
          <w:tcPr>
            <w:tcW w:w="3672" w:type="dxa"/>
            <w:shd w:val="clear" w:color="auto" w:fill="FFFFFF"/>
          </w:tcPr>
          <w:p w14:paraId="047BCB73" w14:textId="77777777" w:rsidR="007F2DE4" w:rsidRDefault="00000000">
            <w:pPr>
              <w:spacing w:before="40" w:after="40"/>
            </w:pPr>
            <w:r>
              <w:rPr>
                <w:color w:val="1A1A1A"/>
                <w:sz w:val="17"/>
              </w:rPr>
              <w:t>Inside the banking-book RW machinery (CRE40-44): the ERBA 1Y/5Y table interpolation; the IRBA supervisory parameter p in CRE44.17</w:t>
            </w:r>
          </w:p>
        </w:tc>
        <w:tc>
          <w:tcPr>
            <w:tcW w:w="3672" w:type="dxa"/>
            <w:shd w:val="clear" w:color="auto" w:fill="FFFFFF"/>
          </w:tcPr>
          <w:p w14:paraId="1C38BEBD" w14:textId="77777777" w:rsidR="007F2DE4" w:rsidRDefault="00000000">
            <w:pPr>
              <w:spacing w:before="40" w:after="40"/>
            </w:pPr>
            <w:r>
              <w:rPr>
                <w:color w:val="1A1A1A"/>
                <w:sz w:val="17"/>
              </w:rPr>
              <w:t>On per-position GROSS JTD, before per-tranche netting</w:t>
            </w:r>
          </w:p>
        </w:tc>
      </w:tr>
      <w:tr w:rsidR="007F2DE4" w14:paraId="46DC8299" w14:textId="77777777">
        <w:trPr>
          <w:jc w:val="center"/>
        </w:trPr>
        <w:tc>
          <w:tcPr>
            <w:tcW w:w="1944" w:type="dxa"/>
            <w:shd w:val="clear" w:color="auto" w:fill="F2F2F2"/>
          </w:tcPr>
          <w:p w14:paraId="62FD5ADA" w14:textId="77777777" w:rsidR="007F2DE4" w:rsidRDefault="00000000">
            <w:pPr>
              <w:spacing w:before="40" w:after="40"/>
            </w:pPr>
            <w:r>
              <w:rPr>
                <w:color w:val="1A1A1A"/>
                <w:sz w:val="17"/>
              </w:rPr>
              <w:t>The actual value used</w:t>
            </w:r>
          </w:p>
        </w:tc>
        <w:tc>
          <w:tcPr>
            <w:tcW w:w="3672" w:type="dxa"/>
            <w:shd w:val="clear" w:color="auto" w:fill="F2F2F2"/>
          </w:tcPr>
          <w:p w14:paraId="2C93577B" w14:textId="77777777" w:rsidR="007F2DE4" w:rsidRDefault="00000000">
            <w:pPr>
              <w:spacing w:before="40" w:after="40"/>
            </w:pPr>
            <w:r>
              <w:rPr>
                <w:color w:val="1A1A1A"/>
                <w:sz w:val="17"/>
              </w:rPr>
              <w:t>Forced to 1.0 year — the position's real maturity is IGNORED here</w:t>
            </w:r>
          </w:p>
        </w:tc>
        <w:tc>
          <w:tcPr>
            <w:tcW w:w="3672" w:type="dxa"/>
            <w:shd w:val="clear" w:color="auto" w:fill="F2F2F2"/>
          </w:tcPr>
          <w:p w14:paraId="2B8FCDF2" w14:textId="77777777" w:rsidR="007F2DE4" w:rsidRDefault="00000000">
            <w:pPr>
              <w:spacing w:before="40" w:after="40"/>
            </w:pPr>
            <w:r>
              <w:rPr>
                <w:color w:val="1A1A1A"/>
                <w:sz w:val="17"/>
              </w:rPr>
              <w:t>The position's REAL remaining maturity, clipped to [0.25, 1.0]</w:t>
            </w:r>
          </w:p>
        </w:tc>
      </w:tr>
      <w:tr w:rsidR="007F2DE4" w14:paraId="14B0BB02" w14:textId="77777777">
        <w:trPr>
          <w:jc w:val="center"/>
        </w:trPr>
        <w:tc>
          <w:tcPr>
            <w:tcW w:w="1944" w:type="dxa"/>
            <w:shd w:val="clear" w:color="auto" w:fill="FFFFFF"/>
          </w:tcPr>
          <w:p w14:paraId="148AFE94" w14:textId="77777777" w:rsidR="007F2DE4" w:rsidRDefault="00000000">
            <w:pPr>
              <w:spacing w:before="40" w:after="40"/>
            </w:pPr>
            <w:r>
              <w:rPr>
                <w:color w:val="1A1A1A"/>
                <w:sz w:val="17"/>
              </w:rPr>
              <w:t>What this captures</w:t>
            </w:r>
          </w:p>
        </w:tc>
        <w:tc>
          <w:tcPr>
            <w:tcW w:w="3672" w:type="dxa"/>
            <w:shd w:val="clear" w:color="auto" w:fill="FFFFFF"/>
          </w:tcPr>
          <w:p w14:paraId="335522D2" w14:textId="77777777" w:rsidR="007F2DE4" w:rsidRDefault="00000000">
            <w:pPr>
              <w:spacing w:before="40" w:after="40"/>
            </w:pPr>
            <w:r>
              <w:rPr>
                <w:color w:val="1A1A1A"/>
                <w:sz w:val="17"/>
              </w:rPr>
              <w:t>Pure 1-year default risk on the position</w:t>
            </w:r>
          </w:p>
        </w:tc>
        <w:tc>
          <w:tcPr>
            <w:tcW w:w="3672" w:type="dxa"/>
            <w:shd w:val="clear" w:color="auto" w:fill="FFFFFF"/>
          </w:tcPr>
          <w:p w14:paraId="6425AED3" w14:textId="77777777" w:rsidR="007F2DE4" w:rsidRDefault="00000000">
            <w:pPr>
              <w:spacing w:before="40" w:after="40"/>
            </w:pPr>
            <w:r>
              <w:rPr>
                <w:color w:val="1A1A1A"/>
                <w:sz w:val="17"/>
              </w:rPr>
              <w:t>The reduced default exposure of sub-1Y positions (less time at risk)</w:t>
            </w:r>
          </w:p>
        </w:tc>
      </w:tr>
      <w:tr w:rsidR="007F2DE4" w14:paraId="4C73F430" w14:textId="77777777">
        <w:trPr>
          <w:jc w:val="center"/>
        </w:trPr>
        <w:tc>
          <w:tcPr>
            <w:tcW w:w="1944" w:type="dxa"/>
            <w:shd w:val="clear" w:color="auto" w:fill="F2F2F2"/>
          </w:tcPr>
          <w:p w14:paraId="5B02F3D9" w14:textId="77777777" w:rsidR="007F2DE4" w:rsidRDefault="00000000">
            <w:pPr>
              <w:spacing w:before="40" w:after="40"/>
            </w:pPr>
            <w:r>
              <w:rPr>
                <w:color w:val="1A1A1A"/>
                <w:sz w:val="17"/>
              </w:rPr>
              <w:t>Effect on a 5Y senior vs a 1Y senior, same pool</w:t>
            </w:r>
          </w:p>
        </w:tc>
        <w:tc>
          <w:tcPr>
            <w:tcW w:w="3672" w:type="dxa"/>
            <w:shd w:val="clear" w:color="auto" w:fill="F2F2F2"/>
          </w:tcPr>
          <w:p w14:paraId="1B51A78C" w14:textId="77777777" w:rsidR="007F2DE4" w:rsidRDefault="00000000">
            <w:pPr>
              <w:spacing w:before="40" w:after="40"/>
            </w:pPr>
            <w:r>
              <w:rPr>
                <w:color w:val="1A1A1A"/>
                <w:sz w:val="17"/>
              </w:rPr>
              <w:t>Identical RW (both at the 1Y column of the ERBA table)</w:t>
            </w:r>
          </w:p>
        </w:tc>
        <w:tc>
          <w:tcPr>
            <w:tcW w:w="3672" w:type="dxa"/>
            <w:shd w:val="clear" w:color="auto" w:fill="F2F2F2"/>
          </w:tcPr>
          <w:p w14:paraId="269565ED" w14:textId="77777777" w:rsidR="007F2DE4" w:rsidRDefault="00000000">
            <w:pPr>
              <w:spacing w:before="40" w:after="40"/>
            </w:pPr>
            <w:r>
              <w:rPr>
                <w:color w:val="1A1A1A"/>
                <w:sz w:val="17"/>
              </w:rPr>
              <w:t>Identical scaling factor (both = 1.0; cap binds for both)</w:t>
            </w:r>
          </w:p>
        </w:tc>
      </w:tr>
      <w:tr w:rsidR="007F2DE4" w14:paraId="54CAB9E7" w14:textId="77777777">
        <w:trPr>
          <w:jc w:val="center"/>
        </w:trPr>
        <w:tc>
          <w:tcPr>
            <w:tcW w:w="1944" w:type="dxa"/>
            <w:shd w:val="clear" w:color="auto" w:fill="FFFFFF"/>
          </w:tcPr>
          <w:p w14:paraId="176BAD08" w14:textId="77777777" w:rsidR="007F2DE4" w:rsidRDefault="00000000">
            <w:pPr>
              <w:spacing w:before="40" w:after="40"/>
            </w:pPr>
            <w:r>
              <w:rPr>
                <w:color w:val="1A1A1A"/>
                <w:sz w:val="17"/>
              </w:rPr>
              <w:t>Effect on a 6-month senior vs a 5Y senior</w:t>
            </w:r>
          </w:p>
        </w:tc>
        <w:tc>
          <w:tcPr>
            <w:tcW w:w="3672" w:type="dxa"/>
            <w:shd w:val="clear" w:color="auto" w:fill="FFFFFF"/>
          </w:tcPr>
          <w:p w14:paraId="18D9CC59" w14:textId="77777777" w:rsidR="007F2DE4" w:rsidRDefault="00000000">
            <w:pPr>
              <w:spacing w:before="40" w:after="40"/>
            </w:pPr>
            <w:r>
              <w:rPr>
                <w:color w:val="1A1A1A"/>
                <w:sz w:val="17"/>
              </w:rPr>
              <w:t>Identical RW (still both at the 1Y column)</w:t>
            </w:r>
          </w:p>
        </w:tc>
        <w:tc>
          <w:tcPr>
            <w:tcW w:w="3672" w:type="dxa"/>
            <w:shd w:val="clear" w:color="auto" w:fill="FFFFFF"/>
          </w:tcPr>
          <w:p w14:paraId="76812DE6" w14:textId="77777777" w:rsidR="007F2DE4" w:rsidRDefault="00000000">
            <w:pPr>
              <w:spacing w:before="40" w:after="40"/>
            </w:pPr>
            <w:r>
              <w:rPr>
                <w:color w:val="1A1A1A"/>
                <w:sz w:val="17"/>
              </w:rPr>
              <w:t>Scaling factor 0.5 vs 1.0 — the 6-month position's JTD halves</w:t>
            </w:r>
          </w:p>
        </w:tc>
      </w:tr>
      <w:tr w:rsidR="007F2DE4" w14:paraId="3E1EE254" w14:textId="77777777">
        <w:trPr>
          <w:jc w:val="center"/>
        </w:trPr>
        <w:tc>
          <w:tcPr>
            <w:tcW w:w="1944" w:type="dxa"/>
            <w:shd w:val="clear" w:color="auto" w:fill="F2F2F2"/>
          </w:tcPr>
          <w:p w14:paraId="004ABBBF" w14:textId="77777777" w:rsidR="007F2DE4" w:rsidRDefault="00000000">
            <w:pPr>
              <w:spacing w:before="40" w:after="40"/>
            </w:pPr>
            <w:r>
              <w:rPr>
                <w:color w:val="1A1A1A"/>
                <w:sz w:val="17"/>
              </w:rPr>
              <w:t>What is intentionally NOT captured here</w:t>
            </w:r>
          </w:p>
        </w:tc>
        <w:tc>
          <w:tcPr>
            <w:tcW w:w="3672" w:type="dxa"/>
            <w:shd w:val="clear" w:color="auto" w:fill="F2F2F2"/>
          </w:tcPr>
          <w:p w14:paraId="4E114648" w14:textId="77777777" w:rsidR="007F2DE4" w:rsidRDefault="00000000">
            <w:pPr>
              <w:spacing w:before="40" w:after="40"/>
            </w:pPr>
            <w:r>
              <w:rPr>
                <w:color w:val="1A1A1A"/>
                <w:sz w:val="17"/>
              </w:rPr>
              <w:t>Migration / spread-widening over the position's life</w:t>
            </w:r>
          </w:p>
        </w:tc>
        <w:tc>
          <w:tcPr>
            <w:tcW w:w="3672" w:type="dxa"/>
            <w:shd w:val="clear" w:color="auto" w:fill="F2F2F2"/>
          </w:tcPr>
          <w:p w14:paraId="07C22555" w14:textId="77777777" w:rsidR="007F2DE4" w:rsidRDefault="00000000">
            <w:pPr>
              <w:spacing w:before="40" w:after="40"/>
            </w:pPr>
            <w:r>
              <w:rPr>
                <w:color w:val="1A1A1A"/>
                <w:sz w:val="17"/>
              </w:rPr>
              <w:t>Any default-risk differentiation between a 1Y and a 5Y position</w:t>
            </w:r>
          </w:p>
        </w:tc>
      </w:tr>
    </w:tbl>
    <w:p w14:paraId="41DD900D" w14:textId="77777777" w:rsidR="007F2DE4" w:rsidRDefault="00000000">
      <w:pPr>
        <w:spacing w:before="60"/>
      </w:pPr>
      <w:r>
        <w:rPr>
          <w:b/>
          <w:color w:val="0E2C4B"/>
          <w:sz w:val="17"/>
        </w:rPr>
        <w:t xml:space="preserve">Exhibit 1.  </w:t>
      </w:r>
      <w:r>
        <w:rPr>
          <w:i/>
          <w:color w:val="555555"/>
          <w:sz w:val="17"/>
        </w:rPr>
        <w:t>The two M(T) rules. The first pins the RW machinery to a one-year horizon; the second scales JTD down only for positions with less than a year to run. Neither captures the multi-year migration differentiation — that is what the credit-spread block is for.</w:t>
      </w:r>
    </w:p>
    <w:p w14:paraId="6BEC0CE6" w14:textId="77777777" w:rsidR="007F2DE4" w:rsidRDefault="00000000">
      <w:pPr>
        <w:pBdr>
          <w:left w:val="single" w:sz="18" w:space="4" w:color="355574"/>
        </w:pBdr>
        <w:shd w:val="clear" w:color="auto" w:fill="F4F1EA"/>
        <w:spacing w:before="120" w:after="120"/>
        <w:ind w:left="72" w:right="72"/>
      </w:pPr>
      <w:r>
        <w:rPr>
          <w:b/>
          <w:color w:val="355574"/>
          <w:sz w:val="19"/>
        </w:rPr>
        <w:t xml:space="preserve">  MNEMONIC   </w:t>
      </w:r>
      <w:r>
        <w:rPr>
          <w:color w:val="2A2A2A"/>
          <w:sz w:val="19"/>
        </w:rPr>
        <w:t xml:space="preserve">Two M(T)s, two jobs, no overlap. The </w:t>
      </w:r>
      <w:r>
        <w:rPr>
          <w:b/>
          <w:color w:val="2A2A2A"/>
          <w:sz w:val="19"/>
        </w:rPr>
        <w:t>RW M(T)</w:t>
      </w:r>
      <w:r>
        <w:rPr>
          <w:color w:val="2A2A2A"/>
          <w:sz w:val="19"/>
        </w:rPr>
        <w:t xml:space="preserve"> is the regulator saying *default risk = 1-year default risk, full stop*. The </w:t>
      </w:r>
      <w:r>
        <w:rPr>
          <w:b/>
          <w:color w:val="2A2A2A"/>
          <w:sz w:val="19"/>
        </w:rPr>
        <w:t>JTD scaling M(T)</w:t>
      </w:r>
      <w:r>
        <w:rPr>
          <w:color w:val="2A2A2A"/>
          <w:sz w:val="19"/>
        </w:rPr>
        <w:t xml:space="preserve"> is the regulator saying *if you only own this position for a few months, you have less time to be defaulted on*. Both rules face the same direction (towards 1 year), but they refer to different things and co-exist by design.</w:t>
      </w:r>
    </w:p>
    <w:p w14:paraId="59B7CD03" w14:textId="77777777" w:rsidR="007F2DE4" w:rsidRDefault="00000000">
      <w:pPr>
        <w:keepNext/>
        <w:pBdr>
          <w:bottom w:val="single" w:sz="10" w:space="4" w:color="0E2C4B"/>
        </w:pBdr>
        <w:spacing w:before="400" w:after="140"/>
      </w:pPr>
      <w:r>
        <w:rPr>
          <w:b/>
          <w:color w:val="0E2C4B"/>
          <w:sz w:val="32"/>
        </w:rPr>
        <w:t>4.  The Regulator's Two-Component Design</w:t>
      </w:r>
    </w:p>
    <w:p w14:paraId="7B40D6DC" w14:textId="77777777" w:rsidR="007F2DE4" w:rsidRDefault="00000000">
      <w:pPr>
        <w:spacing w:before="40" w:after="100" w:line="269" w:lineRule="auto"/>
      </w:pPr>
      <w:r>
        <w:rPr>
          <w:color w:val="1A1A1A"/>
          <w:sz w:val="21"/>
        </w:rPr>
        <w:t>The reason the two rules can co-exist without conflict is that the trading-book framework has already decided where each kind of credit risk lives. Default risk and credit-spread (migration) risk are allocated to two different capital blocks, and the maturity treatment in each block is tailored to what that block is supposed to capture.</w:t>
      </w:r>
    </w:p>
    <w:tbl>
      <w:tblPr>
        <w:tblStyle w:val="TableGrid"/>
        <w:tblW w:w="0" w:type="auto"/>
        <w:jc w:val="center"/>
        <w:tblLook w:val="04A0" w:firstRow="1" w:lastRow="0" w:firstColumn="1" w:lastColumn="0" w:noHBand="0" w:noVBand="1"/>
      </w:tblPr>
      <w:tblGrid>
        <w:gridCol w:w="2815"/>
        <w:gridCol w:w="2828"/>
        <w:gridCol w:w="3933"/>
      </w:tblGrid>
      <w:tr w:rsidR="007F2DE4" w14:paraId="2E96D4E6" w14:textId="77777777">
        <w:trPr>
          <w:jc w:val="center"/>
        </w:trPr>
        <w:tc>
          <w:tcPr>
            <w:tcW w:w="2880" w:type="dxa"/>
            <w:shd w:val="clear" w:color="auto" w:fill="0E2C4B"/>
          </w:tcPr>
          <w:p w14:paraId="017FAFE9" w14:textId="77777777" w:rsidR="007F2DE4" w:rsidRDefault="00000000">
            <w:pPr>
              <w:spacing w:before="40" w:after="40"/>
            </w:pPr>
            <w:r>
              <w:rPr>
                <w:b/>
                <w:color w:val="FFFFFF"/>
                <w:sz w:val="18"/>
              </w:rPr>
              <w:t>Risk component</w:t>
            </w:r>
          </w:p>
        </w:tc>
        <w:tc>
          <w:tcPr>
            <w:tcW w:w="2880" w:type="dxa"/>
            <w:shd w:val="clear" w:color="auto" w:fill="0E2C4B"/>
          </w:tcPr>
          <w:p w14:paraId="1A8C2609" w14:textId="77777777" w:rsidR="007F2DE4" w:rsidRDefault="00000000">
            <w:pPr>
              <w:spacing w:before="40" w:after="40"/>
            </w:pPr>
            <w:r>
              <w:rPr>
                <w:b/>
                <w:color w:val="FFFFFF"/>
                <w:sz w:val="18"/>
              </w:rPr>
              <w:t>Capital block</w:t>
            </w:r>
          </w:p>
        </w:tc>
        <w:tc>
          <w:tcPr>
            <w:tcW w:w="4032" w:type="dxa"/>
            <w:shd w:val="clear" w:color="auto" w:fill="0E2C4B"/>
          </w:tcPr>
          <w:p w14:paraId="0D9BD714" w14:textId="77777777" w:rsidR="007F2DE4" w:rsidRDefault="00000000">
            <w:pPr>
              <w:spacing w:before="40" w:after="40"/>
            </w:pPr>
            <w:r>
              <w:rPr>
                <w:b/>
                <w:color w:val="FFFFFF"/>
                <w:sz w:val="18"/>
              </w:rPr>
              <w:t>Maturity treatment in that block</w:t>
            </w:r>
          </w:p>
        </w:tc>
      </w:tr>
      <w:tr w:rsidR="007F2DE4" w14:paraId="35FE605C" w14:textId="77777777">
        <w:trPr>
          <w:jc w:val="center"/>
        </w:trPr>
        <w:tc>
          <w:tcPr>
            <w:tcW w:w="2880" w:type="dxa"/>
            <w:shd w:val="clear" w:color="auto" w:fill="F2F2F2"/>
          </w:tcPr>
          <w:p w14:paraId="6B724758" w14:textId="77777777" w:rsidR="007F2DE4" w:rsidRDefault="00000000">
            <w:pPr>
              <w:spacing w:before="40" w:after="40"/>
            </w:pPr>
            <w:r>
              <w:rPr>
                <w:color w:val="1A1A1A"/>
                <w:sz w:val="17"/>
              </w:rPr>
              <w:t>Default risk during the holding period — i.e. the issuer or pool actually defaults</w:t>
            </w:r>
          </w:p>
        </w:tc>
        <w:tc>
          <w:tcPr>
            <w:tcW w:w="2880" w:type="dxa"/>
            <w:shd w:val="clear" w:color="auto" w:fill="F2F2F2"/>
          </w:tcPr>
          <w:p w14:paraId="1A27DD9D" w14:textId="77777777" w:rsidR="007F2DE4" w:rsidRDefault="00000000">
            <w:pPr>
              <w:spacing w:before="40" w:after="40"/>
            </w:pPr>
            <w:r>
              <w:rPr>
                <w:color w:val="1A1A1A"/>
                <w:sz w:val="17"/>
              </w:rPr>
              <w:t>DRC (this engine, MAR22.33-35 + CRE40-45)</w:t>
            </w:r>
          </w:p>
        </w:tc>
        <w:tc>
          <w:tcPr>
            <w:tcW w:w="4032" w:type="dxa"/>
            <w:shd w:val="clear" w:color="auto" w:fill="F2F2F2"/>
          </w:tcPr>
          <w:p w14:paraId="066D9BCB" w14:textId="77777777" w:rsidR="007F2DE4" w:rsidRDefault="00000000">
            <w:pPr>
              <w:spacing w:before="40" w:after="40"/>
            </w:pPr>
            <w:r>
              <w:rPr>
                <w:color w:val="1A1A1A"/>
                <w:sz w:val="17"/>
              </w:rPr>
              <w:t>RW pinned to 1Y by MAR22.34(1); JTD scaled down for sub-1Y by MAR22.30 (≈ MAR22.15-18)</w:t>
            </w:r>
          </w:p>
        </w:tc>
      </w:tr>
      <w:tr w:rsidR="007F2DE4" w14:paraId="04C996F9" w14:textId="77777777">
        <w:trPr>
          <w:jc w:val="center"/>
        </w:trPr>
        <w:tc>
          <w:tcPr>
            <w:tcW w:w="2880" w:type="dxa"/>
            <w:shd w:val="clear" w:color="auto" w:fill="FFFFFF"/>
          </w:tcPr>
          <w:p w14:paraId="7AC38A4D" w14:textId="77777777" w:rsidR="007F2DE4" w:rsidRDefault="00000000">
            <w:pPr>
              <w:spacing w:before="40" w:after="40"/>
            </w:pPr>
            <w:r>
              <w:rPr>
                <w:color w:val="1A1A1A"/>
                <w:sz w:val="17"/>
              </w:rPr>
              <w:t>Migration / spread-widening risk — credit quality deteriorates without an actual default event</w:t>
            </w:r>
          </w:p>
        </w:tc>
        <w:tc>
          <w:tcPr>
            <w:tcW w:w="2880" w:type="dxa"/>
            <w:shd w:val="clear" w:color="auto" w:fill="FFFFFF"/>
          </w:tcPr>
          <w:p w14:paraId="3A9DA6DB" w14:textId="77777777" w:rsidR="007F2DE4" w:rsidRDefault="00000000">
            <w:pPr>
              <w:spacing w:before="40" w:after="40"/>
            </w:pPr>
            <w:r>
              <w:rPr>
                <w:color w:val="1A1A1A"/>
                <w:sz w:val="17"/>
              </w:rPr>
              <w:t>CSR-Sec (Phase 2 of `capital_main.py`, MAR21)</w:t>
            </w:r>
          </w:p>
        </w:tc>
        <w:tc>
          <w:tcPr>
            <w:tcW w:w="4032" w:type="dxa"/>
            <w:shd w:val="clear" w:color="auto" w:fill="FFFFFF"/>
          </w:tcPr>
          <w:p w14:paraId="4D16F533" w14:textId="77777777" w:rsidR="007F2DE4" w:rsidRDefault="00000000">
            <w:pPr>
              <w:spacing w:before="40" w:after="40"/>
            </w:pPr>
            <w:r>
              <w:rPr>
                <w:color w:val="1A1A1A"/>
                <w:sz w:val="17"/>
              </w:rPr>
              <w:t>Full position maturity used, via the FRTB tenor pillars at 0.5/1/3/5/10Y; CS01 captures duration-times-spread; bucket RWs are calibrated on historical spread moves that include migration jumps</w:t>
            </w:r>
          </w:p>
        </w:tc>
      </w:tr>
    </w:tbl>
    <w:p w14:paraId="44B18215" w14:textId="77777777" w:rsidR="007F2DE4" w:rsidRDefault="00000000">
      <w:pPr>
        <w:spacing w:before="60"/>
      </w:pPr>
      <w:r>
        <w:rPr>
          <w:b/>
          <w:color w:val="0E2C4B"/>
          <w:sz w:val="17"/>
        </w:rPr>
        <w:t xml:space="preserve">Exhibit 2.  </w:t>
      </w:r>
      <w:r>
        <w:rPr>
          <w:i/>
          <w:color w:val="555555"/>
          <w:sz w:val="17"/>
        </w:rPr>
        <w:t>Credit-risk capital under FRTB lives in two blocks. The maturity treatment in each block is designed for the risk that block captures; the two together cover the position's full credit-risk profile.</w:t>
      </w:r>
    </w:p>
    <w:p w14:paraId="68D83F3C" w14:textId="77777777" w:rsidR="007F2DE4" w:rsidRDefault="00000000">
      <w:pPr>
        <w:spacing w:before="40" w:after="100" w:line="269" w:lineRule="auto"/>
      </w:pPr>
      <w:r>
        <w:rPr>
          <w:color w:val="1A1A1A"/>
          <w:sz w:val="21"/>
        </w:rPr>
        <w:t xml:space="preserve">The MAR22.34(1) overlay text states the design intent explicitly: the maturity component of the banking-book formula is set to zero (a one-year horizon is assumed) </w:t>
      </w:r>
      <w:r>
        <w:rPr>
          <w:b/>
          <w:color w:val="1A1A1A"/>
          <w:sz w:val="21"/>
        </w:rPr>
        <w:t>specifically to avoid double-counting</w:t>
      </w:r>
      <w:r>
        <w:rPr>
          <w:color w:val="1A1A1A"/>
          <w:sz w:val="21"/>
        </w:rPr>
        <w:t xml:space="preserve"> with the migration-risk capital that CSR-Sec is going to apply. Read the two rules together and the framework is consistent; read either rule in isolation and it looks broken.</w:t>
      </w:r>
    </w:p>
    <w:p w14:paraId="4AFED84F" w14:textId="77777777" w:rsidR="007F2DE4" w:rsidRDefault="00000000">
      <w:pPr>
        <w:keepNext/>
        <w:pBdr>
          <w:bottom w:val="single" w:sz="10" w:space="4" w:color="0E2C4B"/>
        </w:pBdr>
        <w:spacing w:before="400" w:after="140"/>
      </w:pPr>
      <w:r>
        <w:rPr>
          <w:b/>
          <w:color w:val="0E2C4B"/>
          <w:sz w:val="32"/>
        </w:rPr>
        <w:t>5.  Default Risk Capital — Capped at 1Y by Design</w:t>
      </w:r>
    </w:p>
    <w:p w14:paraId="2DBD1DAD" w14:textId="77777777" w:rsidR="007F2DE4" w:rsidRDefault="00000000">
      <w:pPr>
        <w:spacing w:before="40" w:after="100" w:line="269" w:lineRule="auto"/>
      </w:pPr>
      <w:r>
        <w:rPr>
          <w:color w:val="1A1A1A"/>
          <w:sz w:val="21"/>
        </w:rPr>
        <w:t xml:space="preserve">Inside DRC sec, the position's actual remaining maturity affects capital through the </w:t>
      </w:r>
      <w:r>
        <w:rPr>
          <w:b/>
          <w:color w:val="1A1A1A"/>
          <w:sz w:val="21"/>
        </w:rPr>
        <w:t>gross-JTD scaling factor</w:t>
      </w:r>
      <w:r>
        <w:rPr>
          <w:color w:val="1A1A1A"/>
          <w:sz w:val="21"/>
        </w:rPr>
        <w:t xml:space="preserve"> and nothing else. That factor clips the maturity into the interval [0.25, 1.0]: a position with more </w:t>
      </w:r>
      <w:r>
        <w:rPr>
          <w:color w:val="1A1A1A"/>
          <w:sz w:val="21"/>
        </w:rPr>
        <w:lastRenderedPageBreak/>
        <w:t>than a year to run gets a factor of 1.0 (no reduction), a six-month position gets 0.5, a three-month or shorter position gets the 0.25 floor.</w:t>
      </w:r>
    </w:p>
    <w:p w14:paraId="4B283A8E" w14:textId="77777777" w:rsidR="007F2DE4" w:rsidRDefault="00000000">
      <w:pPr>
        <w:jc w:val="center"/>
      </w:pPr>
      <w:r>
        <w:rPr>
          <w:noProof/>
        </w:rPr>
        <w:drawing>
          <wp:inline distT="0" distB="0" distL="0" distR="0" wp14:anchorId="24B6D316" wp14:editId="14CCBF59">
            <wp:extent cx="5303520" cy="24499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mt_split_scaling.png"/>
                    <pic:cNvPicPr/>
                  </pic:nvPicPr>
                  <pic:blipFill>
                    <a:blip r:embed="rId9"/>
                    <a:stretch>
                      <a:fillRect/>
                    </a:stretch>
                  </pic:blipFill>
                  <pic:spPr>
                    <a:xfrm>
                      <a:off x="0" y="0"/>
                      <a:ext cx="5303520" cy="2449910"/>
                    </a:xfrm>
                    <a:prstGeom prst="rect">
                      <a:avLst/>
                    </a:prstGeom>
                  </pic:spPr>
                </pic:pic>
              </a:graphicData>
            </a:graphic>
          </wp:inline>
        </w:drawing>
      </w:r>
    </w:p>
    <w:p w14:paraId="615B4914" w14:textId="77777777" w:rsidR="007F2DE4" w:rsidRDefault="00000000">
      <w:pPr>
        <w:spacing w:before="60"/>
      </w:pPr>
      <w:r>
        <w:rPr>
          <w:b/>
          <w:color w:val="0E2C4B"/>
          <w:sz w:val="17"/>
        </w:rPr>
        <w:t xml:space="preserve">Exhibit 3.  </w:t>
      </w:r>
      <w:r>
        <w:rPr>
          <w:i/>
          <w:color w:val="555555"/>
          <w:sz w:val="17"/>
        </w:rPr>
        <w:t>The MAR22.30 / MAR22.16-17 scaling factor as a function of the position's remaining maturity. Floor at three months, cap at one year. The position's real M(T) is used here — unlike the RW formula, which is pinned to 1Y.</w:t>
      </w:r>
    </w:p>
    <w:p w14:paraId="060F68E6" w14:textId="77777777" w:rsidR="007F2DE4" w:rsidRDefault="00000000">
      <w:pPr>
        <w:spacing w:before="40" w:after="100" w:line="269" w:lineRule="auto"/>
      </w:pPr>
      <w:r>
        <w:rPr>
          <w:color w:val="1A1A1A"/>
          <w:sz w:val="21"/>
        </w:rPr>
        <w:t xml:space="preserve">Under this rule a five-year AAA senior and a one-year AAA senior on the same pool produce </w:t>
      </w:r>
      <w:r>
        <w:rPr>
          <w:b/>
          <w:color w:val="1A1A1A"/>
          <w:sz w:val="21"/>
        </w:rPr>
        <w:t>identical DRC capital</w:t>
      </w:r>
      <w:r>
        <w:rPr>
          <w:color w:val="1A1A1A"/>
          <w:sz w:val="21"/>
        </w:rPr>
        <w:t>. Both have a scaling factor of 1.0; both have an RW that comes out of the same 1-year column of the ERBA table. The 5Y position is not getting away with less default capital than it should — the framework has decided that *default capital looks at a one-year horizon*, and either position is fully exposed to a default in the next twelve months. The 5Y position's additional credit risk over *years two through five* is not a default-risk question; it is a spread-and-migration question, captured elsewhere.</w:t>
      </w:r>
    </w:p>
    <w:p w14:paraId="1837F0DC" w14:textId="77777777" w:rsidR="007F2DE4" w:rsidRDefault="00000000">
      <w:pPr>
        <w:keepNext/>
        <w:pBdr>
          <w:bottom w:val="single" w:sz="10" w:space="4" w:color="0E2C4B"/>
        </w:pBdr>
        <w:spacing w:before="400" w:after="140"/>
      </w:pPr>
      <w:r>
        <w:rPr>
          <w:b/>
          <w:color w:val="0E2C4B"/>
          <w:sz w:val="32"/>
        </w:rPr>
        <w:t>6.  Migration Risk Capital — Picked Up by CSR-Sec</w:t>
      </w:r>
    </w:p>
    <w:p w14:paraId="351FEF54" w14:textId="77777777" w:rsidR="007F2DE4" w:rsidRDefault="00000000">
      <w:pPr>
        <w:spacing w:before="40" w:after="100" w:line="269" w:lineRule="auto"/>
      </w:pPr>
      <w:r>
        <w:rPr>
          <w:color w:val="1A1A1A"/>
          <w:sz w:val="21"/>
        </w:rPr>
        <w:t>The CSR-Sec block charges capital against credit-spread sensitivity at the FRTB tenor pillars (0.5Y, 1Y, 3Y, 5Y, 10Y). For a securitisation tranche the cash-flow profile determines which pillars receive non-trivial CS01: a five-year senior has its CS01 concentrated at the 3Y/5Y pillars; a one-year senior has it at the 0.5Y/1Y pillars and approximately zero further out. Two mechanisms then conspire to give the longer-tenor position more capital:</w:t>
      </w:r>
    </w:p>
    <w:p w14:paraId="252D4754" w14:textId="77777777" w:rsidR="007F2DE4" w:rsidRDefault="00000000">
      <w:pPr>
        <w:pStyle w:val="ListBullet"/>
        <w:spacing w:before="20" w:after="40" w:line="264" w:lineRule="auto"/>
        <w:ind w:left="403"/>
      </w:pPr>
      <w:r>
        <w:rPr>
          <w:b/>
          <w:sz w:val="21"/>
        </w:rPr>
        <w:t>Larger CS01 magnitudes at the longer pillars.</w:t>
      </w:r>
      <w:r>
        <w:rPr>
          <w:sz w:val="21"/>
        </w:rPr>
        <w:t xml:space="preserve"> Modified duration is longer for a five-year position, so the price impact of a 1bp spread move is mechanically bigger. A five-year AAA senior produces a meaningful CS01_5Y; a one-year position produces almost none.</w:t>
      </w:r>
    </w:p>
    <w:p w14:paraId="551624E0" w14:textId="77777777" w:rsidR="007F2DE4" w:rsidRDefault="00000000">
      <w:pPr>
        <w:pStyle w:val="ListBullet"/>
        <w:spacing w:before="20" w:after="40" w:line="264" w:lineRule="auto"/>
        <w:ind w:left="403"/>
      </w:pPr>
      <w:r>
        <w:rPr>
          <w:b/>
          <w:sz w:val="21"/>
        </w:rPr>
        <w:t>Bucket risk weights pre-embed migration.</w:t>
      </w:r>
      <w:r>
        <w:rPr>
          <w:sz w:val="21"/>
        </w:rPr>
        <w:t xml:space="preserve"> The CSR-Sec risk weights in MAR21 are calibrated from historical credit-spread moves at a one-year horizon, 97.5% confidence. Those historical moves include not only smooth-rating volatility but the discrete jumps observed when ratings migrate. So the RW per basis point of CS01 already pays for migration.</w:t>
      </w:r>
    </w:p>
    <w:p w14:paraId="4D918A87" w14:textId="77777777" w:rsidR="007F2DE4" w:rsidRDefault="00000000">
      <w:pPr>
        <w:spacing w:before="40" w:after="100" w:line="269" w:lineRule="auto"/>
      </w:pPr>
      <w:r>
        <w:rPr>
          <w:color w:val="1A1A1A"/>
          <w:sz w:val="21"/>
        </w:rPr>
        <w:t xml:space="preserve">There is a third, smaller effect through </w:t>
      </w:r>
      <w:r>
        <w:rPr>
          <w:b/>
          <w:color w:val="1A1A1A"/>
          <w:sz w:val="21"/>
        </w:rPr>
        <w:t>vega and curvature</w:t>
      </w:r>
      <w:r>
        <w:rPr>
          <w:color w:val="1A1A1A"/>
          <w:sz w:val="21"/>
        </w:rPr>
        <w:t>: tranches with embedded optionality or non-linear price responses produce additional CSR-Sec capital from those components, and those numbers also tend to grow with maturity. For most simple investor positions on fixed-rate cash tranches, delta dominates.</w:t>
      </w:r>
    </w:p>
    <w:p w14:paraId="637C3F1F" w14:textId="77777777" w:rsidR="007F2DE4" w:rsidRDefault="00000000">
      <w:pPr>
        <w:keepNext/>
        <w:pBdr>
          <w:bottom w:val="single" w:sz="10" w:space="4" w:color="0E2C4B"/>
        </w:pBdr>
        <w:spacing w:before="400" w:after="140"/>
      </w:pPr>
      <w:r>
        <w:rPr>
          <w:b/>
          <w:color w:val="0E2C4B"/>
          <w:sz w:val="32"/>
        </w:rPr>
        <w:lastRenderedPageBreak/>
        <w:t>7.  Shape — How Each Block Responds to M(T)</w:t>
      </w:r>
    </w:p>
    <w:p w14:paraId="308E7F8C" w14:textId="77777777" w:rsidR="007F2DE4" w:rsidRDefault="00000000">
      <w:pPr>
        <w:spacing w:before="40" w:after="100" w:line="269" w:lineRule="auto"/>
      </w:pPr>
      <w:r>
        <w:rPr>
          <w:color w:val="1A1A1A"/>
          <w:sz w:val="21"/>
        </w:rPr>
        <w:t xml:space="preserve">This section visualises how each capital block's number changes when the position's remaining maturity changes — separately for each block, in each block's own units. </w:t>
      </w:r>
      <w:r>
        <w:rPr>
          <w:b/>
          <w:color w:val="1A1A1A"/>
          <w:sz w:val="21"/>
        </w:rPr>
        <w:t>It deliberately does NOT put DRC dollars and CSR-Sec dollars side by side</w:t>
      </w:r>
      <w:r>
        <w:rPr>
          <w:color w:val="1A1A1A"/>
          <w:sz w:val="21"/>
        </w:rPr>
        <w:t xml:space="preserve">; the point is the regulator's </w:t>
      </w:r>
      <w:r>
        <w:rPr>
          <w:b/>
          <w:color w:val="1A1A1A"/>
          <w:sz w:val="21"/>
        </w:rPr>
        <w:t>shape design</w:t>
      </w:r>
      <w:r>
        <w:rPr>
          <w:color w:val="1A1A1A"/>
          <w:sz w:val="21"/>
        </w:rPr>
        <w:t xml:space="preserve"> (one block plateaus, the other grows linearly), not a magnitude comparison. Comparing capital numbers across blocks would invite the wrong question ("which is bigger?") and miss the right one ("which block carries the maturity-driven differential?").</w:t>
      </w:r>
    </w:p>
    <w:p w14:paraId="65BFFE4A" w14:textId="77777777" w:rsidR="007F2DE4" w:rsidRDefault="00000000">
      <w:pPr>
        <w:jc w:val="center"/>
      </w:pPr>
      <w:r>
        <w:rPr>
          <w:noProof/>
        </w:rPr>
        <w:drawing>
          <wp:inline distT="0" distB="0" distL="0" distR="0" wp14:anchorId="0DD57055" wp14:editId="50432CCB">
            <wp:extent cx="5760720" cy="2841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mt_split_normalised_shape.png"/>
                    <pic:cNvPicPr/>
                  </pic:nvPicPr>
                  <pic:blipFill>
                    <a:blip r:embed="rId10"/>
                    <a:stretch>
                      <a:fillRect/>
                    </a:stretch>
                  </pic:blipFill>
                  <pic:spPr>
                    <a:xfrm>
                      <a:off x="0" y="0"/>
                      <a:ext cx="5760720" cy="2841955"/>
                    </a:xfrm>
                    <a:prstGeom prst="rect">
                      <a:avLst/>
                    </a:prstGeom>
                  </pic:spPr>
                </pic:pic>
              </a:graphicData>
            </a:graphic>
          </wp:inline>
        </w:drawing>
      </w:r>
    </w:p>
    <w:p w14:paraId="118B5452" w14:textId="77777777" w:rsidR="007F2DE4" w:rsidRDefault="00000000">
      <w:pPr>
        <w:spacing w:before="60"/>
      </w:pPr>
      <w:r>
        <w:rPr>
          <w:b/>
          <w:color w:val="0E2C4B"/>
          <w:sz w:val="17"/>
        </w:rPr>
        <w:t xml:space="preserve">Exhibit 4.  </w:t>
      </w:r>
      <w:r>
        <w:rPr>
          <w:i/>
          <w:color w:val="555555"/>
          <w:sz w:val="17"/>
        </w:rPr>
        <w:t>Each block's capital plotted as a multiple of its own M=1Y value. DRC saturates at 1× by MAR22.34(1) (the maturity component of the banking-book RW is pinned to one year). CSR-Sec keeps growing linearly via the CS01 ramp — at M=5Y it is roughly 5× its 1Y value within the block; at M=10Y roughly 10×. The MAR22.30 sub-1Y scaling zone is shaded.</w:t>
      </w:r>
    </w:p>
    <w:p w14:paraId="292E95CC" w14:textId="77777777" w:rsidR="007F2DE4" w:rsidRDefault="00000000">
      <w:pPr>
        <w:keepNext/>
        <w:spacing w:before="260" w:after="60"/>
      </w:pPr>
      <w:r>
        <w:rPr>
          <w:b/>
          <w:color w:val="355574"/>
          <w:sz w:val="24"/>
        </w:rPr>
        <w:t>7.1  What the shape table says — qualitative</w:t>
      </w:r>
    </w:p>
    <w:p w14:paraId="7B357BF0" w14:textId="77777777" w:rsidR="007F2DE4" w:rsidRDefault="00000000">
      <w:pPr>
        <w:spacing w:before="40" w:after="100" w:line="269" w:lineRule="auto"/>
      </w:pPr>
      <w:r>
        <w:rPr>
          <w:color w:val="1A1A1A"/>
          <w:sz w:val="21"/>
        </w:rPr>
        <w:t>Side by side, the two M(T) responses tell a clean story without any dollar value attached. The table below describes how each block behaves at five maturity points relative to its own 1Y baseline.</w:t>
      </w:r>
    </w:p>
    <w:tbl>
      <w:tblPr>
        <w:tblStyle w:val="TableGrid"/>
        <w:tblW w:w="0" w:type="auto"/>
        <w:jc w:val="center"/>
        <w:tblLook w:val="04A0" w:firstRow="1" w:lastRow="0" w:firstColumn="1" w:lastColumn="0" w:noHBand="0" w:noVBand="1"/>
      </w:tblPr>
      <w:tblGrid>
        <w:gridCol w:w="2232"/>
        <w:gridCol w:w="3672"/>
        <w:gridCol w:w="3672"/>
      </w:tblGrid>
      <w:tr w:rsidR="007F2DE4" w14:paraId="30499737" w14:textId="77777777">
        <w:trPr>
          <w:jc w:val="center"/>
        </w:trPr>
        <w:tc>
          <w:tcPr>
            <w:tcW w:w="2232" w:type="dxa"/>
            <w:shd w:val="clear" w:color="auto" w:fill="0E2C4B"/>
          </w:tcPr>
          <w:p w14:paraId="4DE0954E" w14:textId="77777777" w:rsidR="007F2DE4" w:rsidRDefault="00000000">
            <w:pPr>
              <w:spacing w:before="40" w:after="40"/>
            </w:pPr>
            <w:r>
              <w:rPr>
                <w:b/>
                <w:color w:val="FFFFFF"/>
                <w:sz w:val="19"/>
              </w:rPr>
              <w:t>Remaining maturity</w:t>
            </w:r>
          </w:p>
        </w:tc>
        <w:tc>
          <w:tcPr>
            <w:tcW w:w="3672" w:type="dxa"/>
            <w:shd w:val="clear" w:color="auto" w:fill="0E2C4B"/>
          </w:tcPr>
          <w:p w14:paraId="3BCCB990" w14:textId="77777777" w:rsidR="007F2DE4" w:rsidRDefault="00000000">
            <w:pPr>
              <w:spacing w:before="40" w:after="40"/>
            </w:pPr>
            <w:r>
              <w:rPr>
                <w:b/>
                <w:color w:val="FFFFFF"/>
                <w:sz w:val="19"/>
              </w:rPr>
              <w:t>DRC capital — relative to its M=1Y value</w:t>
            </w:r>
          </w:p>
        </w:tc>
        <w:tc>
          <w:tcPr>
            <w:tcW w:w="3672" w:type="dxa"/>
            <w:shd w:val="clear" w:color="auto" w:fill="0E2C4B"/>
          </w:tcPr>
          <w:p w14:paraId="37F79631" w14:textId="77777777" w:rsidR="007F2DE4" w:rsidRDefault="00000000">
            <w:pPr>
              <w:spacing w:before="40" w:after="40"/>
            </w:pPr>
            <w:r>
              <w:rPr>
                <w:b/>
                <w:color w:val="FFFFFF"/>
                <w:sz w:val="19"/>
              </w:rPr>
              <w:t>CSR-Sec capital — relative to its M=1Y value</w:t>
            </w:r>
          </w:p>
        </w:tc>
      </w:tr>
      <w:tr w:rsidR="007F2DE4" w14:paraId="67D56D72" w14:textId="77777777">
        <w:trPr>
          <w:jc w:val="center"/>
        </w:trPr>
        <w:tc>
          <w:tcPr>
            <w:tcW w:w="2232" w:type="dxa"/>
            <w:shd w:val="clear" w:color="auto" w:fill="F2F2F2"/>
          </w:tcPr>
          <w:p w14:paraId="123AE26A" w14:textId="77777777" w:rsidR="007F2DE4" w:rsidRDefault="00000000">
            <w:pPr>
              <w:spacing w:before="40" w:after="40"/>
            </w:pPr>
            <w:r>
              <w:rPr>
                <w:color w:val="1A1A1A"/>
                <w:sz w:val="18"/>
              </w:rPr>
              <w:t>3 months</w:t>
            </w:r>
          </w:p>
        </w:tc>
        <w:tc>
          <w:tcPr>
            <w:tcW w:w="3672" w:type="dxa"/>
            <w:shd w:val="clear" w:color="auto" w:fill="F2F2F2"/>
          </w:tcPr>
          <w:p w14:paraId="780CB048" w14:textId="77777777" w:rsidR="007F2DE4" w:rsidRDefault="00000000">
            <w:pPr>
              <w:spacing w:before="40" w:after="40"/>
            </w:pPr>
            <w:r>
              <w:rPr>
                <w:color w:val="1A1A1A"/>
                <w:sz w:val="18"/>
              </w:rPr>
              <w:t>0.25× (MAR22.30 floor at 3 months)</w:t>
            </w:r>
          </w:p>
        </w:tc>
        <w:tc>
          <w:tcPr>
            <w:tcW w:w="3672" w:type="dxa"/>
            <w:shd w:val="clear" w:color="auto" w:fill="F2F2F2"/>
          </w:tcPr>
          <w:p w14:paraId="19D3A7B4" w14:textId="77777777" w:rsidR="007F2DE4" w:rsidRDefault="00000000">
            <w:pPr>
              <w:spacing w:before="40" w:after="40"/>
            </w:pPr>
            <w:r>
              <w:rPr>
                <w:color w:val="1A1A1A"/>
                <w:sz w:val="18"/>
              </w:rPr>
              <w:t>0.25× (CS01 ≈ ModDur × MV × 1bp)</w:t>
            </w:r>
          </w:p>
        </w:tc>
      </w:tr>
      <w:tr w:rsidR="007F2DE4" w14:paraId="6B8DBE36" w14:textId="77777777">
        <w:trPr>
          <w:jc w:val="center"/>
        </w:trPr>
        <w:tc>
          <w:tcPr>
            <w:tcW w:w="2232" w:type="dxa"/>
            <w:shd w:val="clear" w:color="auto" w:fill="FFFFFF"/>
          </w:tcPr>
          <w:p w14:paraId="01D48C14" w14:textId="77777777" w:rsidR="007F2DE4" w:rsidRDefault="00000000">
            <w:pPr>
              <w:spacing w:before="40" w:after="40"/>
            </w:pPr>
            <w:r>
              <w:rPr>
                <w:color w:val="1A1A1A"/>
                <w:sz w:val="18"/>
              </w:rPr>
              <w:t>6 months</w:t>
            </w:r>
          </w:p>
        </w:tc>
        <w:tc>
          <w:tcPr>
            <w:tcW w:w="3672" w:type="dxa"/>
            <w:shd w:val="clear" w:color="auto" w:fill="FFFFFF"/>
          </w:tcPr>
          <w:p w14:paraId="520E90B0" w14:textId="77777777" w:rsidR="007F2DE4" w:rsidRDefault="00000000">
            <w:pPr>
              <w:spacing w:before="40" w:after="40"/>
            </w:pPr>
            <w:r>
              <w:rPr>
                <w:color w:val="1A1A1A"/>
                <w:sz w:val="18"/>
              </w:rPr>
              <w:t>0.50× (MAR22.30 sub-1Y scaling)</w:t>
            </w:r>
          </w:p>
        </w:tc>
        <w:tc>
          <w:tcPr>
            <w:tcW w:w="3672" w:type="dxa"/>
            <w:shd w:val="clear" w:color="auto" w:fill="FFFFFF"/>
          </w:tcPr>
          <w:p w14:paraId="13D19D57" w14:textId="77777777" w:rsidR="007F2DE4" w:rsidRDefault="00000000">
            <w:pPr>
              <w:spacing w:before="40" w:after="40"/>
            </w:pPr>
            <w:r>
              <w:rPr>
                <w:color w:val="1A1A1A"/>
                <w:sz w:val="18"/>
              </w:rPr>
              <w:t>0.50×</w:t>
            </w:r>
          </w:p>
        </w:tc>
      </w:tr>
      <w:tr w:rsidR="007F2DE4" w14:paraId="75338CFC" w14:textId="77777777">
        <w:trPr>
          <w:jc w:val="center"/>
        </w:trPr>
        <w:tc>
          <w:tcPr>
            <w:tcW w:w="2232" w:type="dxa"/>
            <w:shd w:val="clear" w:color="auto" w:fill="F2F2F2"/>
          </w:tcPr>
          <w:p w14:paraId="37C712E1" w14:textId="77777777" w:rsidR="007F2DE4" w:rsidRDefault="00000000">
            <w:pPr>
              <w:spacing w:before="40" w:after="40"/>
            </w:pPr>
            <w:r>
              <w:rPr>
                <w:color w:val="1A1A1A"/>
                <w:sz w:val="18"/>
              </w:rPr>
              <w:t>1 year</w:t>
            </w:r>
          </w:p>
        </w:tc>
        <w:tc>
          <w:tcPr>
            <w:tcW w:w="3672" w:type="dxa"/>
            <w:shd w:val="clear" w:color="auto" w:fill="F2F2F2"/>
          </w:tcPr>
          <w:p w14:paraId="6B2C25EA" w14:textId="77777777" w:rsidR="007F2DE4" w:rsidRDefault="00000000">
            <w:pPr>
              <w:spacing w:before="40" w:after="40"/>
            </w:pPr>
            <w:r>
              <w:rPr>
                <w:color w:val="1A1A1A"/>
                <w:sz w:val="18"/>
              </w:rPr>
              <w:t>1.00× (baseline)</w:t>
            </w:r>
          </w:p>
        </w:tc>
        <w:tc>
          <w:tcPr>
            <w:tcW w:w="3672" w:type="dxa"/>
            <w:shd w:val="clear" w:color="auto" w:fill="F2F2F2"/>
          </w:tcPr>
          <w:p w14:paraId="17B77C98" w14:textId="77777777" w:rsidR="007F2DE4" w:rsidRDefault="00000000">
            <w:pPr>
              <w:spacing w:before="40" w:after="40"/>
            </w:pPr>
            <w:r>
              <w:rPr>
                <w:color w:val="1A1A1A"/>
                <w:sz w:val="18"/>
              </w:rPr>
              <w:t>1.00× (baseline)</w:t>
            </w:r>
          </w:p>
        </w:tc>
      </w:tr>
      <w:tr w:rsidR="007F2DE4" w14:paraId="732A62CB" w14:textId="77777777">
        <w:trPr>
          <w:jc w:val="center"/>
        </w:trPr>
        <w:tc>
          <w:tcPr>
            <w:tcW w:w="2232" w:type="dxa"/>
            <w:shd w:val="clear" w:color="auto" w:fill="FFFFFF"/>
          </w:tcPr>
          <w:p w14:paraId="55B4A179" w14:textId="77777777" w:rsidR="007F2DE4" w:rsidRDefault="00000000">
            <w:pPr>
              <w:spacing w:before="40" w:after="40"/>
            </w:pPr>
            <w:r>
              <w:rPr>
                <w:color w:val="1A1A1A"/>
                <w:sz w:val="18"/>
              </w:rPr>
              <w:t>3 years</w:t>
            </w:r>
          </w:p>
        </w:tc>
        <w:tc>
          <w:tcPr>
            <w:tcW w:w="3672" w:type="dxa"/>
            <w:shd w:val="clear" w:color="auto" w:fill="FFFFFF"/>
          </w:tcPr>
          <w:p w14:paraId="0DA3779A" w14:textId="77777777" w:rsidR="007F2DE4" w:rsidRDefault="00000000">
            <w:pPr>
              <w:spacing w:before="40" w:after="40"/>
            </w:pPr>
            <w:r>
              <w:rPr>
                <w:color w:val="1A1A1A"/>
                <w:sz w:val="18"/>
              </w:rPr>
              <w:t>1.00× (plateau)</w:t>
            </w:r>
          </w:p>
        </w:tc>
        <w:tc>
          <w:tcPr>
            <w:tcW w:w="3672" w:type="dxa"/>
            <w:shd w:val="clear" w:color="auto" w:fill="FFFFFF"/>
          </w:tcPr>
          <w:p w14:paraId="532FFDD9" w14:textId="77777777" w:rsidR="007F2DE4" w:rsidRDefault="00000000">
            <w:pPr>
              <w:spacing w:before="40" w:after="40"/>
            </w:pPr>
            <w:r>
              <w:rPr>
                <w:color w:val="1A1A1A"/>
                <w:sz w:val="18"/>
              </w:rPr>
              <w:t>≈ 3×</w:t>
            </w:r>
          </w:p>
        </w:tc>
      </w:tr>
      <w:tr w:rsidR="007F2DE4" w14:paraId="739F91B1" w14:textId="77777777">
        <w:trPr>
          <w:jc w:val="center"/>
        </w:trPr>
        <w:tc>
          <w:tcPr>
            <w:tcW w:w="2232" w:type="dxa"/>
            <w:shd w:val="clear" w:color="auto" w:fill="F2F2F2"/>
          </w:tcPr>
          <w:p w14:paraId="3C1CF457" w14:textId="77777777" w:rsidR="007F2DE4" w:rsidRDefault="00000000">
            <w:pPr>
              <w:spacing w:before="40" w:after="40"/>
            </w:pPr>
            <w:r>
              <w:rPr>
                <w:color w:val="1A1A1A"/>
                <w:sz w:val="18"/>
              </w:rPr>
              <w:t>5 years</w:t>
            </w:r>
          </w:p>
        </w:tc>
        <w:tc>
          <w:tcPr>
            <w:tcW w:w="3672" w:type="dxa"/>
            <w:shd w:val="clear" w:color="auto" w:fill="F2F2F2"/>
          </w:tcPr>
          <w:p w14:paraId="3DD68B57" w14:textId="77777777" w:rsidR="007F2DE4" w:rsidRDefault="00000000">
            <w:pPr>
              <w:spacing w:before="40" w:after="40"/>
            </w:pPr>
            <w:r>
              <w:rPr>
                <w:color w:val="1A1A1A"/>
                <w:sz w:val="18"/>
              </w:rPr>
              <w:t>1.00× (plateau)</w:t>
            </w:r>
          </w:p>
        </w:tc>
        <w:tc>
          <w:tcPr>
            <w:tcW w:w="3672" w:type="dxa"/>
            <w:shd w:val="clear" w:color="auto" w:fill="F2F2F2"/>
          </w:tcPr>
          <w:p w14:paraId="6AAC6B5C" w14:textId="77777777" w:rsidR="007F2DE4" w:rsidRDefault="00000000">
            <w:pPr>
              <w:spacing w:before="40" w:after="40"/>
            </w:pPr>
            <w:r>
              <w:rPr>
                <w:color w:val="1A1A1A"/>
                <w:sz w:val="18"/>
              </w:rPr>
              <w:t>≈ 5×</w:t>
            </w:r>
          </w:p>
        </w:tc>
      </w:tr>
      <w:tr w:rsidR="007F2DE4" w14:paraId="3A43EA69" w14:textId="77777777">
        <w:trPr>
          <w:jc w:val="center"/>
        </w:trPr>
        <w:tc>
          <w:tcPr>
            <w:tcW w:w="2232" w:type="dxa"/>
            <w:shd w:val="clear" w:color="auto" w:fill="FFFFFF"/>
          </w:tcPr>
          <w:p w14:paraId="4BA53B5F" w14:textId="77777777" w:rsidR="007F2DE4" w:rsidRDefault="00000000">
            <w:pPr>
              <w:spacing w:before="40" w:after="40"/>
            </w:pPr>
            <w:r>
              <w:rPr>
                <w:color w:val="1A1A1A"/>
                <w:sz w:val="18"/>
              </w:rPr>
              <w:t>10 years</w:t>
            </w:r>
          </w:p>
        </w:tc>
        <w:tc>
          <w:tcPr>
            <w:tcW w:w="3672" w:type="dxa"/>
            <w:shd w:val="clear" w:color="auto" w:fill="FFFFFF"/>
          </w:tcPr>
          <w:p w14:paraId="1CE37FF5" w14:textId="77777777" w:rsidR="007F2DE4" w:rsidRDefault="00000000">
            <w:pPr>
              <w:spacing w:before="40" w:after="40"/>
            </w:pPr>
            <w:r>
              <w:rPr>
                <w:color w:val="1A1A1A"/>
                <w:sz w:val="18"/>
              </w:rPr>
              <w:t>1.00× (plateau)</w:t>
            </w:r>
          </w:p>
        </w:tc>
        <w:tc>
          <w:tcPr>
            <w:tcW w:w="3672" w:type="dxa"/>
            <w:shd w:val="clear" w:color="auto" w:fill="FFFFFF"/>
          </w:tcPr>
          <w:p w14:paraId="5EB0A8AD" w14:textId="77777777" w:rsidR="007F2DE4" w:rsidRDefault="00000000">
            <w:pPr>
              <w:spacing w:before="40" w:after="40"/>
            </w:pPr>
            <w:r>
              <w:rPr>
                <w:color w:val="1A1A1A"/>
                <w:sz w:val="18"/>
              </w:rPr>
              <w:t>≈ 10×</w:t>
            </w:r>
          </w:p>
        </w:tc>
      </w:tr>
    </w:tbl>
    <w:p w14:paraId="5A8497C2" w14:textId="77777777" w:rsidR="007F2DE4" w:rsidRDefault="00000000">
      <w:pPr>
        <w:spacing w:before="60"/>
      </w:pPr>
      <w:r>
        <w:rPr>
          <w:b/>
          <w:color w:val="0E2C4B"/>
          <w:sz w:val="17"/>
        </w:rPr>
        <w:t xml:space="preserve">Exhibit 5.  </w:t>
      </w:r>
      <w:r>
        <w:rPr>
          <w:i/>
          <w:color w:val="555555"/>
          <w:sz w:val="17"/>
        </w:rPr>
        <w:t>Maturity sensitivity in each block, normalised to the block's own M=1Y value. DRC plateaus from 1Y; CSR-Sec grows linearly with duration. The columns deliberately use the SAME 'multiple of M=1Y' units so the shapes are comparable without comparing dollar magnitudes.</w:t>
      </w:r>
    </w:p>
    <w:p w14:paraId="2BBED09C" w14:textId="77777777" w:rsidR="007F2DE4" w:rsidRDefault="00000000">
      <w:pPr>
        <w:keepNext/>
        <w:spacing w:before="260" w:after="60"/>
      </w:pPr>
      <w:r>
        <w:rPr>
          <w:b/>
          <w:color w:val="355574"/>
          <w:sz w:val="24"/>
        </w:rPr>
        <w:lastRenderedPageBreak/>
        <w:t>7.2  Ratio insight — where extra maturity *goes*</w:t>
      </w:r>
    </w:p>
    <w:p w14:paraId="5255B00F" w14:textId="77777777" w:rsidR="007F2DE4" w:rsidRDefault="00000000">
      <w:pPr>
        <w:spacing w:before="40" w:after="100" w:line="269" w:lineRule="auto"/>
      </w:pPr>
      <w:r>
        <w:rPr>
          <w:color w:val="1A1A1A"/>
          <w:sz w:val="21"/>
        </w:rPr>
        <w:t xml:space="preserve">Take any two positions identical in every respect except maturity. The ratio of the LONGER position's total credit-risk capital to the SHORTER position's total credit-risk capital is </w:t>
      </w:r>
      <w:r>
        <w:rPr>
          <w:b/>
          <w:color w:val="1A1A1A"/>
          <w:sz w:val="21"/>
        </w:rPr>
        <w:t>almost entirely driven by the CSR-Sec block</w:t>
      </w:r>
      <w:r>
        <w:rPr>
          <w:color w:val="1A1A1A"/>
          <w:sz w:val="21"/>
        </w:rPr>
        <w:t>: the DRC component contributes zero to that ratio above 1Y, and only a sub-1Y reduction below 1Y. So the M(T) lever the framework gives you sits entirely on the CSR-Sec side.</w:t>
      </w:r>
    </w:p>
    <w:p w14:paraId="3C5022EA" w14:textId="77777777" w:rsidR="007F2DE4" w:rsidRDefault="00000000">
      <w:pPr>
        <w:pStyle w:val="ListBullet"/>
        <w:spacing w:before="20" w:after="40" w:line="264" w:lineRule="auto"/>
        <w:ind w:left="403"/>
      </w:pPr>
      <w:r>
        <w:rPr>
          <w:b/>
          <w:sz w:val="21"/>
        </w:rPr>
        <w:t>Extending a position from 1Y to 5Y</w:t>
      </w:r>
      <w:r>
        <w:rPr>
          <w:sz w:val="21"/>
        </w:rPr>
        <w:t xml:space="preserve"> does not change its DRC capital. It scales the position's CSR-Sec capital roughly by 5× (in the block's own units) via the longer-pillar CS01.</w:t>
      </w:r>
    </w:p>
    <w:p w14:paraId="69584153" w14:textId="77777777" w:rsidR="007F2DE4" w:rsidRDefault="00000000">
      <w:pPr>
        <w:pStyle w:val="ListBullet"/>
        <w:spacing w:before="20" w:after="40" w:line="264" w:lineRule="auto"/>
        <w:ind w:left="403"/>
      </w:pPr>
      <w:r>
        <w:rPr>
          <w:b/>
          <w:sz w:val="21"/>
        </w:rPr>
        <w:t>Extending a position from 1Y to 10Y</w:t>
      </w:r>
      <w:r>
        <w:rPr>
          <w:sz w:val="21"/>
        </w:rPr>
        <w:t xml:space="preserve"> does not change its DRC capital. It scales the position's CSR-Sec capital roughly by 10× in the block's own units.</w:t>
      </w:r>
    </w:p>
    <w:p w14:paraId="79CEF094" w14:textId="77777777" w:rsidR="007F2DE4" w:rsidRDefault="00000000">
      <w:pPr>
        <w:pStyle w:val="ListBullet"/>
        <w:spacing w:before="20" w:after="40" w:line="264" w:lineRule="auto"/>
        <w:ind w:left="403"/>
      </w:pPr>
      <w:r>
        <w:rPr>
          <w:b/>
          <w:sz w:val="21"/>
        </w:rPr>
        <w:t>Shortening a position to 6 months</w:t>
      </w:r>
      <w:r>
        <w:rPr>
          <w:sz w:val="21"/>
        </w:rPr>
        <w:t xml:space="preserve"> halves its DRC capital (MAR22.30 scaling factor 0.5×) AND halves its CSR-Sec capital. Both blocks respond to sub-1Y maturity reduction, by the same factor.</w:t>
      </w:r>
    </w:p>
    <w:p w14:paraId="12F05F65" w14:textId="77777777" w:rsidR="007F2DE4" w:rsidRDefault="00000000">
      <w:pPr>
        <w:pStyle w:val="ListBullet"/>
        <w:spacing w:before="20" w:after="40" w:line="264" w:lineRule="auto"/>
        <w:ind w:left="403"/>
      </w:pPr>
      <w:r>
        <w:rPr>
          <w:b/>
          <w:sz w:val="21"/>
        </w:rPr>
        <w:t>Shortening a position to 3 months or less</w:t>
      </w:r>
      <w:r>
        <w:rPr>
          <w:sz w:val="21"/>
        </w:rPr>
        <w:t xml:space="preserve"> floors both blocks at 0.25× of their M=1Y value (MAR22.16/22.30 three-month floor for DRC; ModDur cannot drop below the legal floor for CSR-Sec).</w:t>
      </w:r>
    </w:p>
    <w:p w14:paraId="2A886276" w14:textId="77777777" w:rsidR="007F2DE4" w:rsidRDefault="00000000">
      <w:pPr>
        <w:pBdr>
          <w:left w:val="single" w:sz="18" w:space="4" w:color="2E6B4F"/>
        </w:pBdr>
        <w:shd w:val="clear" w:color="auto" w:fill="E7F0EC"/>
        <w:spacing w:before="120" w:after="120"/>
        <w:ind w:left="72" w:right="72"/>
      </w:pPr>
      <w:r>
        <w:rPr>
          <w:b/>
          <w:color w:val="2E6B4F"/>
          <w:sz w:val="19"/>
        </w:rPr>
        <w:t xml:space="preserve">  ANCHORING THE INTUITION   </w:t>
      </w:r>
      <w:r>
        <w:rPr>
          <w:color w:val="2A2A2A"/>
          <w:sz w:val="19"/>
        </w:rPr>
        <w:t xml:space="preserve">The chart and table above carry the regulator's M(T) design without any dollar number being shown. The pattern is the same regardless of the rating, asset class, bucket RW, or position size: </w:t>
      </w:r>
      <w:r>
        <w:rPr>
          <w:b/>
          <w:color w:val="2A2A2A"/>
          <w:sz w:val="19"/>
        </w:rPr>
        <w:t>maturity-driven additional capital flows through CSR-Sec, not DRC</w:t>
      </w:r>
      <w:r>
        <w:rPr>
          <w:color w:val="2A2A2A"/>
          <w:sz w:val="19"/>
        </w:rPr>
        <w:t>. Whether that additional capital is a few thousand dollars or several million on any particular position or portfolio depends on the bucket RW and the CS01 magnitude — but the SHAPE — DRC plateau, CSR-Sec linear ramp — is invariant.</w:t>
      </w:r>
    </w:p>
    <w:p w14:paraId="4D360842" w14:textId="77777777" w:rsidR="007F2DE4" w:rsidRDefault="00000000">
      <w:pPr>
        <w:keepNext/>
        <w:pBdr>
          <w:bottom w:val="single" w:sz="10" w:space="4" w:color="0E2C4B"/>
        </w:pBdr>
        <w:spacing w:before="400" w:after="140"/>
      </w:pPr>
      <w:r>
        <w:rPr>
          <w:b/>
          <w:color w:val="0E2C4B"/>
          <w:sz w:val="32"/>
        </w:rPr>
        <w:t>8.  Conclusions</w:t>
      </w:r>
    </w:p>
    <w:p w14:paraId="2CE79914" w14:textId="77777777" w:rsidR="007F2DE4" w:rsidRDefault="00000000">
      <w:pPr>
        <w:pStyle w:val="ListBullet"/>
        <w:spacing w:before="20" w:after="40" w:line="264" w:lineRule="auto"/>
        <w:ind w:left="403"/>
      </w:pPr>
      <w:r>
        <w:rPr>
          <w:b/>
          <w:sz w:val="21"/>
        </w:rPr>
        <w:t>Two maturity rules, two jobs.</w:t>
      </w:r>
      <w:r>
        <w:rPr>
          <w:sz w:val="21"/>
        </w:rPr>
        <w:t xml:space="preserve"> The RW M(T) is pinned to 1Y inside the DRC RW formulas. The JTD scaling M(T) uses the position's real maturity, clipped to [0.25, 1.0], applied to gross JTD pre-netting. Different things.</w:t>
      </w:r>
    </w:p>
    <w:p w14:paraId="4BE86A95" w14:textId="77777777" w:rsidR="007F2DE4" w:rsidRDefault="00000000">
      <w:pPr>
        <w:pStyle w:val="ListBullet"/>
        <w:spacing w:before="20" w:after="40" w:line="264" w:lineRule="auto"/>
        <w:ind w:left="403"/>
      </w:pPr>
      <w:r>
        <w:rPr>
          <w:b/>
          <w:sz w:val="21"/>
        </w:rPr>
        <w:t>MAR22.34(1) is not a simplification, it is the *point*.</w:t>
      </w:r>
      <w:r>
        <w:rPr>
          <w:sz w:val="21"/>
        </w:rPr>
        <w:t xml:space="preserve"> Suppressing the banking-book maturity component in DRC is what avoids double-counting with the migration risk that CSR-Sec will charge for separately.</w:t>
      </w:r>
    </w:p>
    <w:p w14:paraId="2E4DB98F" w14:textId="77777777" w:rsidR="007F2DE4" w:rsidRDefault="00000000">
      <w:pPr>
        <w:pStyle w:val="ListBullet"/>
        <w:spacing w:before="20" w:after="40" w:line="264" w:lineRule="auto"/>
        <w:ind w:left="403"/>
      </w:pPr>
      <w:r>
        <w:rPr>
          <w:b/>
          <w:sz w:val="21"/>
        </w:rPr>
        <w:t>Migration risk is real and material — it just lives in CSR-Sec.</w:t>
      </w:r>
      <w:r>
        <w:rPr>
          <w:sz w:val="21"/>
        </w:rPr>
        <w:t xml:space="preserve"> It flows through CS01 magnitudes at longer pillars and through MAR21 risk weights that embed historically-observed spread / migration shocks.</w:t>
      </w:r>
    </w:p>
    <w:p w14:paraId="76D47E35" w14:textId="77777777" w:rsidR="007F2DE4" w:rsidRDefault="00000000">
      <w:pPr>
        <w:pStyle w:val="ListBullet"/>
        <w:spacing w:before="20" w:after="40" w:line="264" w:lineRule="auto"/>
        <w:ind w:left="403"/>
      </w:pPr>
      <w:r>
        <w:rPr>
          <w:b/>
          <w:sz w:val="21"/>
        </w:rPr>
        <w:t>5Y AAA seniors are not under-capitalised in DRC; they are correctly capitalised in DRC and additionally capitalised in CSR-Sec.</w:t>
      </w:r>
      <w:r>
        <w:rPr>
          <w:sz w:val="21"/>
        </w:rPr>
        <w:t xml:space="preserve"> Treat DRC and CSR-Sec as two halves of one credit-capital answer.</w:t>
      </w:r>
    </w:p>
    <w:p w14:paraId="50FAC099" w14:textId="77777777" w:rsidR="007F2DE4" w:rsidRDefault="00000000">
      <w:pPr>
        <w:pStyle w:val="ListBullet"/>
        <w:spacing w:before="20" w:after="40" w:line="264" w:lineRule="auto"/>
        <w:ind w:left="403"/>
      </w:pPr>
      <w:r>
        <w:rPr>
          <w:b/>
          <w:sz w:val="21"/>
        </w:rPr>
        <w:t>Practitioner heuristic.</w:t>
      </w:r>
      <w:r>
        <w:rPr>
          <w:sz w:val="21"/>
        </w:rPr>
        <w:t xml:space="preserve"> If anyone protests that the engine is wrong because a 5Y AAA gets the same DRC as a 1Y AAA, ask them to look at the CSR-Sec line for the same position. The story is in the other column of the SA capital workbook.</w:t>
      </w:r>
    </w:p>
    <w:p w14:paraId="3EBB8579" w14:textId="77777777" w:rsidR="007F2DE4" w:rsidRDefault="00000000">
      <w:r>
        <w:br w:type="page"/>
      </w:r>
    </w:p>
    <w:p w14:paraId="3AFC4F45" w14:textId="77777777" w:rsidR="007F2DE4" w:rsidRDefault="00000000">
      <w:pPr>
        <w:keepNext/>
        <w:pBdr>
          <w:bottom w:val="single" w:sz="10" w:space="4" w:color="0E2C4B"/>
        </w:pBdr>
        <w:spacing w:before="400" w:after="140"/>
      </w:pPr>
      <w:r>
        <w:rPr>
          <w:b/>
          <w:color w:val="0E2C4B"/>
          <w:sz w:val="32"/>
        </w:rPr>
        <w:lastRenderedPageBreak/>
        <w:t>Appendix A — Engine Implementation Map</w:t>
      </w:r>
    </w:p>
    <w:p w14:paraId="7C79DB83" w14:textId="77777777" w:rsidR="007F2DE4" w:rsidRDefault="00000000">
      <w:pPr>
        <w:spacing w:before="40" w:after="100" w:line="269" w:lineRule="auto"/>
      </w:pPr>
      <w:r>
        <w:rPr>
          <w:color w:val="1A1A1A"/>
          <w:sz w:val="21"/>
        </w:rPr>
        <w:t>The table below maps each piece of the regulatory split to the exact module and function in the implementation. The engine is built so that the two M(T) flows are mechanically independent — they cannot be accidentally confused because they live in different files and consume different inputs.</w:t>
      </w:r>
    </w:p>
    <w:tbl>
      <w:tblPr>
        <w:tblStyle w:val="TableGrid"/>
        <w:tblW w:w="0" w:type="auto"/>
        <w:jc w:val="center"/>
        <w:tblLook w:val="04A0" w:firstRow="1" w:lastRow="0" w:firstColumn="1" w:lastColumn="0" w:noHBand="0" w:noVBand="1"/>
      </w:tblPr>
      <w:tblGrid>
        <w:gridCol w:w="2831"/>
        <w:gridCol w:w="2859"/>
        <w:gridCol w:w="3886"/>
      </w:tblGrid>
      <w:tr w:rsidR="007F2DE4" w14:paraId="71B8518E" w14:textId="77777777">
        <w:trPr>
          <w:jc w:val="center"/>
        </w:trPr>
        <w:tc>
          <w:tcPr>
            <w:tcW w:w="2952" w:type="dxa"/>
            <w:shd w:val="clear" w:color="auto" w:fill="0E2C4B"/>
          </w:tcPr>
          <w:p w14:paraId="69E71B6F" w14:textId="77777777" w:rsidR="007F2DE4" w:rsidRDefault="00000000">
            <w:pPr>
              <w:spacing w:before="40" w:after="40"/>
            </w:pPr>
            <w:r>
              <w:rPr>
                <w:b/>
                <w:color w:val="FFFFFF"/>
                <w:sz w:val="18"/>
              </w:rPr>
              <w:t>Regulatory rule</w:t>
            </w:r>
          </w:p>
        </w:tc>
        <w:tc>
          <w:tcPr>
            <w:tcW w:w="2880" w:type="dxa"/>
            <w:shd w:val="clear" w:color="auto" w:fill="0E2C4B"/>
          </w:tcPr>
          <w:p w14:paraId="6214726D" w14:textId="77777777" w:rsidR="007F2DE4" w:rsidRDefault="00000000">
            <w:pPr>
              <w:spacing w:before="40" w:after="40"/>
            </w:pPr>
            <w:r>
              <w:rPr>
                <w:b/>
                <w:color w:val="FFFFFF"/>
                <w:sz w:val="18"/>
              </w:rPr>
              <w:t>Engine module</w:t>
            </w:r>
          </w:p>
        </w:tc>
        <w:tc>
          <w:tcPr>
            <w:tcW w:w="4032" w:type="dxa"/>
            <w:shd w:val="clear" w:color="auto" w:fill="0E2C4B"/>
          </w:tcPr>
          <w:p w14:paraId="4576982A" w14:textId="77777777" w:rsidR="007F2DE4" w:rsidRDefault="00000000">
            <w:pPr>
              <w:spacing w:before="40" w:after="40"/>
            </w:pPr>
            <w:r>
              <w:rPr>
                <w:b/>
                <w:color w:val="FFFFFF"/>
                <w:sz w:val="18"/>
              </w:rPr>
              <w:t>What it does</w:t>
            </w:r>
          </w:p>
        </w:tc>
      </w:tr>
      <w:tr w:rsidR="007F2DE4" w14:paraId="302BD049" w14:textId="77777777">
        <w:trPr>
          <w:jc w:val="center"/>
        </w:trPr>
        <w:tc>
          <w:tcPr>
            <w:tcW w:w="2952" w:type="dxa"/>
            <w:shd w:val="clear" w:color="auto" w:fill="F2F2F2"/>
          </w:tcPr>
          <w:p w14:paraId="471DADAC" w14:textId="77777777" w:rsidR="007F2DE4" w:rsidRDefault="00000000">
            <w:pPr>
              <w:spacing w:before="40" w:after="40"/>
            </w:pPr>
            <w:r>
              <w:rPr>
                <w:color w:val="1A1A1A"/>
                <w:sz w:val="17"/>
              </w:rPr>
              <w:t>MAR22.34(1) overlay — M(T) = 1 inside the ERBA 1Y/5Y interpolation</w:t>
            </w:r>
          </w:p>
        </w:tc>
        <w:tc>
          <w:tcPr>
            <w:tcW w:w="2880" w:type="dxa"/>
            <w:shd w:val="clear" w:color="auto" w:fill="F2F2F2"/>
          </w:tcPr>
          <w:p w14:paraId="589C6757" w14:textId="77777777" w:rsidR="007F2DE4" w:rsidRDefault="00000000">
            <w:pPr>
              <w:spacing w:before="40" w:after="40"/>
            </w:pPr>
            <w:r>
              <w:rPr>
                <w:color w:val="1A1A1A"/>
                <w:sz w:val="17"/>
              </w:rPr>
              <w:t>drc_securitisation/sec_erba.py</w:t>
            </w:r>
          </w:p>
        </w:tc>
        <w:tc>
          <w:tcPr>
            <w:tcW w:w="4032" w:type="dxa"/>
            <w:shd w:val="clear" w:color="auto" w:fill="F2F2F2"/>
          </w:tcPr>
          <w:p w14:paraId="033555DE" w14:textId="77777777" w:rsidR="007F2DE4" w:rsidRDefault="00000000">
            <w:pPr>
              <w:spacing w:before="40" w:after="40"/>
            </w:pPr>
            <w:r>
              <w:rPr>
                <w:color w:val="1A1A1A"/>
                <w:sz w:val="17"/>
              </w:rPr>
              <w:t>Reads M_T_for_drc (= 1.0) from the loader frame; collapses the linear interpolation between the 1Y and 5Y CRE42 columns onto the 1Y column.</w:t>
            </w:r>
          </w:p>
        </w:tc>
      </w:tr>
      <w:tr w:rsidR="007F2DE4" w14:paraId="7CCA28B6" w14:textId="77777777">
        <w:trPr>
          <w:jc w:val="center"/>
        </w:trPr>
        <w:tc>
          <w:tcPr>
            <w:tcW w:w="2952" w:type="dxa"/>
            <w:shd w:val="clear" w:color="auto" w:fill="FFFFFF"/>
          </w:tcPr>
          <w:p w14:paraId="1BE24190" w14:textId="77777777" w:rsidR="007F2DE4" w:rsidRDefault="00000000">
            <w:pPr>
              <w:spacing w:before="40" w:after="40"/>
            </w:pPr>
            <w:r>
              <w:rPr>
                <w:color w:val="1A1A1A"/>
                <w:sz w:val="17"/>
              </w:rPr>
              <w:t>MAR22.34(1) overlay — M(T) = 1 in the CRE44.17 p-formula</w:t>
            </w:r>
          </w:p>
        </w:tc>
        <w:tc>
          <w:tcPr>
            <w:tcW w:w="2880" w:type="dxa"/>
            <w:shd w:val="clear" w:color="auto" w:fill="FFFFFF"/>
          </w:tcPr>
          <w:p w14:paraId="51F9EEE7" w14:textId="77777777" w:rsidR="007F2DE4" w:rsidRDefault="00000000">
            <w:pPr>
              <w:spacing w:before="40" w:after="40"/>
            </w:pPr>
            <w:r>
              <w:rPr>
                <w:color w:val="1A1A1A"/>
                <w:sz w:val="17"/>
              </w:rPr>
              <w:t>drc_securitisation/sec_irba.py</w:t>
            </w:r>
          </w:p>
        </w:tc>
        <w:tc>
          <w:tcPr>
            <w:tcW w:w="4032" w:type="dxa"/>
            <w:shd w:val="clear" w:color="auto" w:fill="FFFFFF"/>
          </w:tcPr>
          <w:p w14:paraId="7C4EF998" w14:textId="77777777" w:rsidR="007F2DE4" w:rsidRDefault="00000000">
            <w:pPr>
              <w:spacing w:before="40" w:after="40"/>
            </w:pPr>
            <w:r>
              <w:rPr>
                <w:color w:val="1A1A1A"/>
                <w:sz w:val="17"/>
              </w:rPr>
              <w:t>Reads M_T_for_drc (= 1.0); feeds it into the E_p × M(T) term of the SEC-IRBA supervisory parameter.</w:t>
            </w:r>
          </w:p>
        </w:tc>
      </w:tr>
      <w:tr w:rsidR="007F2DE4" w14:paraId="624B1E95" w14:textId="77777777">
        <w:trPr>
          <w:jc w:val="center"/>
        </w:trPr>
        <w:tc>
          <w:tcPr>
            <w:tcW w:w="2952" w:type="dxa"/>
            <w:shd w:val="clear" w:color="auto" w:fill="F2F2F2"/>
          </w:tcPr>
          <w:p w14:paraId="7288CEEB" w14:textId="77777777" w:rsidR="007F2DE4" w:rsidRDefault="00000000">
            <w:pPr>
              <w:spacing w:before="40" w:after="40"/>
            </w:pPr>
            <w:r>
              <w:rPr>
                <w:color w:val="1A1A1A"/>
                <w:sz w:val="17"/>
              </w:rPr>
              <w:t>MAR22.30 / 22.15-18 — gross-JTD scaling pre-netting</w:t>
            </w:r>
          </w:p>
        </w:tc>
        <w:tc>
          <w:tcPr>
            <w:tcW w:w="2880" w:type="dxa"/>
            <w:shd w:val="clear" w:color="auto" w:fill="F2F2F2"/>
          </w:tcPr>
          <w:p w14:paraId="0576F081" w14:textId="77777777" w:rsidR="007F2DE4" w:rsidRDefault="00000000">
            <w:pPr>
              <w:spacing w:before="40" w:after="40"/>
            </w:pPr>
            <w:r>
              <w:rPr>
                <w:color w:val="1A1A1A"/>
                <w:sz w:val="17"/>
              </w:rPr>
              <w:t>drc_securitisation/sec_loader.py and sec_engine.py</w:t>
            </w:r>
          </w:p>
        </w:tc>
        <w:tc>
          <w:tcPr>
            <w:tcW w:w="4032" w:type="dxa"/>
            <w:shd w:val="clear" w:color="auto" w:fill="F2F2F2"/>
          </w:tcPr>
          <w:p w14:paraId="3EF54454" w14:textId="77777777" w:rsidR="007F2DE4" w:rsidRDefault="00000000">
            <w:pPr>
              <w:spacing w:before="40" w:after="40"/>
            </w:pPr>
            <w:r>
              <w:rPr>
                <w:color w:val="1A1A1A"/>
                <w:sz w:val="17"/>
              </w:rPr>
              <w:t>Loader computes M_T_position_years (real remaining maturity per position) and mat_scaling_factor = clip(M_T, 0.25, 1.0). step_9 in sec_engine.py multiplies MV_USD by mat_scaling_factor BEFORE summing across the tranche.</w:t>
            </w:r>
          </w:p>
        </w:tc>
      </w:tr>
      <w:tr w:rsidR="007F2DE4" w14:paraId="5DCCD294" w14:textId="77777777">
        <w:trPr>
          <w:jc w:val="center"/>
        </w:trPr>
        <w:tc>
          <w:tcPr>
            <w:tcW w:w="2952" w:type="dxa"/>
            <w:shd w:val="clear" w:color="auto" w:fill="FFFFFF"/>
          </w:tcPr>
          <w:p w14:paraId="76E132AF" w14:textId="77777777" w:rsidR="007F2DE4" w:rsidRDefault="00000000">
            <w:pPr>
              <w:spacing w:before="40" w:after="40"/>
            </w:pPr>
            <w:r>
              <w:rPr>
                <w:color w:val="1A1A1A"/>
                <w:sz w:val="17"/>
              </w:rPr>
              <w:t>MAR21 — CSR-Sec delta capital</w:t>
            </w:r>
          </w:p>
        </w:tc>
        <w:tc>
          <w:tcPr>
            <w:tcW w:w="2880" w:type="dxa"/>
            <w:shd w:val="clear" w:color="auto" w:fill="FFFFFF"/>
          </w:tcPr>
          <w:p w14:paraId="38626DBE" w14:textId="77777777" w:rsidR="007F2DE4" w:rsidRDefault="00000000">
            <w:pPr>
              <w:spacing w:before="40" w:after="40"/>
            </w:pPr>
            <w:r>
              <w:rPr>
                <w:color w:val="1A1A1A"/>
                <w:sz w:val="17"/>
              </w:rPr>
              <w:t>Capital pipeline (capital_main.py + weighted_sensitivities.py + intra_bucket.py + inter_bucket.py)</w:t>
            </w:r>
          </w:p>
        </w:tc>
        <w:tc>
          <w:tcPr>
            <w:tcW w:w="4032" w:type="dxa"/>
            <w:shd w:val="clear" w:color="auto" w:fill="FFFFFF"/>
          </w:tcPr>
          <w:p w14:paraId="3318E9C4" w14:textId="77777777" w:rsidR="007F2DE4" w:rsidRDefault="00000000">
            <w:pPr>
              <w:spacing w:before="40" w:after="40"/>
            </w:pPr>
            <w:r>
              <w:rPr>
                <w:color w:val="1A1A1A"/>
                <w:sz w:val="17"/>
              </w:rPr>
              <w:t>Consumes the per-position CSR-Sec CS01 at each FRTB tenor pillar from FRTB_Sensitivities.xlsx, applies the MAR21 bucket risk weights, aggregates intra- and inter-bucket.</w:t>
            </w:r>
          </w:p>
        </w:tc>
      </w:tr>
    </w:tbl>
    <w:p w14:paraId="15B75175" w14:textId="77777777" w:rsidR="007F2DE4" w:rsidRDefault="00000000">
      <w:pPr>
        <w:spacing w:before="60"/>
      </w:pPr>
      <w:r>
        <w:rPr>
          <w:b/>
          <w:color w:val="0E2C4B"/>
          <w:sz w:val="17"/>
        </w:rPr>
        <w:t xml:space="preserve">Exhibit 6.  </w:t>
      </w:r>
      <w:r>
        <w:rPr>
          <w:i/>
          <w:color w:val="555555"/>
          <w:sz w:val="17"/>
        </w:rPr>
        <w:t>Implementation map. The two DRC rules are in the DRC sub-tree; the CSR-Sec rule is in the SA capital pipeline. Two pipelines, one regulatory story.</w:t>
      </w:r>
    </w:p>
    <w:p w14:paraId="34BCB93D" w14:textId="77777777" w:rsidR="007F2DE4" w:rsidRDefault="00000000">
      <w:pPr>
        <w:keepNext/>
        <w:pBdr>
          <w:bottom w:val="single" w:sz="10" w:space="4" w:color="0E2C4B"/>
        </w:pBdr>
        <w:spacing w:before="400" w:after="140"/>
      </w:pPr>
      <w:r>
        <w:rPr>
          <w:b/>
          <w:color w:val="0E2C4B"/>
          <w:sz w:val="32"/>
        </w:rPr>
        <w:t>Appendix B — Symbolic Formula Walk-Throughs</w:t>
      </w:r>
    </w:p>
    <w:p w14:paraId="471B3ACB" w14:textId="77777777" w:rsidR="007F2DE4" w:rsidRDefault="00000000">
      <w:pPr>
        <w:spacing w:before="40" w:after="100" w:line="269" w:lineRule="auto"/>
      </w:pPr>
      <w:r>
        <w:rPr>
          <w:color w:val="1A1A1A"/>
          <w:sz w:val="21"/>
        </w:rPr>
        <w:t>Each block's M(T) behaviour reduces to a small set of formulas. Below, each step is written symbolically so the regulatory logic is visible without committing to specific portfolio numbers. Apply the formulas to any position using the bank's actual MV, ModDur, bucket RW and scaling-floor / cap constants to compute that position's capital.</w:t>
      </w:r>
    </w:p>
    <w:p w14:paraId="7AAB4B38" w14:textId="77777777" w:rsidR="007F2DE4" w:rsidRDefault="00000000">
      <w:pPr>
        <w:keepNext/>
        <w:spacing w:before="260" w:after="60"/>
      </w:pPr>
      <w:r>
        <w:rPr>
          <w:b/>
          <w:color w:val="355574"/>
          <w:sz w:val="24"/>
        </w:rPr>
        <w:t>B1  DRC sec — single position, post-wrapper-stack</w:t>
      </w:r>
    </w:p>
    <w:tbl>
      <w:tblPr>
        <w:tblStyle w:val="TableGrid"/>
        <w:tblW w:w="0" w:type="auto"/>
        <w:jc w:val="center"/>
        <w:tblLook w:val="04A0" w:firstRow="1" w:lastRow="0" w:firstColumn="1" w:lastColumn="0" w:noHBand="0" w:noVBand="1"/>
      </w:tblPr>
      <w:tblGrid>
        <w:gridCol w:w="3498"/>
        <w:gridCol w:w="3746"/>
        <w:gridCol w:w="2332"/>
      </w:tblGrid>
      <w:tr w:rsidR="007F2DE4" w14:paraId="2CCFC42B" w14:textId="77777777">
        <w:trPr>
          <w:jc w:val="center"/>
        </w:trPr>
        <w:tc>
          <w:tcPr>
            <w:tcW w:w="3744" w:type="dxa"/>
            <w:shd w:val="clear" w:color="auto" w:fill="0E2C4B"/>
          </w:tcPr>
          <w:p w14:paraId="18719C81" w14:textId="77777777" w:rsidR="007F2DE4" w:rsidRDefault="00000000">
            <w:pPr>
              <w:spacing w:before="40" w:after="40"/>
            </w:pPr>
            <w:r>
              <w:rPr>
                <w:b/>
                <w:color w:val="FFFFFF"/>
                <w:sz w:val="19"/>
              </w:rPr>
              <w:t>Symbol</w:t>
            </w:r>
          </w:p>
        </w:tc>
        <w:tc>
          <w:tcPr>
            <w:tcW w:w="4032" w:type="dxa"/>
            <w:shd w:val="clear" w:color="auto" w:fill="0E2C4B"/>
          </w:tcPr>
          <w:p w14:paraId="598DCFC3" w14:textId="77777777" w:rsidR="007F2DE4" w:rsidRDefault="00000000">
            <w:pPr>
              <w:spacing w:before="40" w:after="40"/>
            </w:pPr>
            <w:r>
              <w:rPr>
                <w:b/>
                <w:color w:val="FFFFFF"/>
                <w:sz w:val="19"/>
              </w:rPr>
              <w:t>Definition</w:t>
            </w:r>
          </w:p>
        </w:tc>
        <w:tc>
          <w:tcPr>
            <w:tcW w:w="2448" w:type="dxa"/>
            <w:shd w:val="clear" w:color="auto" w:fill="0E2C4B"/>
          </w:tcPr>
          <w:p w14:paraId="30684FF2" w14:textId="77777777" w:rsidR="007F2DE4" w:rsidRDefault="00000000">
            <w:pPr>
              <w:spacing w:before="40" w:after="40"/>
            </w:pPr>
            <w:r>
              <w:rPr>
                <w:b/>
                <w:color w:val="FFFFFF"/>
                <w:sz w:val="19"/>
              </w:rPr>
              <w:t>Source</w:t>
            </w:r>
          </w:p>
        </w:tc>
      </w:tr>
      <w:tr w:rsidR="007F2DE4" w14:paraId="0A0E0D47" w14:textId="77777777">
        <w:trPr>
          <w:jc w:val="center"/>
        </w:trPr>
        <w:tc>
          <w:tcPr>
            <w:tcW w:w="3744" w:type="dxa"/>
            <w:shd w:val="clear" w:color="auto" w:fill="F2F2F2"/>
          </w:tcPr>
          <w:p w14:paraId="39A56383" w14:textId="77777777" w:rsidR="007F2DE4" w:rsidRDefault="00000000">
            <w:pPr>
              <w:spacing w:before="40" w:after="40"/>
            </w:pPr>
            <w:r>
              <w:rPr>
                <w:color w:val="1A1A1A"/>
                <w:sz w:val="18"/>
              </w:rPr>
              <w:t>MV</w:t>
            </w:r>
          </w:p>
        </w:tc>
        <w:tc>
          <w:tcPr>
            <w:tcW w:w="4032" w:type="dxa"/>
            <w:shd w:val="clear" w:color="auto" w:fill="F2F2F2"/>
          </w:tcPr>
          <w:p w14:paraId="18E773C8" w14:textId="77777777" w:rsidR="007F2DE4" w:rsidRDefault="00000000">
            <w:pPr>
              <w:spacing w:before="40" w:after="40"/>
            </w:pPr>
            <w:r>
              <w:rPr>
                <w:color w:val="1A1A1A"/>
                <w:sz w:val="18"/>
              </w:rPr>
              <w:t>Signed model market value of the position (= JTD per MAR22.27)</w:t>
            </w:r>
          </w:p>
        </w:tc>
        <w:tc>
          <w:tcPr>
            <w:tcW w:w="2448" w:type="dxa"/>
            <w:shd w:val="clear" w:color="auto" w:fill="F2F2F2"/>
          </w:tcPr>
          <w:p w14:paraId="0251754F" w14:textId="77777777" w:rsidR="007F2DE4" w:rsidRDefault="00000000">
            <w:pPr>
              <w:spacing w:before="40" w:after="40"/>
            </w:pPr>
            <w:r>
              <w:rPr>
                <w:color w:val="1A1A1A"/>
                <w:sz w:val="18"/>
              </w:rPr>
              <w:t>Sheet 2 MV_USD</w:t>
            </w:r>
          </w:p>
        </w:tc>
      </w:tr>
      <w:tr w:rsidR="007F2DE4" w14:paraId="1AA93304" w14:textId="77777777">
        <w:trPr>
          <w:jc w:val="center"/>
        </w:trPr>
        <w:tc>
          <w:tcPr>
            <w:tcW w:w="3744" w:type="dxa"/>
            <w:shd w:val="clear" w:color="auto" w:fill="FFFFFF"/>
          </w:tcPr>
          <w:p w14:paraId="58200B66" w14:textId="77777777" w:rsidR="007F2DE4" w:rsidRDefault="00000000">
            <w:pPr>
              <w:spacing w:before="40" w:after="40"/>
            </w:pPr>
            <w:r>
              <w:rPr>
                <w:color w:val="1A1A1A"/>
                <w:sz w:val="18"/>
              </w:rPr>
              <w:t>M</w:t>
            </w:r>
          </w:p>
        </w:tc>
        <w:tc>
          <w:tcPr>
            <w:tcW w:w="4032" w:type="dxa"/>
            <w:shd w:val="clear" w:color="auto" w:fill="FFFFFF"/>
          </w:tcPr>
          <w:p w14:paraId="60623823" w14:textId="77777777" w:rsidR="007F2DE4" w:rsidRDefault="00000000">
            <w:pPr>
              <w:spacing w:before="40" w:after="40"/>
            </w:pPr>
            <w:r>
              <w:rPr>
                <w:color w:val="1A1A1A"/>
                <w:sz w:val="18"/>
              </w:rPr>
              <w:t>Remaining maturity of the position, in years</w:t>
            </w:r>
          </w:p>
        </w:tc>
        <w:tc>
          <w:tcPr>
            <w:tcW w:w="2448" w:type="dxa"/>
            <w:shd w:val="clear" w:color="auto" w:fill="FFFFFF"/>
          </w:tcPr>
          <w:p w14:paraId="33107D71" w14:textId="77777777" w:rsidR="007F2DE4" w:rsidRDefault="00000000">
            <w:pPr>
              <w:spacing w:before="40" w:after="40"/>
            </w:pPr>
            <w:r>
              <w:rPr>
                <w:color w:val="1A1A1A"/>
                <w:sz w:val="18"/>
              </w:rPr>
              <w:t>Portfolio Maturity − asof</w:t>
            </w:r>
          </w:p>
        </w:tc>
      </w:tr>
      <w:tr w:rsidR="007F2DE4" w14:paraId="6975645F" w14:textId="77777777">
        <w:trPr>
          <w:jc w:val="center"/>
        </w:trPr>
        <w:tc>
          <w:tcPr>
            <w:tcW w:w="3744" w:type="dxa"/>
            <w:shd w:val="clear" w:color="auto" w:fill="F2F2F2"/>
          </w:tcPr>
          <w:p w14:paraId="6816E78F" w14:textId="77777777" w:rsidR="007F2DE4" w:rsidRDefault="00000000">
            <w:pPr>
              <w:spacing w:before="40" w:after="40"/>
            </w:pPr>
            <w:r>
              <w:rPr>
                <w:color w:val="1A1A1A"/>
                <w:sz w:val="18"/>
              </w:rPr>
              <w:t>mat_scale = clip(M, 0.25, 1)</w:t>
            </w:r>
          </w:p>
        </w:tc>
        <w:tc>
          <w:tcPr>
            <w:tcW w:w="4032" w:type="dxa"/>
            <w:shd w:val="clear" w:color="auto" w:fill="F2F2F2"/>
          </w:tcPr>
          <w:p w14:paraId="51BE4140" w14:textId="77777777" w:rsidR="007F2DE4" w:rsidRDefault="00000000">
            <w:pPr>
              <w:spacing w:before="40" w:after="40"/>
            </w:pPr>
            <w:r>
              <w:rPr>
                <w:color w:val="1A1A1A"/>
                <w:sz w:val="18"/>
              </w:rPr>
              <w:t>Per-position JTD scaling factor</w:t>
            </w:r>
          </w:p>
        </w:tc>
        <w:tc>
          <w:tcPr>
            <w:tcW w:w="2448" w:type="dxa"/>
            <w:shd w:val="clear" w:color="auto" w:fill="F2F2F2"/>
          </w:tcPr>
          <w:p w14:paraId="0ADA0819" w14:textId="77777777" w:rsidR="007F2DE4" w:rsidRDefault="00000000">
            <w:pPr>
              <w:spacing w:before="40" w:after="40"/>
            </w:pPr>
            <w:r>
              <w:rPr>
                <w:color w:val="1A1A1A"/>
                <w:sz w:val="18"/>
              </w:rPr>
              <w:t>MAR22.30 importing MAR22.15-18</w:t>
            </w:r>
          </w:p>
        </w:tc>
      </w:tr>
      <w:tr w:rsidR="007F2DE4" w14:paraId="5640FBC8" w14:textId="77777777">
        <w:trPr>
          <w:jc w:val="center"/>
        </w:trPr>
        <w:tc>
          <w:tcPr>
            <w:tcW w:w="3744" w:type="dxa"/>
            <w:shd w:val="clear" w:color="auto" w:fill="FFFFFF"/>
          </w:tcPr>
          <w:p w14:paraId="579880AE" w14:textId="77777777" w:rsidR="007F2DE4" w:rsidRDefault="00000000">
            <w:pPr>
              <w:spacing w:before="40" w:after="40"/>
            </w:pPr>
            <w:r>
              <w:rPr>
                <w:color w:val="1A1A1A"/>
                <w:sz w:val="18"/>
              </w:rPr>
              <w:t>scaled_JTD = MV × mat_scale</w:t>
            </w:r>
          </w:p>
        </w:tc>
        <w:tc>
          <w:tcPr>
            <w:tcW w:w="4032" w:type="dxa"/>
            <w:shd w:val="clear" w:color="auto" w:fill="FFFFFF"/>
          </w:tcPr>
          <w:p w14:paraId="108D69D5" w14:textId="77777777" w:rsidR="007F2DE4" w:rsidRDefault="00000000">
            <w:pPr>
              <w:spacing w:before="40" w:after="40"/>
            </w:pPr>
            <w:r>
              <w:rPr>
                <w:color w:val="1A1A1A"/>
                <w:sz w:val="18"/>
              </w:rPr>
              <w:t>Gross JTD after MAR22.30 scaling, signed</w:t>
            </w:r>
          </w:p>
        </w:tc>
        <w:tc>
          <w:tcPr>
            <w:tcW w:w="2448" w:type="dxa"/>
            <w:shd w:val="clear" w:color="auto" w:fill="FFFFFF"/>
          </w:tcPr>
          <w:p w14:paraId="1C21C2F5" w14:textId="77777777" w:rsidR="007F2DE4" w:rsidRDefault="007F2DE4">
            <w:pPr>
              <w:spacing w:before="40" w:after="40"/>
            </w:pPr>
          </w:p>
        </w:tc>
      </w:tr>
      <w:tr w:rsidR="007F2DE4" w14:paraId="0981F7E1" w14:textId="77777777">
        <w:trPr>
          <w:jc w:val="center"/>
        </w:trPr>
        <w:tc>
          <w:tcPr>
            <w:tcW w:w="3744" w:type="dxa"/>
            <w:shd w:val="clear" w:color="auto" w:fill="F2F2F2"/>
          </w:tcPr>
          <w:p w14:paraId="16080C23" w14:textId="77777777" w:rsidR="007F2DE4" w:rsidRDefault="00000000">
            <w:pPr>
              <w:spacing w:before="40" w:after="40"/>
            </w:pPr>
            <w:r>
              <w:rPr>
                <w:color w:val="1A1A1A"/>
                <w:sz w:val="18"/>
              </w:rPr>
              <w:t>RW = RW_table_1Y (post standard floor)</w:t>
            </w:r>
          </w:p>
        </w:tc>
        <w:tc>
          <w:tcPr>
            <w:tcW w:w="4032" w:type="dxa"/>
            <w:shd w:val="clear" w:color="auto" w:fill="F2F2F2"/>
          </w:tcPr>
          <w:p w14:paraId="4DC66472" w14:textId="77777777" w:rsidR="007F2DE4" w:rsidRDefault="00000000">
            <w:pPr>
              <w:spacing w:before="40" w:after="40"/>
            </w:pPr>
            <w:r>
              <w:rPr>
                <w:color w:val="1A1A1A"/>
                <w:sz w:val="18"/>
              </w:rPr>
              <w:t>Risk weight read from CRE42 / 44 with the M(T) input pinned to 1Y</w:t>
            </w:r>
          </w:p>
        </w:tc>
        <w:tc>
          <w:tcPr>
            <w:tcW w:w="2448" w:type="dxa"/>
            <w:shd w:val="clear" w:color="auto" w:fill="F2F2F2"/>
          </w:tcPr>
          <w:p w14:paraId="4F083910" w14:textId="77777777" w:rsidR="007F2DE4" w:rsidRDefault="00000000">
            <w:pPr>
              <w:spacing w:before="40" w:after="40"/>
            </w:pPr>
            <w:r>
              <w:rPr>
                <w:color w:val="1A1A1A"/>
                <w:sz w:val="18"/>
              </w:rPr>
              <w:t>MAR22.34(1) overlay + CRE41.15 / 42.7 / 44.26 floor</w:t>
            </w:r>
          </w:p>
        </w:tc>
      </w:tr>
      <w:tr w:rsidR="007F2DE4" w14:paraId="5A4068E7" w14:textId="77777777">
        <w:trPr>
          <w:jc w:val="center"/>
        </w:trPr>
        <w:tc>
          <w:tcPr>
            <w:tcW w:w="3744" w:type="dxa"/>
            <w:shd w:val="clear" w:color="auto" w:fill="FFFFFF"/>
          </w:tcPr>
          <w:p w14:paraId="5A0F16C7" w14:textId="77777777" w:rsidR="007F2DE4" w:rsidRDefault="00000000">
            <w:pPr>
              <w:spacing w:before="40" w:after="40"/>
            </w:pPr>
            <w:r>
              <w:rPr>
                <w:color w:val="1A1A1A"/>
                <w:sz w:val="18"/>
              </w:rPr>
              <w:t>DRC_capital = RW × 0.08 × |scaled_JTD|</w:t>
            </w:r>
          </w:p>
        </w:tc>
        <w:tc>
          <w:tcPr>
            <w:tcW w:w="4032" w:type="dxa"/>
            <w:shd w:val="clear" w:color="auto" w:fill="FFFFFF"/>
          </w:tcPr>
          <w:p w14:paraId="0FE9B84C" w14:textId="77777777" w:rsidR="007F2DE4" w:rsidRDefault="00000000">
            <w:pPr>
              <w:spacing w:before="40" w:after="40"/>
            </w:pPr>
            <w:r>
              <w:rPr>
                <w:color w:val="1A1A1A"/>
                <w:sz w:val="18"/>
              </w:rPr>
              <w:t>Per-position default-risk capital</w:t>
            </w:r>
          </w:p>
        </w:tc>
        <w:tc>
          <w:tcPr>
            <w:tcW w:w="2448" w:type="dxa"/>
            <w:shd w:val="clear" w:color="auto" w:fill="FFFFFF"/>
          </w:tcPr>
          <w:p w14:paraId="144FF395" w14:textId="77777777" w:rsidR="007F2DE4" w:rsidRDefault="00000000">
            <w:pPr>
              <w:spacing w:before="40" w:after="40"/>
            </w:pPr>
            <w:r>
              <w:rPr>
                <w:color w:val="1A1A1A"/>
                <w:sz w:val="18"/>
              </w:rPr>
              <w:t>MAR22.33</w:t>
            </w:r>
          </w:p>
        </w:tc>
      </w:tr>
    </w:tbl>
    <w:p w14:paraId="74055496" w14:textId="77777777" w:rsidR="007F2DE4" w:rsidRDefault="00000000">
      <w:pPr>
        <w:spacing w:before="60"/>
      </w:pPr>
      <w:r>
        <w:rPr>
          <w:b/>
          <w:color w:val="0E2C4B"/>
          <w:sz w:val="17"/>
        </w:rPr>
        <w:t xml:space="preserve">Exhibit 7.  </w:t>
      </w:r>
      <w:r>
        <w:rPr>
          <w:i/>
          <w:color w:val="555555"/>
          <w:sz w:val="17"/>
        </w:rPr>
        <w:t>The DRC chain. M appears only inside mat_scale (capped at 1.0); the RW formula sees a fixed 1Y maturity input regardless of M. So the M-sensitivity of DRC capital is entirely the MAR22.30 / 22.15-18 scaling factor.</w:t>
      </w:r>
    </w:p>
    <w:p w14:paraId="0B8AE333" w14:textId="77777777" w:rsidR="007F2DE4" w:rsidRDefault="00000000">
      <w:pPr>
        <w:keepNext/>
        <w:spacing w:before="260" w:after="60"/>
      </w:pPr>
      <w:r>
        <w:rPr>
          <w:b/>
          <w:color w:val="355574"/>
          <w:sz w:val="24"/>
        </w:rPr>
        <w:lastRenderedPageBreak/>
        <w:t>B2  CSR-Sec delta — single position, single pillar</w:t>
      </w:r>
    </w:p>
    <w:tbl>
      <w:tblPr>
        <w:tblStyle w:val="TableGrid"/>
        <w:tblW w:w="0" w:type="auto"/>
        <w:jc w:val="center"/>
        <w:tblLook w:val="04A0" w:firstRow="1" w:lastRow="0" w:firstColumn="1" w:lastColumn="0" w:noHBand="0" w:noVBand="1"/>
      </w:tblPr>
      <w:tblGrid>
        <w:gridCol w:w="3544"/>
        <w:gridCol w:w="3737"/>
        <w:gridCol w:w="2295"/>
      </w:tblGrid>
      <w:tr w:rsidR="007F2DE4" w14:paraId="57F31BAC" w14:textId="77777777">
        <w:trPr>
          <w:jc w:val="center"/>
        </w:trPr>
        <w:tc>
          <w:tcPr>
            <w:tcW w:w="3744" w:type="dxa"/>
            <w:shd w:val="clear" w:color="auto" w:fill="0E2C4B"/>
          </w:tcPr>
          <w:p w14:paraId="6A3AD3CC" w14:textId="77777777" w:rsidR="007F2DE4" w:rsidRDefault="00000000">
            <w:pPr>
              <w:spacing w:before="40" w:after="40"/>
            </w:pPr>
            <w:r>
              <w:rPr>
                <w:b/>
                <w:color w:val="FFFFFF"/>
                <w:sz w:val="19"/>
              </w:rPr>
              <w:t>Symbol</w:t>
            </w:r>
          </w:p>
        </w:tc>
        <w:tc>
          <w:tcPr>
            <w:tcW w:w="4032" w:type="dxa"/>
            <w:shd w:val="clear" w:color="auto" w:fill="0E2C4B"/>
          </w:tcPr>
          <w:p w14:paraId="6DDC22C1" w14:textId="77777777" w:rsidR="007F2DE4" w:rsidRDefault="00000000">
            <w:pPr>
              <w:spacing w:before="40" w:after="40"/>
            </w:pPr>
            <w:r>
              <w:rPr>
                <w:b/>
                <w:color w:val="FFFFFF"/>
                <w:sz w:val="19"/>
              </w:rPr>
              <w:t>Definition</w:t>
            </w:r>
          </w:p>
        </w:tc>
        <w:tc>
          <w:tcPr>
            <w:tcW w:w="2448" w:type="dxa"/>
            <w:shd w:val="clear" w:color="auto" w:fill="0E2C4B"/>
          </w:tcPr>
          <w:p w14:paraId="312E4AAA" w14:textId="77777777" w:rsidR="007F2DE4" w:rsidRDefault="00000000">
            <w:pPr>
              <w:spacing w:before="40" w:after="40"/>
            </w:pPr>
            <w:r>
              <w:rPr>
                <w:b/>
                <w:color w:val="FFFFFF"/>
                <w:sz w:val="19"/>
              </w:rPr>
              <w:t>Source</w:t>
            </w:r>
          </w:p>
        </w:tc>
      </w:tr>
      <w:tr w:rsidR="007F2DE4" w14:paraId="2AB089F0" w14:textId="77777777">
        <w:trPr>
          <w:jc w:val="center"/>
        </w:trPr>
        <w:tc>
          <w:tcPr>
            <w:tcW w:w="3744" w:type="dxa"/>
            <w:shd w:val="clear" w:color="auto" w:fill="F2F2F2"/>
          </w:tcPr>
          <w:p w14:paraId="24796D01" w14:textId="77777777" w:rsidR="007F2DE4" w:rsidRDefault="00000000">
            <w:pPr>
              <w:spacing w:before="40" w:after="40"/>
            </w:pPr>
            <w:r>
              <w:rPr>
                <w:color w:val="1A1A1A"/>
                <w:sz w:val="18"/>
              </w:rPr>
              <w:t>ModDur</w:t>
            </w:r>
          </w:p>
        </w:tc>
        <w:tc>
          <w:tcPr>
            <w:tcW w:w="4032" w:type="dxa"/>
            <w:shd w:val="clear" w:color="auto" w:fill="F2F2F2"/>
          </w:tcPr>
          <w:p w14:paraId="615778D5" w14:textId="77777777" w:rsidR="007F2DE4" w:rsidRDefault="00000000">
            <w:pPr>
              <w:spacing w:before="40" w:after="40"/>
            </w:pPr>
            <w:r>
              <w:rPr>
                <w:color w:val="1A1A1A"/>
                <w:sz w:val="18"/>
              </w:rPr>
              <w:t>Modified duration of the position (≈ M for a bullet tranche; smaller for amortising tranches)</w:t>
            </w:r>
          </w:p>
        </w:tc>
        <w:tc>
          <w:tcPr>
            <w:tcW w:w="2448" w:type="dxa"/>
            <w:shd w:val="clear" w:color="auto" w:fill="F2F2F2"/>
          </w:tcPr>
          <w:p w14:paraId="73C3696E" w14:textId="77777777" w:rsidR="007F2DE4" w:rsidRDefault="00000000">
            <w:pPr>
              <w:spacing w:before="40" w:after="40"/>
            </w:pPr>
            <w:r>
              <w:rPr>
                <w:color w:val="1A1A1A"/>
                <w:sz w:val="18"/>
              </w:rPr>
              <w:t>Engine bump-and-reprice</w:t>
            </w:r>
          </w:p>
        </w:tc>
      </w:tr>
      <w:tr w:rsidR="007F2DE4" w14:paraId="32274BCD" w14:textId="77777777">
        <w:trPr>
          <w:jc w:val="center"/>
        </w:trPr>
        <w:tc>
          <w:tcPr>
            <w:tcW w:w="3744" w:type="dxa"/>
            <w:shd w:val="clear" w:color="auto" w:fill="FFFFFF"/>
          </w:tcPr>
          <w:p w14:paraId="51A88218" w14:textId="77777777" w:rsidR="007F2DE4" w:rsidRDefault="00000000">
            <w:pPr>
              <w:spacing w:before="40" w:after="40"/>
            </w:pPr>
            <w:r>
              <w:rPr>
                <w:color w:val="1A1A1A"/>
                <w:sz w:val="18"/>
              </w:rPr>
              <w:t>CS01 = MV × ModDur × 0.0001</w:t>
            </w:r>
          </w:p>
        </w:tc>
        <w:tc>
          <w:tcPr>
            <w:tcW w:w="4032" w:type="dxa"/>
            <w:shd w:val="clear" w:color="auto" w:fill="FFFFFF"/>
          </w:tcPr>
          <w:p w14:paraId="4893BE9E" w14:textId="77777777" w:rsidR="007F2DE4" w:rsidRDefault="00000000">
            <w:pPr>
              <w:spacing w:before="40" w:after="40"/>
            </w:pPr>
            <w:r>
              <w:rPr>
                <w:color w:val="1A1A1A"/>
                <w:sz w:val="18"/>
              </w:rPr>
              <w:t>Sensitivity to a 1bp parallel shift in credit spread, at the FRTB tenor pillar where the position's PV concentration sits</w:t>
            </w:r>
          </w:p>
        </w:tc>
        <w:tc>
          <w:tcPr>
            <w:tcW w:w="2448" w:type="dxa"/>
            <w:shd w:val="clear" w:color="auto" w:fill="FFFFFF"/>
          </w:tcPr>
          <w:p w14:paraId="67047C74" w14:textId="77777777" w:rsidR="007F2DE4" w:rsidRDefault="00000000">
            <w:pPr>
              <w:spacing w:before="40" w:after="40"/>
            </w:pPr>
            <w:r>
              <w:rPr>
                <w:color w:val="1A1A1A"/>
                <w:sz w:val="18"/>
              </w:rPr>
              <w:t>MAR21.20 / engine</w:t>
            </w:r>
          </w:p>
        </w:tc>
      </w:tr>
      <w:tr w:rsidR="007F2DE4" w14:paraId="3746F76F" w14:textId="77777777">
        <w:trPr>
          <w:jc w:val="center"/>
        </w:trPr>
        <w:tc>
          <w:tcPr>
            <w:tcW w:w="3744" w:type="dxa"/>
            <w:shd w:val="clear" w:color="auto" w:fill="F2F2F2"/>
          </w:tcPr>
          <w:p w14:paraId="2893D343" w14:textId="77777777" w:rsidR="007F2DE4" w:rsidRDefault="00000000">
            <w:pPr>
              <w:spacing w:before="40" w:after="40"/>
            </w:pPr>
            <w:r>
              <w:rPr>
                <w:color w:val="1A1A1A"/>
                <w:sz w:val="18"/>
              </w:rPr>
              <w:t>RW = RW_bucket_per_pillar</w:t>
            </w:r>
          </w:p>
        </w:tc>
        <w:tc>
          <w:tcPr>
            <w:tcW w:w="4032" w:type="dxa"/>
            <w:shd w:val="clear" w:color="auto" w:fill="F2F2F2"/>
          </w:tcPr>
          <w:p w14:paraId="4A1C785F" w14:textId="77777777" w:rsidR="007F2DE4" w:rsidRDefault="00000000">
            <w:pPr>
              <w:spacing w:before="40" w:after="40"/>
            </w:pPr>
            <w:r>
              <w:rPr>
                <w:color w:val="1A1A1A"/>
                <w:sz w:val="18"/>
              </w:rPr>
              <w:t>MAR21 CSR-Sec Non-CTP bucket risk weight, calibrated on historical 1Y-horizon spread moves (including migration jumps)</w:t>
            </w:r>
          </w:p>
        </w:tc>
        <w:tc>
          <w:tcPr>
            <w:tcW w:w="2448" w:type="dxa"/>
            <w:shd w:val="clear" w:color="auto" w:fill="F2F2F2"/>
          </w:tcPr>
          <w:p w14:paraId="4142B5D8" w14:textId="77777777" w:rsidR="007F2DE4" w:rsidRDefault="00000000">
            <w:pPr>
              <w:spacing w:before="40" w:after="40"/>
            </w:pPr>
            <w:r>
              <w:rPr>
                <w:color w:val="1A1A1A"/>
                <w:sz w:val="18"/>
              </w:rPr>
              <w:t>MAR21.61 (or local equivalent table)</w:t>
            </w:r>
          </w:p>
        </w:tc>
      </w:tr>
      <w:tr w:rsidR="007F2DE4" w14:paraId="633F98F8" w14:textId="77777777">
        <w:trPr>
          <w:jc w:val="center"/>
        </w:trPr>
        <w:tc>
          <w:tcPr>
            <w:tcW w:w="3744" w:type="dxa"/>
            <w:shd w:val="clear" w:color="auto" w:fill="FFFFFF"/>
          </w:tcPr>
          <w:p w14:paraId="388F409B" w14:textId="77777777" w:rsidR="007F2DE4" w:rsidRDefault="00000000">
            <w:pPr>
              <w:spacing w:before="40" w:after="40"/>
            </w:pPr>
            <w:r>
              <w:rPr>
                <w:color w:val="1A1A1A"/>
                <w:sz w:val="18"/>
              </w:rPr>
              <w:t>WS = RW × CS01</w:t>
            </w:r>
          </w:p>
        </w:tc>
        <w:tc>
          <w:tcPr>
            <w:tcW w:w="4032" w:type="dxa"/>
            <w:shd w:val="clear" w:color="auto" w:fill="FFFFFF"/>
          </w:tcPr>
          <w:p w14:paraId="6AAE47A2" w14:textId="77777777" w:rsidR="007F2DE4" w:rsidRDefault="00000000">
            <w:pPr>
              <w:spacing w:before="40" w:after="40"/>
            </w:pPr>
            <w:r>
              <w:rPr>
                <w:color w:val="1A1A1A"/>
                <w:sz w:val="18"/>
              </w:rPr>
              <w:t>Weighted sensitivity at the pillar</w:t>
            </w:r>
          </w:p>
        </w:tc>
        <w:tc>
          <w:tcPr>
            <w:tcW w:w="2448" w:type="dxa"/>
            <w:shd w:val="clear" w:color="auto" w:fill="FFFFFF"/>
          </w:tcPr>
          <w:p w14:paraId="3AFEFD13" w14:textId="77777777" w:rsidR="007F2DE4" w:rsidRDefault="00000000">
            <w:pPr>
              <w:spacing w:before="40" w:after="40"/>
            </w:pPr>
            <w:r>
              <w:rPr>
                <w:color w:val="1A1A1A"/>
                <w:sz w:val="18"/>
              </w:rPr>
              <w:t>MAR21 SBM formula</w:t>
            </w:r>
          </w:p>
        </w:tc>
      </w:tr>
      <w:tr w:rsidR="007F2DE4" w14:paraId="706CC629" w14:textId="77777777">
        <w:trPr>
          <w:jc w:val="center"/>
        </w:trPr>
        <w:tc>
          <w:tcPr>
            <w:tcW w:w="3744" w:type="dxa"/>
            <w:shd w:val="clear" w:color="auto" w:fill="F2F2F2"/>
          </w:tcPr>
          <w:p w14:paraId="19DC3E7C" w14:textId="77777777" w:rsidR="007F2DE4" w:rsidRDefault="00000000">
            <w:pPr>
              <w:spacing w:before="40" w:after="40"/>
            </w:pPr>
            <w:r>
              <w:rPr>
                <w:color w:val="1A1A1A"/>
                <w:sz w:val="18"/>
              </w:rPr>
              <w:t>K_b = sqrt(Σ WS² + ΣΣ ρ × WS_k × WS_l)  over pillars in bucket</w:t>
            </w:r>
          </w:p>
        </w:tc>
        <w:tc>
          <w:tcPr>
            <w:tcW w:w="4032" w:type="dxa"/>
            <w:shd w:val="clear" w:color="auto" w:fill="F2F2F2"/>
          </w:tcPr>
          <w:p w14:paraId="3155CD1A" w14:textId="77777777" w:rsidR="007F2DE4" w:rsidRDefault="00000000">
            <w:pPr>
              <w:spacing w:before="40" w:after="40"/>
            </w:pPr>
            <w:r>
              <w:rPr>
                <w:color w:val="1A1A1A"/>
                <w:sz w:val="18"/>
              </w:rPr>
              <w:t>Bucket-level capital, intra-bucket aggregation</w:t>
            </w:r>
          </w:p>
        </w:tc>
        <w:tc>
          <w:tcPr>
            <w:tcW w:w="2448" w:type="dxa"/>
            <w:shd w:val="clear" w:color="auto" w:fill="F2F2F2"/>
          </w:tcPr>
          <w:p w14:paraId="43AA1ECF" w14:textId="77777777" w:rsidR="007F2DE4" w:rsidRDefault="00000000">
            <w:pPr>
              <w:spacing w:before="40" w:after="40"/>
            </w:pPr>
            <w:r>
              <w:rPr>
                <w:color w:val="1A1A1A"/>
                <w:sz w:val="18"/>
              </w:rPr>
              <w:t>MAR21 SBM intra-bucket formula</w:t>
            </w:r>
          </w:p>
        </w:tc>
      </w:tr>
      <w:tr w:rsidR="007F2DE4" w14:paraId="145B3A4A" w14:textId="77777777">
        <w:trPr>
          <w:jc w:val="center"/>
        </w:trPr>
        <w:tc>
          <w:tcPr>
            <w:tcW w:w="3744" w:type="dxa"/>
            <w:shd w:val="clear" w:color="auto" w:fill="FFFFFF"/>
          </w:tcPr>
          <w:p w14:paraId="17FB005E" w14:textId="77777777" w:rsidR="007F2DE4" w:rsidRDefault="00000000">
            <w:pPr>
              <w:spacing w:before="40" w:after="40"/>
            </w:pPr>
            <w:r>
              <w:rPr>
                <w:color w:val="1A1A1A"/>
                <w:sz w:val="18"/>
              </w:rPr>
              <w:t>CSR-Sec block = sqrt(Σ K_b² + ΣΣ γ × Sb_k × Sb_l)  over buckets</w:t>
            </w:r>
          </w:p>
        </w:tc>
        <w:tc>
          <w:tcPr>
            <w:tcW w:w="4032" w:type="dxa"/>
            <w:shd w:val="clear" w:color="auto" w:fill="FFFFFF"/>
          </w:tcPr>
          <w:p w14:paraId="1349D82A" w14:textId="77777777" w:rsidR="007F2DE4" w:rsidRDefault="00000000">
            <w:pPr>
              <w:spacing w:before="40" w:after="40"/>
            </w:pPr>
            <w:r>
              <w:rPr>
                <w:color w:val="1A1A1A"/>
                <w:sz w:val="18"/>
              </w:rPr>
              <w:t>Inter-bucket aggregation; the headline CSR-Sec charge</w:t>
            </w:r>
          </w:p>
        </w:tc>
        <w:tc>
          <w:tcPr>
            <w:tcW w:w="2448" w:type="dxa"/>
            <w:shd w:val="clear" w:color="auto" w:fill="FFFFFF"/>
          </w:tcPr>
          <w:p w14:paraId="12F677B6" w14:textId="77777777" w:rsidR="007F2DE4" w:rsidRDefault="00000000">
            <w:pPr>
              <w:spacing w:before="40" w:after="40"/>
            </w:pPr>
            <w:r>
              <w:rPr>
                <w:color w:val="1A1A1A"/>
                <w:sz w:val="18"/>
              </w:rPr>
              <w:t>MAR21 SBM inter-bucket formula</w:t>
            </w:r>
          </w:p>
        </w:tc>
      </w:tr>
    </w:tbl>
    <w:p w14:paraId="0AD7F311" w14:textId="77777777" w:rsidR="007F2DE4" w:rsidRDefault="00000000">
      <w:pPr>
        <w:spacing w:before="60"/>
      </w:pPr>
      <w:r>
        <w:rPr>
          <w:b/>
          <w:color w:val="0E2C4B"/>
          <w:sz w:val="17"/>
        </w:rPr>
        <w:t xml:space="preserve">Exhibit 8.  </w:t>
      </w:r>
      <w:r>
        <w:rPr>
          <w:i/>
          <w:color w:val="555555"/>
          <w:sz w:val="17"/>
        </w:rPr>
        <w:t>The CSR-Sec delta chain. M enters via ModDur in CS01 and so scales the per-pillar WS roughly linearly with M. Aggregation is the SBM L2 sum with correlations; it does not undo the linear M dependence — longer-tenor positions carry more CSR-Sec capital, all else equal.</w:t>
      </w:r>
    </w:p>
    <w:p w14:paraId="19947FE9" w14:textId="77777777" w:rsidR="007F2DE4" w:rsidRDefault="00000000">
      <w:pPr>
        <w:keepNext/>
        <w:spacing w:before="260" w:after="60"/>
      </w:pPr>
      <w:r>
        <w:rPr>
          <w:b/>
          <w:color w:val="355574"/>
          <w:sz w:val="24"/>
        </w:rPr>
        <w:t>B3  Where M(T) shows up — comparative</w:t>
      </w:r>
    </w:p>
    <w:tbl>
      <w:tblPr>
        <w:tblStyle w:val="TableGrid"/>
        <w:tblW w:w="0" w:type="auto"/>
        <w:jc w:val="center"/>
        <w:tblLook w:val="04A0" w:firstRow="1" w:lastRow="0" w:firstColumn="1" w:lastColumn="0" w:noHBand="0" w:noVBand="1"/>
      </w:tblPr>
      <w:tblGrid>
        <w:gridCol w:w="2709"/>
        <w:gridCol w:w="4565"/>
        <w:gridCol w:w="2302"/>
      </w:tblGrid>
      <w:tr w:rsidR="007F2DE4" w14:paraId="409A96B3" w14:textId="77777777">
        <w:trPr>
          <w:jc w:val="center"/>
        </w:trPr>
        <w:tc>
          <w:tcPr>
            <w:tcW w:w="2880" w:type="dxa"/>
            <w:shd w:val="clear" w:color="auto" w:fill="0E2C4B"/>
          </w:tcPr>
          <w:p w14:paraId="70FBD1FA" w14:textId="77777777" w:rsidR="007F2DE4" w:rsidRDefault="00000000">
            <w:pPr>
              <w:spacing w:before="40" w:after="40"/>
            </w:pPr>
            <w:r>
              <w:rPr>
                <w:b/>
                <w:color w:val="FFFFFF"/>
                <w:sz w:val="19"/>
              </w:rPr>
              <w:t>Quantity</w:t>
            </w:r>
          </w:p>
        </w:tc>
        <w:tc>
          <w:tcPr>
            <w:tcW w:w="4896" w:type="dxa"/>
            <w:shd w:val="clear" w:color="auto" w:fill="0E2C4B"/>
          </w:tcPr>
          <w:p w14:paraId="07B356D7" w14:textId="77777777" w:rsidR="007F2DE4" w:rsidRDefault="00000000">
            <w:pPr>
              <w:spacing w:before="40" w:after="40"/>
            </w:pPr>
            <w:r>
              <w:rPr>
                <w:b/>
                <w:color w:val="FFFFFF"/>
                <w:sz w:val="19"/>
              </w:rPr>
              <w:t>M(T) dependence</w:t>
            </w:r>
          </w:p>
        </w:tc>
        <w:tc>
          <w:tcPr>
            <w:tcW w:w="2448" w:type="dxa"/>
            <w:shd w:val="clear" w:color="auto" w:fill="0E2C4B"/>
          </w:tcPr>
          <w:p w14:paraId="061722B1" w14:textId="77777777" w:rsidR="007F2DE4" w:rsidRDefault="00000000">
            <w:pPr>
              <w:spacing w:before="40" w:after="40"/>
            </w:pPr>
            <w:r>
              <w:rPr>
                <w:b/>
                <w:color w:val="FFFFFF"/>
                <w:sz w:val="19"/>
              </w:rPr>
              <w:t>Cap / plateau</w:t>
            </w:r>
          </w:p>
        </w:tc>
      </w:tr>
      <w:tr w:rsidR="007F2DE4" w14:paraId="16DCD48E" w14:textId="77777777">
        <w:trPr>
          <w:jc w:val="center"/>
        </w:trPr>
        <w:tc>
          <w:tcPr>
            <w:tcW w:w="2880" w:type="dxa"/>
            <w:shd w:val="clear" w:color="auto" w:fill="F2F2F2"/>
          </w:tcPr>
          <w:p w14:paraId="059425ED" w14:textId="77777777" w:rsidR="007F2DE4" w:rsidRDefault="00000000">
            <w:pPr>
              <w:spacing w:before="40" w:after="40"/>
            </w:pPr>
            <w:r>
              <w:rPr>
                <w:color w:val="1A1A1A"/>
                <w:sz w:val="18"/>
              </w:rPr>
              <w:t>DRC RW</w:t>
            </w:r>
          </w:p>
        </w:tc>
        <w:tc>
          <w:tcPr>
            <w:tcW w:w="4896" w:type="dxa"/>
            <w:shd w:val="clear" w:color="auto" w:fill="F2F2F2"/>
          </w:tcPr>
          <w:p w14:paraId="1F7FA0DC" w14:textId="77777777" w:rsidR="007F2DE4" w:rsidRDefault="00000000">
            <w:pPr>
              <w:spacing w:before="40" w:after="40"/>
            </w:pPr>
            <w:r>
              <w:rPr>
                <w:color w:val="1A1A1A"/>
                <w:sz w:val="18"/>
              </w:rPr>
              <w:t>None (pinned to 1Y by MAR22.34(1))</w:t>
            </w:r>
          </w:p>
        </w:tc>
        <w:tc>
          <w:tcPr>
            <w:tcW w:w="2448" w:type="dxa"/>
            <w:shd w:val="clear" w:color="auto" w:fill="F2F2F2"/>
          </w:tcPr>
          <w:p w14:paraId="7E4ACE64" w14:textId="77777777" w:rsidR="007F2DE4" w:rsidRDefault="00000000">
            <w:pPr>
              <w:spacing w:before="40" w:after="40"/>
            </w:pPr>
            <w:r>
              <w:rPr>
                <w:color w:val="1A1A1A"/>
                <w:sz w:val="18"/>
              </w:rPr>
              <w:t>—</w:t>
            </w:r>
          </w:p>
        </w:tc>
      </w:tr>
      <w:tr w:rsidR="007F2DE4" w14:paraId="31E03F19" w14:textId="77777777">
        <w:trPr>
          <w:jc w:val="center"/>
        </w:trPr>
        <w:tc>
          <w:tcPr>
            <w:tcW w:w="2880" w:type="dxa"/>
            <w:shd w:val="clear" w:color="auto" w:fill="FFFFFF"/>
          </w:tcPr>
          <w:p w14:paraId="30D319BD" w14:textId="77777777" w:rsidR="007F2DE4" w:rsidRDefault="00000000">
            <w:pPr>
              <w:spacing w:before="40" w:after="40"/>
            </w:pPr>
            <w:r>
              <w:rPr>
                <w:color w:val="1A1A1A"/>
                <w:sz w:val="18"/>
              </w:rPr>
              <w:t>DRC scaling factor</w:t>
            </w:r>
          </w:p>
        </w:tc>
        <w:tc>
          <w:tcPr>
            <w:tcW w:w="4896" w:type="dxa"/>
            <w:shd w:val="clear" w:color="auto" w:fill="FFFFFF"/>
          </w:tcPr>
          <w:p w14:paraId="2D8F2C72" w14:textId="77777777" w:rsidR="007F2DE4" w:rsidRDefault="00000000">
            <w:pPr>
              <w:spacing w:before="40" w:after="40"/>
            </w:pPr>
            <w:r>
              <w:rPr>
                <w:color w:val="1A1A1A"/>
                <w:sz w:val="18"/>
              </w:rPr>
              <w:t>linear for 0.25 ≤ M &lt; 1</w:t>
            </w:r>
          </w:p>
        </w:tc>
        <w:tc>
          <w:tcPr>
            <w:tcW w:w="2448" w:type="dxa"/>
            <w:shd w:val="clear" w:color="auto" w:fill="FFFFFF"/>
          </w:tcPr>
          <w:p w14:paraId="68A8E183" w14:textId="77777777" w:rsidR="007F2DE4" w:rsidRDefault="00000000">
            <w:pPr>
              <w:spacing w:before="40" w:after="40"/>
            </w:pPr>
            <w:r>
              <w:rPr>
                <w:color w:val="1A1A1A"/>
                <w:sz w:val="18"/>
              </w:rPr>
              <w:t>Floored at 0.25; capped at 1.0 from M=1Y onward</w:t>
            </w:r>
          </w:p>
        </w:tc>
      </w:tr>
      <w:tr w:rsidR="007F2DE4" w14:paraId="71C19958" w14:textId="77777777">
        <w:trPr>
          <w:jc w:val="center"/>
        </w:trPr>
        <w:tc>
          <w:tcPr>
            <w:tcW w:w="2880" w:type="dxa"/>
            <w:shd w:val="clear" w:color="auto" w:fill="F2F2F2"/>
          </w:tcPr>
          <w:p w14:paraId="02E17A20" w14:textId="77777777" w:rsidR="007F2DE4" w:rsidRDefault="00000000">
            <w:pPr>
              <w:spacing w:before="40" w:after="40"/>
            </w:pPr>
            <w:r>
              <w:rPr>
                <w:color w:val="1A1A1A"/>
                <w:sz w:val="18"/>
              </w:rPr>
              <w:t>DRC capital</w:t>
            </w:r>
          </w:p>
        </w:tc>
        <w:tc>
          <w:tcPr>
            <w:tcW w:w="4896" w:type="dxa"/>
            <w:shd w:val="clear" w:color="auto" w:fill="F2F2F2"/>
          </w:tcPr>
          <w:p w14:paraId="1F16E183" w14:textId="77777777" w:rsidR="007F2DE4" w:rsidRDefault="00000000">
            <w:pPr>
              <w:spacing w:before="40" w:after="40"/>
            </w:pPr>
            <w:r>
              <w:rPr>
                <w:color w:val="1A1A1A"/>
                <w:sz w:val="18"/>
              </w:rPr>
              <w:t>= 0.25 × baseline at M ≤ 3m; linear up to M=1Y; FLAT for M ≥ 1Y</w:t>
            </w:r>
          </w:p>
        </w:tc>
        <w:tc>
          <w:tcPr>
            <w:tcW w:w="2448" w:type="dxa"/>
            <w:shd w:val="clear" w:color="auto" w:fill="F2F2F2"/>
          </w:tcPr>
          <w:p w14:paraId="4BD627CC" w14:textId="77777777" w:rsidR="007F2DE4" w:rsidRDefault="00000000">
            <w:pPr>
              <w:spacing w:before="40" w:after="40"/>
            </w:pPr>
            <w:r>
              <w:rPr>
                <w:color w:val="1A1A1A"/>
                <w:sz w:val="18"/>
              </w:rPr>
              <w:t>1× of M=1Y value</w:t>
            </w:r>
          </w:p>
        </w:tc>
      </w:tr>
      <w:tr w:rsidR="007F2DE4" w14:paraId="33A40FAD" w14:textId="77777777">
        <w:trPr>
          <w:jc w:val="center"/>
        </w:trPr>
        <w:tc>
          <w:tcPr>
            <w:tcW w:w="2880" w:type="dxa"/>
            <w:shd w:val="clear" w:color="auto" w:fill="FFFFFF"/>
          </w:tcPr>
          <w:p w14:paraId="2B24B5D0" w14:textId="77777777" w:rsidR="007F2DE4" w:rsidRDefault="00000000">
            <w:pPr>
              <w:spacing w:before="40" w:after="40"/>
            </w:pPr>
            <w:r>
              <w:rPr>
                <w:color w:val="1A1A1A"/>
                <w:sz w:val="18"/>
              </w:rPr>
              <w:t>CSR-Sec CS01 magnitude</w:t>
            </w:r>
          </w:p>
        </w:tc>
        <w:tc>
          <w:tcPr>
            <w:tcW w:w="4896" w:type="dxa"/>
            <w:shd w:val="clear" w:color="auto" w:fill="FFFFFF"/>
          </w:tcPr>
          <w:p w14:paraId="3A5FB552" w14:textId="77777777" w:rsidR="007F2DE4" w:rsidRDefault="00000000">
            <w:pPr>
              <w:spacing w:before="40" w:after="40"/>
            </w:pPr>
            <w:r>
              <w:rPr>
                <w:color w:val="1A1A1A"/>
                <w:sz w:val="18"/>
              </w:rPr>
              <w:t>≈ linear in ModDur (which tracks M)</w:t>
            </w:r>
          </w:p>
        </w:tc>
        <w:tc>
          <w:tcPr>
            <w:tcW w:w="2448" w:type="dxa"/>
            <w:shd w:val="clear" w:color="auto" w:fill="FFFFFF"/>
          </w:tcPr>
          <w:p w14:paraId="04BBCC94" w14:textId="77777777" w:rsidR="007F2DE4" w:rsidRDefault="00000000">
            <w:pPr>
              <w:spacing w:before="40" w:after="40"/>
            </w:pPr>
            <w:r>
              <w:rPr>
                <w:color w:val="1A1A1A"/>
                <w:sz w:val="18"/>
              </w:rPr>
              <w:t>No cap</w:t>
            </w:r>
          </w:p>
        </w:tc>
      </w:tr>
      <w:tr w:rsidR="007F2DE4" w14:paraId="3968F517" w14:textId="77777777">
        <w:trPr>
          <w:jc w:val="center"/>
        </w:trPr>
        <w:tc>
          <w:tcPr>
            <w:tcW w:w="2880" w:type="dxa"/>
            <w:shd w:val="clear" w:color="auto" w:fill="F2F2F2"/>
          </w:tcPr>
          <w:p w14:paraId="37FA2562" w14:textId="77777777" w:rsidR="007F2DE4" w:rsidRDefault="00000000">
            <w:pPr>
              <w:spacing w:before="40" w:after="40"/>
            </w:pPr>
            <w:r>
              <w:rPr>
                <w:color w:val="1A1A1A"/>
                <w:sz w:val="18"/>
              </w:rPr>
              <w:t>CSR-Sec capital</w:t>
            </w:r>
          </w:p>
        </w:tc>
        <w:tc>
          <w:tcPr>
            <w:tcW w:w="4896" w:type="dxa"/>
            <w:shd w:val="clear" w:color="auto" w:fill="F2F2F2"/>
          </w:tcPr>
          <w:p w14:paraId="1278E9A9" w14:textId="77777777" w:rsidR="007F2DE4" w:rsidRDefault="00000000">
            <w:pPr>
              <w:spacing w:before="40" w:after="40"/>
            </w:pPr>
            <w:r>
              <w:rPr>
                <w:color w:val="1A1A1A"/>
                <w:sz w:val="18"/>
              </w:rPr>
              <w:t>linear in M to first order; some non-linearity from intra-bucket correlations + amortising-tranche duration</w:t>
            </w:r>
          </w:p>
        </w:tc>
        <w:tc>
          <w:tcPr>
            <w:tcW w:w="2448" w:type="dxa"/>
            <w:shd w:val="clear" w:color="auto" w:fill="F2F2F2"/>
          </w:tcPr>
          <w:p w14:paraId="43A8AFB1" w14:textId="77777777" w:rsidR="007F2DE4" w:rsidRDefault="00000000">
            <w:pPr>
              <w:spacing w:before="40" w:after="40"/>
            </w:pPr>
            <w:r>
              <w:rPr>
                <w:color w:val="1A1A1A"/>
                <w:sz w:val="18"/>
              </w:rPr>
              <w:t>No cap</w:t>
            </w:r>
          </w:p>
        </w:tc>
      </w:tr>
    </w:tbl>
    <w:p w14:paraId="0A8F3A64" w14:textId="77777777" w:rsidR="007F2DE4" w:rsidRDefault="00000000">
      <w:pPr>
        <w:spacing w:before="60"/>
      </w:pPr>
      <w:r>
        <w:rPr>
          <w:b/>
          <w:color w:val="0E2C4B"/>
          <w:sz w:val="17"/>
        </w:rPr>
        <w:t xml:space="preserve">Exhibit 9.  </w:t>
      </w:r>
      <w:r>
        <w:rPr>
          <w:i/>
          <w:color w:val="555555"/>
          <w:sz w:val="17"/>
        </w:rPr>
        <w:t>Where M enters and where it stops. M-driven additional capital lives entirely in the CSR-Sec line above the 1Y horizon; below 1Y, both blocks scale down together via their respective linear-in-M factors.</w:t>
      </w:r>
    </w:p>
    <w:p w14:paraId="33BFC94C" w14:textId="77777777" w:rsidR="007F2DE4" w:rsidRDefault="00000000">
      <w:r>
        <w:br w:type="page"/>
      </w:r>
    </w:p>
    <w:p w14:paraId="5F9A4093" w14:textId="77777777" w:rsidR="007F2DE4" w:rsidRDefault="00000000">
      <w:pPr>
        <w:keepNext/>
        <w:pBdr>
          <w:bottom w:val="single" w:sz="10" w:space="4" w:color="0E2C4B"/>
        </w:pBdr>
        <w:spacing w:before="400" w:after="140"/>
      </w:pPr>
      <w:r>
        <w:rPr>
          <w:b/>
          <w:color w:val="0E2C4B"/>
          <w:sz w:val="32"/>
        </w:rPr>
        <w:lastRenderedPageBreak/>
        <w:t>References</w:t>
      </w:r>
    </w:p>
    <w:p w14:paraId="3BAC2AAF" w14:textId="77777777" w:rsidR="007F2DE4" w:rsidRDefault="00000000">
      <w:pPr>
        <w:spacing w:before="40" w:after="100" w:line="269" w:lineRule="auto"/>
      </w:pPr>
      <w:r>
        <w:rPr>
          <w:i/>
          <w:color w:val="555555"/>
          <w:sz w:val="19"/>
        </w:rPr>
        <w:t>The references below give the full source for every regulatory and internal claim in the note. They are consolidated at the end so the body reads as a continuous argument; the column ‘What it governs in this note’ ties each source back to where it is used.</w:t>
      </w:r>
    </w:p>
    <w:p w14:paraId="56EE48E6" w14:textId="77777777" w:rsidR="007F2DE4" w:rsidRDefault="00000000">
      <w:pPr>
        <w:keepNext/>
        <w:spacing w:before="260" w:after="60"/>
      </w:pPr>
      <w:r>
        <w:rPr>
          <w:b/>
          <w:color w:val="355574"/>
          <w:sz w:val="24"/>
        </w:rPr>
        <w:t>Primary standards — Basel consolidated framework</w:t>
      </w:r>
    </w:p>
    <w:tbl>
      <w:tblPr>
        <w:tblStyle w:val="TableGrid"/>
        <w:tblW w:w="0" w:type="auto"/>
        <w:jc w:val="center"/>
        <w:tblLook w:val="04A0" w:firstRow="1" w:lastRow="0" w:firstColumn="1" w:lastColumn="0" w:noHBand="0" w:noVBand="1"/>
      </w:tblPr>
      <w:tblGrid>
        <w:gridCol w:w="2088"/>
        <w:gridCol w:w="4248"/>
        <w:gridCol w:w="3024"/>
      </w:tblGrid>
      <w:tr w:rsidR="007F2DE4" w14:paraId="7C99319C" w14:textId="77777777">
        <w:trPr>
          <w:jc w:val="center"/>
        </w:trPr>
        <w:tc>
          <w:tcPr>
            <w:tcW w:w="2088" w:type="dxa"/>
            <w:shd w:val="clear" w:color="auto" w:fill="0E2C4B"/>
          </w:tcPr>
          <w:p w14:paraId="0E6F8AC8" w14:textId="77777777" w:rsidR="007F2DE4" w:rsidRDefault="00000000">
            <w:pPr>
              <w:spacing w:before="40" w:after="40"/>
            </w:pPr>
            <w:r>
              <w:rPr>
                <w:b/>
                <w:color w:val="FFFFFF"/>
                <w:sz w:val="17"/>
              </w:rPr>
              <w:t>Reference</w:t>
            </w:r>
          </w:p>
        </w:tc>
        <w:tc>
          <w:tcPr>
            <w:tcW w:w="4248" w:type="dxa"/>
            <w:shd w:val="clear" w:color="auto" w:fill="0E2C4B"/>
          </w:tcPr>
          <w:p w14:paraId="682BCB5C" w14:textId="77777777" w:rsidR="007F2DE4" w:rsidRDefault="00000000">
            <w:pPr>
              <w:spacing w:before="40" w:after="40"/>
            </w:pPr>
            <w:r>
              <w:rPr>
                <w:b/>
                <w:color w:val="FFFFFF"/>
                <w:sz w:val="17"/>
              </w:rPr>
              <w:t>Title and source</w:t>
            </w:r>
          </w:p>
        </w:tc>
        <w:tc>
          <w:tcPr>
            <w:tcW w:w="3024" w:type="dxa"/>
            <w:shd w:val="clear" w:color="auto" w:fill="0E2C4B"/>
          </w:tcPr>
          <w:p w14:paraId="732564CE" w14:textId="77777777" w:rsidR="007F2DE4" w:rsidRDefault="00000000">
            <w:pPr>
              <w:spacing w:before="40" w:after="40"/>
            </w:pPr>
            <w:r>
              <w:rPr>
                <w:b/>
                <w:color w:val="FFFFFF"/>
                <w:sz w:val="17"/>
              </w:rPr>
              <w:t>What it governs in this note</w:t>
            </w:r>
          </w:p>
        </w:tc>
      </w:tr>
      <w:tr w:rsidR="007F2DE4" w14:paraId="43866DBE" w14:textId="77777777">
        <w:trPr>
          <w:jc w:val="center"/>
        </w:trPr>
        <w:tc>
          <w:tcPr>
            <w:tcW w:w="2088" w:type="dxa"/>
            <w:shd w:val="clear" w:color="auto" w:fill="F2F2F2"/>
          </w:tcPr>
          <w:p w14:paraId="1C113AC4" w14:textId="77777777" w:rsidR="007F2DE4" w:rsidRDefault="00000000">
            <w:pPr>
              <w:spacing w:before="40" w:after="40"/>
            </w:pPr>
            <w:r>
              <w:rPr>
                <w:color w:val="1A1A1A"/>
                <w:sz w:val="16"/>
              </w:rPr>
              <w:t>MAR22.27</w:t>
            </w:r>
          </w:p>
        </w:tc>
        <w:tc>
          <w:tcPr>
            <w:tcW w:w="4248" w:type="dxa"/>
            <w:shd w:val="clear" w:color="auto" w:fill="F2F2F2"/>
          </w:tcPr>
          <w:p w14:paraId="5C0825E0" w14:textId="77777777" w:rsidR="007F2DE4" w:rsidRDefault="00000000">
            <w:pPr>
              <w:spacing w:before="40" w:after="40"/>
            </w:pPr>
            <w:r>
              <w:rPr>
                <w:color w:val="1A1A1A"/>
                <w:sz w:val="16"/>
              </w:rPr>
              <w:t>Standardised approach — default risk capital requirement; sec, non-CTP. Gross JTD definition for sec.</w:t>
            </w:r>
          </w:p>
        </w:tc>
        <w:tc>
          <w:tcPr>
            <w:tcW w:w="3024" w:type="dxa"/>
            <w:shd w:val="clear" w:color="auto" w:fill="F2F2F2"/>
          </w:tcPr>
          <w:p w14:paraId="3FA1F6D0" w14:textId="77777777" w:rsidR="007F2DE4" w:rsidRDefault="00000000">
            <w:pPr>
              <w:spacing w:before="40" w:after="40"/>
            </w:pPr>
            <w:r>
              <w:rPr>
                <w:color w:val="1A1A1A"/>
                <w:sz w:val="16"/>
              </w:rPr>
              <w:t>Statement that JTD for sec = position market value (LGD not applied to exposure).</w:t>
            </w:r>
          </w:p>
        </w:tc>
      </w:tr>
      <w:tr w:rsidR="007F2DE4" w14:paraId="2E1DFFB6" w14:textId="77777777">
        <w:trPr>
          <w:jc w:val="center"/>
        </w:trPr>
        <w:tc>
          <w:tcPr>
            <w:tcW w:w="2088" w:type="dxa"/>
            <w:shd w:val="clear" w:color="auto" w:fill="FFFFFF"/>
          </w:tcPr>
          <w:p w14:paraId="172CE63F" w14:textId="77777777" w:rsidR="007F2DE4" w:rsidRDefault="00000000">
            <w:pPr>
              <w:spacing w:before="40" w:after="40"/>
            </w:pPr>
            <w:r>
              <w:rPr>
                <w:color w:val="1A1A1A"/>
                <w:sz w:val="16"/>
              </w:rPr>
              <w:t>MAR22.30</w:t>
            </w:r>
          </w:p>
        </w:tc>
        <w:tc>
          <w:tcPr>
            <w:tcW w:w="4248" w:type="dxa"/>
            <w:shd w:val="clear" w:color="auto" w:fill="FFFFFF"/>
          </w:tcPr>
          <w:p w14:paraId="3089B8A8" w14:textId="77777777" w:rsidR="007F2DE4" w:rsidRDefault="00000000">
            <w:pPr>
              <w:spacing w:before="40" w:after="40"/>
            </w:pPr>
            <w:r>
              <w:rPr>
                <w:color w:val="1A1A1A"/>
                <w:sz w:val="16"/>
              </w:rPr>
              <w:t>Standardised approach — default risk capital requirement; sec, non-CTP. Offsetting and scaling of JTD positions.</w:t>
            </w:r>
          </w:p>
        </w:tc>
        <w:tc>
          <w:tcPr>
            <w:tcW w:w="3024" w:type="dxa"/>
            <w:shd w:val="clear" w:color="auto" w:fill="FFFFFF"/>
          </w:tcPr>
          <w:p w14:paraId="2E7DE098" w14:textId="77777777" w:rsidR="007F2DE4" w:rsidRDefault="00000000">
            <w:pPr>
              <w:spacing w:before="40" w:after="40"/>
            </w:pPr>
            <w:r>
              <w:rPr>
                <w:color w:val="1A1A1A"/>
                <w:sz w:val="16"/>
              </w:rPr>
              <w:t>Import of MAR22.15-18 offsetting + scaling rules into sec; basis for the gross-JTD scaling factor in the engine.</w:t>
            </w:r>
          </w:p>
        </w:tc>
      </w:tr>
      <w:tr w:rsidR="007F2DE4" w14:paraId="7351104D" w14:textId="77777777">
        <w:trPr>
          <w:jc w:val="center"/>
        </w:trPr>
        <w:tc>
          <w:tcPr>
            <w:tcW w:w="2088" w:type="dxa"/>
            <w:shd w:val="clear" w:color="auto" w:fill="F2F2F2"/>
          </w:tcPr>
          <w:p w14:paraId="4FE7B073" w14:textId="77777777" w:rsidR="007F2DE4" w:rsidRDefault="00000000">
            <w:pPr>
              <w:spacing w:before="40" w:after="40"/>
            </w:pPr>
            <w:r>
              <w:rPr>
                <w:color w:val="1A1A1A"/>
                <w:sz w:val="16"/>
              </w:rPr>
              <w:t>MAR22.15 — 22.18</w:t>
            </w:r>
          </w:p>
        </w:tc>
        <w:tc>
          <w:tcPr>
            <w:tcW w:w="4248" w:type="dxa"/>
            <w:shd w:val="clear" w:color="auto" w:fill="F2F2F2"/>
          </w:tcPr>
          <w:p w14:paraId="066902A0" w14:textId="77777777" w:rsidR="007F2DE4" w:rsidRDefault="00000000">
            <w:pPr>
              <w:spacing w:before="40" w:after="40"/>
            </w:pPr>
            <w:r>
              <w:rPr>
                <w:color w:val="1A1A1A"/>
                <w:sz w:val="16"/>
              </w:rPr>
              <w:t>Standardised approach — default risk capital requirement; non-sec. Scaling of positions of less than one year.</w:t>
            </w:r>
          </w:p>
        </w:tc>
        <w:tc>
          <w:tcPr>
            <w:tcW w:w="3024" w:type="dxa"/>
            <w:shd w:val="clear" w:color="auto" w:fill="F2F2F2"/>
          </w:tcPr>
          <w:p w14:paraId="0596553F" w14:textId="77777777" w:rsidR="007F2DE4" w:rsidRDefault="00000000">
            <w:pPr>
              <w:spacing w:before="40" w:after="40"/>
            </w:pPr>
            <w:r>
              <w:rPr>
                <w:color w:val="1A1A1A"/>
                <w:sz w:val="16"/>
              </w:rPr>
              <w:t>Three-month floor / one-year cap for the per-position JTD scaling; applied by reference through MAR22.30.</w:t>
            </w:r>
          </w:p>
        </w:tc>
      </w:tr>
      <w:tr w:rsidR="007F2DE4" w14:paraId="387CEE7F" w14:textId="77777777">
        <w:trPr>
          <w:jc w:val="center"/>
        </w:trPr>
        <w:tc>
          <w:tcPr>
            <w:tcW w:w="2088" w:type="dxa"/>
            <w:shd w:val="clear" w:color="auto" w:fill="FFFFFF"/>
          </w:tcPr>
          <w:p w14:paraId="07EB3F94" w14:textId="77777777" w:rsidR="007F2DE4" w:rsidRDefault="00000000">
            <w:pPr>
              <w:spacing w:before="40" w:after="40"/>
            </w:pPr>
            <w:r>
              <w:rPr>
                <w:color w:val="1A1A1A"/>
                <w:sz w:val="16"/>
              </w:rPr>
              <w:t>MAR22.34(1)</w:t>
            </w:r>
          </w:p>
        </w:tc>
        <w:tc>
          <w:tcPr>
            <w:tcW w:w="4248" w:type="dxa"/>
            <w:shd w:val="clear" w:color="auto" w:fill="FFFFFF"/>
          </w:tcPr>
          <w:p w14:paraId="66F2CFEE" w14:textId="77777777" w:rsidR="007F2DE4" w:rsidRDefault="00000000">
            <w:pPr>
              <w:spacing w:before="40" w:after="40"/>
            </w:pPr>
            <w:r>
              <w:rPr>
                <w:color w:val="1A1A1A"/>
                <w:sz w:val="16"/>
              </w:rPr>
              <w:t>Standardised approach — default risk capital requirement; sec, non-CTP. Risk weights and the maturity-component override.</w:t>
            </w:r>
          </w:p>
        </w:tc>
        <w:tc>
          <w:tcPr>
            <w:tcW w:w="3024" w:type="dxa"/>
            <w:shd w:val="clear" w:color="auto" w:fill="FFFFFF"/>
          </w:tcPr>
          <w:p w14:paraId="0C1FBC06" w14:textId="77777777" w:rsidR="007F2DE4" w:rsidRDefault="00000000">
            <w:pPr>
              <w:spacing w:before="40" w:after="40"/>
            </w:pPr>
            <w:r>
              <w:rPr>
                <w:color w:val="1A1A1A"/>
                <w:sz w:val="16"/>
              </w:rPr>
              <w:t>The clause that fixes M(T) = 1 inside the banking-book RW formulas to avoid double-counting with CSR-Sec migration risk.</w:t>
            </w:r>
          </w:p>
        </w:tc>
      </w:tr>
      <w:tr w:rsidR="007F2DE4" w14:paraId="55D5AA65" w14:textId="77777777">
        <w:trPr>
          <w:jc w:val="center"/>
        </w:trPr>
        <w:tc>
          <w:tcPr>
            <w:tcW w:w="2088" w:type="dxa"/>
            <w:shd w:val="clear" w:color="auto" w:fill="F2F2F2"/>
          </w:tcPr>
          <w:p w14:paraId="2BD66072" w14:textId="77777777" w:rsidR="007F2DE4" w:rsidRDefault="00000000">
            <w:pPr>
              <w:spacing w:before="40" w:after="40"/>
            </w:pPr>
            <w:r>
              <w:rPr>
                <w:color w:val="1A1A1A"/>
                <w:sz w:val="16"/>
              </w:rPr>
              <w:t>CRE40 — CRE44</w:t>
            </w:r>
          </w:p>
        </w:tc>
        <w:tc>
          <w:tcPr>
            <w:tcW w:w="4248" w:type="dxa"/>
            <w:shd w:val="clear" w:color="auto" w:fill="F2F2F2"/>
          </w:tcPr>
          <w:p w14:paraId="5A3EB4E1" w14:textId="77777777" w:rsidR="007F2DE4" w:rsidRDefault="00000000">
            <w:pPr>
              <w:spacing w:before="40" w:after="40"/>
            </w:pPr>
            <w:r>
              <w:rPr>
                <w:color w:val="1A1A1A"/>
                <w:sz w:val="16"/>
              </w:rPr>
              <w:t>Securitisation framework — general provisions, SEC-SA, SEC-ERBA, SEC-IAA, SEC-IRBA.</w:t>
            </w:r>
          </w:p>
        </w:tc>
        <w:tc>
          <w:tcPr>
            <w:tcW w:w="3024" w:type="dxa"/>
            <w:shd w:val="clear" w:color="auto" w:fill="F2F2F2"/>
          </w:tcPr>
          <w:p w14:paraId="32ADEFCF" w14:textId="77777777" w:rsidR="007F2DE4" w:rsidRDefault="00000000">
            <w:pPr>
              <w:spacing w:before="40" w:after="40"/>
            </w:pPr>
            <w:r>
              <w:rPr>
                <w:color w:val="1A1A1A"/>
                <w:sz w:val="16"/>
              </w:rPr>
              <w:t>The banking-book RW machinery that MAR22.34(1) imports with the M(T) = 1 modification. Sections 3, 5, 7 of this note.</w:t>
            </w:r>
          </w:p>
        </w:tc>
      </w:tr>
      <w:tr w:rsidR="007F2DE4" w14:paraId="4096EABA" w14:textId="77777777">
        <w:trPr>
          <w:jc w:val="center"/>
        </w:trPr>
        <w:tc>
          <w:tcPr>
            <w:tcW w:w="2088" w:type="dxa"/>
            <w:shd w:val="clear" w:color="auto" w:fill="FFFFFF"/>
          </w:tcPr>
          <w:p w14:paraId="00F6C880" w14:textId="77777777" w:rsidR="007F2DE4" w:rsidRDefault="00000000">
            <w:pPr>
              <w:spacing w:before="40" w:after="40"/>
            </w:pPr>
            <w:r>
              <w:rPr>
                <w:color w:val="1A1A1A"/>
                <w:sz w:val="16"/>
              </w:rPr>
              <w:t>MAR21 — chapters governing CSR-Sec (Non-CTP)</w:t>
            </w:r>
          </w:p>
        </w:tc>
        <w:tc>
          <w:tcPr>
            <w:tcW w:w="4248" w:type="dxa"/>
            <w:shd w:val="clear" w:color="auto" w:fill="FFFFFF"/>
          </w:tcPr>
          <w:p w14:paraId="167687E1" w14:textId="77777777" w:rsidR="007F2DE4" w:rsidRDefault="00000000">
            <w:pPr>
              <w:spacing w:before="40" w:after="40"/>
            </w:pPr>
            <w:r>
              <w:rPr>
                <w:color w:val="1A1A1A"/>
                <w:sz w:val="16"/>
              </w:rPr>
              <w:t>Standardised approach — sensitivities-based method.</w:t>
            </w:r>
          </w:p>
        </w:tc>
        <w:tc>
          <w:tcPr>
            <w:tcW w:w="3024" w:type="dxa"/>
            <w:shd w:val="clear" w:color="auto" w:fill="FFFFFF"/>
          </w:tcPr>
          <w:p w14:paraId="5C47911D" w14:textId="77777777" w:rsidR="007F2DE4" w:rsidRDefault="00000000">
            <w:pPr>
              <w:spacing w:before="40" w:after="40"/>
            </w:pPr>
            <w:r>
              <w:rPr>
                <w:color w:val="1A1A1A"/>
                <w:sz w:val="16"/>
              </w:rPr>
              <w:t>The FRTB tenor pillars, bucket structure, CSR-Sec risk weights, and intra- / inter-bucket aggregation used in the CSR-Sec capital discussion in Section 6 and Appendix B.</w:t>
            </w:r>
          </w:p>
        </w:tc>
      </w:tr>
    </w:tbl>
    <w:p w14:paraId="78B7B3FD" w14:textId="77777777" w:rsidR="007F2DE4" w:rsidRDefault="00000000">
      <w:pPr>
        <w:keepNext/>
        <w:spacing w:before="260" w:after="60"/>
      </w:pPr>
      <w:r>
        <w:rPr>
          <w:b/>
          <w:color w:val="355574"/>
          <w:sz w:val="24"/>
        </w:rPr>
        <w:t>Internal sources</w:t>
      </w:r>
    </w:p>
    <w:tbl>
      <w:tblPr>
        <w:tblStyle w:val="TableGrid"/>
        <w:tblW w:w="0" w:type="auto"/>
        <w:jc w:val="center"/>
        <w:tblLook w:val="04A0" w:firstRow="1" w:lastRow="0" w:firstColumn="1" w:lastColumn="0" w:noHBand="0" w:noVBand="1"/>
      </w:tblPr>
      <w:tblGrid>
        <w:gridCol w:w="2664"/>
        <w:gridCol w:w="3672"/>
        <w:gridCol w:w="3024"/>
      </w:tblGrid>
      <w:tr w:rsidR="007F2DE4" w14:paraId="726EAEED" w14:textId="77777777">
        <w:trPr>
          <w:jc w:val="center"/>
        </w:trPr>
        <w:tc>
          <w:tcPr>
            <w:tcW w:w="2664" w:type="dxa"/>
            <w:shd w:val="clear" w:color="auto" w:fill="0E2C4B"/>
          </w:tcPr>
          <w:p w14:paraId="3A80E99F" w14:textId="77777777" w:rsidR="007F2DE4" w:rsidRDefault="00000000">
            <w:pPr>
              <w:spacing w:before="40" w:after="40"/>
            </w:pPr>
            <w:r>
              <w:rPr>
                <w:b/>
                <w:color w:val="FFFFFF"/>
                <w:sz w:val="17"/>
              </w:rPr>
              <w:t>Reference</w:t>
            </w:r>
          </w:p>
        </w:tc>
        <w:tc>
          <w:tcPr>
            <w:tcW w:w="3672" w:type="dxa"/>
            <w:shd w:val="clear" w:color="auto" w:fill="0E2C4B"/>
          </w:tcPr>
          <w:p w14:paraId="7E8F4436" w14:textId="77777777" w:rsidR="007F2DE4" w:rsidRDefault="00000000">
            <w:pPr>
              <w:spacing w:before="40" w:after="40"/>
            </w:pPr>
            <w:r>
              <w:rPr>
                <w:b/>
                <w:color w:val="FFFFFF"/>
                <w:sz w:val="17"/>
              </w:rPr>
              <w:t>Source</w:t>
            </w:r>
          </w:p>
        </w:tc>
        <w:tc>
          <w:tcPr>
            <w:tcW w:w="3024" w:type="dxa"/>
            <w:shd w:val="clear" w:color="auto" w:fill="0E2C4B"/>
          </w:tcPr>
          <w:p w14:paraId="5938C872" w14:textId="77777777" w:rsidR="007F2DE4" w:rsidRDefault="00000000">
            <w:pPr>
              <w:spacing w:before="40" w:after="40"/>
            </w:pPr>
            <w:r>
              <w:rPr>
                <w:b/>
                <w:color w:val="FFFFFF"/>
                <w:sz w:val="17"/>
              </w:rPr>
              <w:t>What it provides</w:t>
            </w:r>
          </w:p>
        </w:tc>
      </w:tr>
      <w:tr w:rsidR="007F2DE4" w14:paraId="372F9E26" w14:textId="77777777">
        <w:trPr>
          <w:jc w:val="center"/>
        </w:trPr>
        <w:tc>
          <w:tcPr>
            <w:tcW w:w="2664" w:type="dxa"/>
            <w:shd w:val="clear" w:color="auto" w:fill="F2F2F2"/>
          </w:tcPr>
          <w:p w14:paraId="1B39C16C" w14:textId="77777777" w:rsidR="007F2DE4" w:rsidRDefault="00000000">
            <w:pPr>
              <w:spacing w:before="40" w:after="40"/>
            </w:pPr>
            <w:r>
              <w:rPr>
                <w:color w:val="1A1A1A"/>
                <w:sz w:val="16"/>
              </w:rPr>
              <w:t>drc_securitisation engine</w:t>
            </w:r>
          </w:p>
        </w:tc>
        <w:tc>
          <w:tcPr>
            <w:tcW w:w="3672" w:type="dxa"/>
            <w:shd w:val="clear" w:color="auto" w:fill="F2F2F2"/>
          </w:tcPr>
          <w:p w14:paraId="11BE0183" w14:textId="77777777" w:rsidR="007F2DE4" w:rsidRDefault="00000000">
            <w:pPr>
              <w:spacing w:before="40" w:after="40"/>
            </w:pPr>
            <w:r>
              <w:rPr>
                <w:color w:val="1A1A1A"/>
                <w:sz w:val="16"/>
              </w:rPr>
              <w:t>FRTB SA / drc_securitisation / sec_loader.py, sec_erba.py, sec_irba.py, sec_engine.py.</w:t>
            </w:r>
          </w:p>
        </w:tc>
        <w:tc>
          <w:tcPr>
            <w:tcW w:w="3024" w:type="dxa"/>
            <w:shd w:val="clear" w:color="auto" w:fill="F2F2F2"/>
          </w:tcPr>
          <w:p w14:paraId="414CB7AF" w14:textId="77777777" w:rsidR="007F2DE4" w:rsidRDefault="00000000">
            <w:pPr>
              <w:spacing w:before="40" w:after="40"/>
            </w:pPr>
            <w:r>
              <w:rPr>
                <w:color w:val="1A1A1A"/>
                <w:sz w:val="16"/>
              </w:rPr>
              <w:t>Implementation of MAR22.34(1) (in sec_erba + sec_irba), MAR22.30 scaling (loader + step_9 of sec_engine).</w:t>
            </w:r>
          </w:p>
        </w:tc>
      </w:tr>
      <w:tr w:rsidR="007F2DE4" w14:paraId="32A4E4BA" w14:textId="77777777">
        <w:trPr>
          <w:jc w:val="center"/>
        </w:trPr>
        <w:tc>
          <w:tcPr>
            <w:tcW w:w="2664" w:type="dxa"/>
            <w:shd w:val="clear" w:color="auto" w:fill="FFFFFF"/>
          </w:tcPr>
          <w:p w14:paraId="38D2EF06" w14:textId="77777777" w:rsidR="007F2DE4" w:rsidRDefault="00000000">
            <w:pPr>
              <w:spacing w:before="40" w:after="40"/>
            </w:pPr>
            <w:r>
              <w:rPr>
                <w:color w:val="1A1A1A"/>
                <w:sz w:val="16"/>
              </w:rPr>
              <w:t>SA capital pipeline</w:t>
            </w:r>
          </w:p>
        </w:tc>
        <w:tc>
          <w:tcPr>
            <w:tcW w:w="3672" w:type="dxa"/>
            <w:shd w:val="clear" w:color="auto" w:fill="FFFFFF"/>
          </w:tcPr>
          <w:p w14:paraId="0F287D25" w14:textId="77777777" w:rsidR="007F2DE4" w:rsidRDefault="00000000">
            <w:pPr>
              <w:spacing w:before="40" w:after="40"/>
            </w:pPr>
            <w:r>
              <w:rPr>
                <w:color w:val="1A1A1A"/>
                <w:sz w:val="16"/>
              </w:rPr>
              <w:t>FRTB SA / capital_main.py, weighted_sensitivities.py, intra_bucket.py, inter_bucket.py.</w:t>
            </w:r>
          </w:p>
        </w:tc>
        <w:tc>
          <w:tcPr>
            <w:tcW w:w="3024" w:type="dxa"/>
            <w:shd w:val="clear" w:color="auto" w:fill="FFFFFF"/>
          </w:tcPr>
          <w:p w14:paraId="1F559E41" w14:textId="77777777" w:rsidR="007F2DE4" w:rsidRDefault="00000000">
            <w:pPr>
              <w:spacing w:before="40" w:after="40"/>
            </w:pPr>
            <w:r>
              <w:rPr>
                <w:color w:val="1A1A1A"/>
                <w:sz w:val="16"/>
              </w:rPr>
              <w:t>CSR-Sec capital, consuming per-position CSR-Sec delta from FRTB_Sensitivities.xlsx (sensitivity-engine Sheet 1).</w:t>
            </w:r>
          </w:p>
        </w:tc>
      </w:tr>
      <w:tr w:rsidR="007F2DE4" w14:paraId="182E2681" w14:textId="77777777">
        <w:trPr>
          <w:jc w:val="center"/>
        </w:trPr>
        <w:tc>
          <w:tcPr>
            <w:tcW w:w="2664" w:type="dxa"/>
            <w:shd w:val="clear" w:color="auto" w:fill="F2F2F2"/>
          </w:tcPr>
          <w:p w14:paraId="7AE7877D" w14:textId="77777777" w:rsidR="007F2DE4" w:rsidRDefault="00000000">
            <w:pPr>
              <w:spacing w:before="40" w:after="40"/>
            </w:pPr>
            <w:r>
              <w:rPr>
                <w:color w:val="1A1A1A"/>
                <w:sz w:val="16"/>
              </w:rPr>
              <w:t>FRTB_Sensitivities.xlsx</w:t>
            </w:r>
          </w:p>
        </w:tc>
        <w:tc>
          <w:tcPr>
            <w:tcW w:w="3672" w:type="dxa"/>
            <w:shd w:val="clear" w:color="auto" w:fill="F2F2F2"/>
          </w:tcPr>
          <w:p w14:paraId="1F45B109" w14:textId="77777777" w:rsidR="007F2DE4" w:rsidRDefault="00000000">
            <w:pPr>
              <w:spacing w:before="40" w:after="40"/>
            </w:pPr>
            <w:r>
              <w:rPr>
                <w:color w:val="1A1A1A"/>
                <w:sz w:val="16"/>
              </w:rPr>
              <w:t>Output of the sensitivity engine (Sensitivity v10).</w:t>
            </w:r>
          </w:p>
        </w:tc>
        <w:tc>
          <w:tcPr>
            <w:tcW w:w="3024" w:type="dxa"/>
            <w:shd w:val="clear" w:color="auto" w:fill="F2F2F2"/>
          </w:tcPr>
          <w:p w14:paraId="4FA56C07" w14:textId="77777777" w:rsidR="007F2DE4" w:rsidRDefault="00000000">
            <w:pPr>
              <w:spacing w:before="40" w:after="40"/>
            </w:pPr>
            <w:r>
              <w:rPr>
                <w:color w:val="1A1A1A"/>
                <w:sz w:val="16"/>
              </w:rPr>
              <w:t>Per-position CSR-Sec CS01 at FRTB tenor pillars used by the SA capital pipeline.</w:t>
            </w:r>
          </w:p>
        </w:tc>
      </w:tr>
      <w:tr w:rsidR="007F2DE4" w14:paraId="07A21401" w14:textId="77777777">
        <w:trPr>
          <w:jc w:val="center"/>
        </w:trPr>
        <w:tc>
          <w:tcPr>
            <w:tcW w:w="2664" w:type="dxa"/>
            <w:shd w:val="clear" w:color="auto" w:fill="FFFFFF"/>
          </w:tcPr>
          <w:p w14:paraId="3D87F429" w14:textId="79B078C7" w:rsidR="007F2DE4" w:rsidRDefault="00000000">
            <w:pPr>
              <w:spacing w:before="40" w:after="40"/>
            </w:pPr>
            <w:r>
              <w:rPr>
                <w:color w:val="1A1A1A"/>
                <w:sz w:val="16"/>
              </w:rPr>
              <w:t xml:space="preserve">FRTB SA </w:t>
            </w:r>
          </w:p>
        </w:tc>
        <w:tc>
          <w:tcPr>
            <w:tcW w:w="3672" w:type="dxa"/>
            <w:shd w:val="clear" w:color="auto" w:fill="FFFFFF"/>
          </w:tcPr>
          <w:p w14:paraId="23AEA5CF" w14:textId="77777777" w:rsidR="007F2DE4" w:rsidRDefault="00000000">
            <w:pPr>
              <w:spacing w:before="40" w:after="40"/>
            </w:pPr>
            <w:r>
              <w:rPr>
                <w:color w:val="1A1A1A"/>
                <w:sz w:val="16"/>
              </w:rPr>
              <w:t>Programme-level engineering documentation.</w:t>
            </w:r>
          </w:p>
        </w:tc>
        <w:tc>
          <w:tcPr>
            <w:tcW w:w="3024" w:type="dxa"/>
            <w:shd w:val="clear" w:color="auto" w:fill="FFFFFF"/>
          </w:tcPr>
          <w:p w14:paraId="7E1BB2AA" w14:textId="77777777" w:rsidR="007F2DE4" w:rsidRDefault="00000000">
            <w:pPr>
              <w:spacing w:before="40" w:after="40"/>
            </w:pPr>
            <w:r>
              <w:rPr>
                <w:color w:val="1A1A1A"/>
                <w:sz w:val="16"/>
              </w:rPr>
              <w:t>Per-tranche netting invariant, JTD = MV reading of MAR22.27, MAR22.34(1) overlay note, MAR22.30 / 22.15-18 scaling note — the same regulatory split described here, anchored at the code level.</w:t>
            </w:r>
          </w:p>
        </w:tc>
      </w:tr>
    </w:tbl>
    <w:p w14:paraId="6FE621BC" w14:textId="77777777" w:rsidR="007F2DE4" w:rsidRDefault="00000000">
      <w:pPr>
        <w:spacing w:before="40" w:after="100" w:line="269" w:lineRule="auto"/>
      </w:pPr>
      <w:r>
        <w:rPr>
          <w:i/>
          <w:color w:val="555555"/>
          <w:sz w:val="17"/>
        </w:rPr>
        <w:t>Note on authority: the BIS chapters (MAR / CRE) are the authoritative sources. The internal pipelines and configuration workbooks implement those standards and are cited here for traceability of the engine implementation, not as independent authority.</w:t>
      </w:r>
    </w:p>
    <w:sectPr w:rsidR="007F2DE4" w:rsidSect="00034616">
      <w:footerReference w:type="default" r:id="rId11"/>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92EA5" w14:textId="77777777" w:rsidR="00F74F6B" w:rsidRDefault="00F74F6B">
      <w:pPr>
        <w:spacing w:after="0" w:line="240" w:lineRule="auto"/>
      </w:pPr>
      <w:r>
        <w:separator/>
      </w:r>
    </w:p>
  </w:endnote>
  <w:endnote w:type="continuationSeparator" w:id="0">
    <w:p w14:paraId="5F734C39" w14:textId="77777777" w:rsidR="00F74F6B" w:rsidRDefault="00F74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CF306" w14:textId="620AA70C" w:rsidR="007F2DE4" w:rsidRDefault="00000000">
    <w:pPr>
      <w:pStyle w:val="Footer"/>
      <w:pBdr>
        <w:top w:val="single" w:sz="4" w:space="4" w:color="CCCCCC"/>
      </w:pBdr>
    </w:pPr>
    <w:r>
      <w:rPr>
        <w:color w:val="555555"/>
        <w:sz w:val="15"/>
      </w:rPr>
      <w:t xml:space="preserve">Market Risk · FRTB </w:t>
    </w:r>
    <w:proofErr w:type="spellStart"/>
    <w:r>
      <w:rPr>
        <w:color w:val="555555"/>
        <w:sz w:val="15"/>
      </w:rPr>
      <w:t>Programme</w:t>
    </w:r>
    <w:proofErr w:type="spellEnd"/>
    <w:r>
      <w:rPr>
        <w:color w:val="555555"/>
        <w:sz w:val="15"/>
      </w:rPr>
      <w:t xml:space="preserve">   |   Sec M(T) — Default vs Migration   |   </w:t>
    </w:r>
    <w:r w:rsidR="00647E17">
      <w:rPr>
        <w:color w:val="555555"/>
        <w:sz w:val="15"/>
      </w:rPr>
      <w:t xml:space="preserve">   </w:t>
    </w:r>
    <w:r>
      <w:rPr>
        <w:color w:val="555555"/>
        <w:sz w:val="15"/>
      </w:rPr>
      <w:tab/>
    </w:r>
    <w:r>
      <w:rPr>
        <w:color w:val="555555"/>
        <w:sz w:val="16"/>
      </w:rPr>
      <w:t xml:space="preserve">Page </w:t>
    </w:r>
    <w:r>
      <w:rPr>
        <w:color w:val="555555"/>
        <w:sz w:val="16"/>
      </w:rPr>
      <w:fldChar w:fldCharType="begin"/>
    </w:r>
    <w:r>
      <w:rPr>
        <w:color w:val="555555"/>
        <w:sz w:val="16"/>
      </w:rPr>
      <w:instrText>PAGE</w:instrText>
    </w:r>
    <w:r w:rsidR="00647E17">
      <w:rPr>
        <w:color w:val="555555"/>
        <w:sz w:val="16"/>
      </w:rPr>
      <w:fldChar w:fldCharType="separate"/>
    </w:r>
    <w:r w:rsidR="00647E17">
      <w:rPr>
        <w:noProof/>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946A6" w14:textId="77777777" w:rsidR="00F74F6B" w:rsidRDefault="00F74F6B">
      <w:pPr>
        <w:spacing w:after="0" w:line="240" w:lineRule="auto"/>
      </w:pPr>
      <w:r>
        <w:separator/>
      </w:r>
    </w:p>
  </w:footnote>
  <w:footnote w:type="continuationSeparator" w:id="0">
    <w:p w14:paraId="1B38E0DD" w14:textId="77777777" w:rsidR="00F74F6B" w:rsidRDefault="00F74F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4676582">
    <w:abstractNumId w:val="8"/>
  </w:num>
  <w:num w:numId="2" w16cid:durableId="510224121">
    <w:abstractNumId w:val="6"/>
  </w:num>
  <w:num w:numId="3" w16cid:durableId="1795178383">
    <w:abstractNumId w:val="5"/>
  </w:num>
  <w:num w:numId="4" w16cid:durableId="78448529">
    <w:abstractNumId w:val="4"/>
  </w:num>
  <w:num w:numId="5" w16cid:durableId="278033002">
    <w:abstractNumId w:val="7"/>
  </w:num>
  <w:num w:numId="6" w16cid:durableId="113137175">
    <w:abstractNumId w:val="3"/>
  </w:num>
  <w:num w:numId="7" w16cid:durableId="488326057">
    <w:abstractNumId w:val="2"/>
  </w:num>
  <w:num w:numId="8" w16cid:durableId="1227689562">
    <w:abstractNumId w:val="1"/>
  </w:num>
  <w:num w:numId="9" w16cid:durableId="1837837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7E17"/>
    <w:rsid w:val="007F2DE4"/>
    <w:rsid w:val="00AA1D8D"/>
    <w:rsid w:val="00B47730"/>
    <w:rsid w:val="00CB0664"/>
    <w:rsid w:val="00F17BF4"/>
    <w:rsid w:val="00F74F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89AFA"/>
  <w14:defaultImageDpi w14:val="300"/>
  <w15:docId w15:val="{16AE126B-1FFE-45B8-815D-D1E51D147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3369</Words>
  <Characters>19206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Securitisation M(T): Where Default Risk Ends and Migration Risk Begins</dc:title>
  <dc:subject>FRTB DRC (sec, non-CTP) — MAR22.30 / MAR22.34(1)</dc:subject>
  <dc:creator>Market Risk — FRTB Programme</dc:creator>
  <cp:keywords/>
  <dc:description>generated by python-docx</dc:description>
  <cp:lastModifiedBy>Office</cp:lastModifiedBy>
  <cp:revision>2</cp:revision>
  <dcterms:created xsi:type="dcterms:W3CDTF">2013-12-23T23:15:00Z</dcterms:created>
  <dcterms:modified xsi:type="dcterms:W3CDTF">2026-05-30T12:07:00Z</dcterms:modified>
  <cp:category/>
</cp:coreProperties>
</file>