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4E79"/>
          <w:sz w:val="32"/>
          <w:szCs w:val="32"/>
        </w:rPr>
        <w:t xml:space="preserve">FRTB Index Look-Through: When Required, When Not</w:t>
      </w:r>
    </w:p>
    <w:p>
      <w:pPr>
        <w:pBdr>
          <w:bottom w:val="single" w:color="2E75B6" w:sz="4" w:space="6"/>
        </w:pBdr>
        <w:spacing w:after="200"/>
      </w:pPr>
      <w:r>
        <w:rPr>
          <w:rFonts w:ascii="Arial" w:cs="Arial" w:eastAsia="Arial" w:hAnsi="Arial"/>
          <w:i/>
          <w:iCs/>
          <w:color w:val="666666"/>
          <w:sz w:val="20"/>
          <w:szCs w:val="20"/>
        </w:rPr>
        <w:t xml:space="preserve">MAR21.31–34  |  Application to BCOMTR Commodity Index TRS</w:t>
      </w:r>
    </w:p>
    <w:p>
      <w:pPr>
        <w:pStyle w:val="Heading1"/>
      </w:pPr>
      <w:r>
        <w:t xml:space="preserve">The rule</w:t>
      </w:r>
    </w:p>
    <w:p>
      <w:pPr>
        <w:spacing w:after="120" w:line="276"/>
      </w:pPr>
      <w:r>
        <w:rPr>
          <w:rFonts w:ascii="Arial" w:cs="Arial" w:eastAsia="Arial" w:hAnsi="Arial"/>
          <w:sz w:val="21"/>
          <w:szCs w:val="21"/>
        </w:rPr>
        <w:t xml:space="preserve">MAR21.34 states: a look-through approach must always be used for index instruments that do not meet the exemption criteria in MAR21.31. Look-through means decomposing the index into its individual constituents and treating each as a separate sensitivity in the delta and curvature calculations. The default position is look-through. The exemption is the exception.</w:t>
      </w:r>
    </w:p>
    <w:p>
      <w:pPr>
        <w:pStyle w:val="Heading1"/>
      </w:pPr>
      <w:r>
        <w:t xml:space="preserve">The five exemption criteria (MAR21.31)</w:t>
      </w:r>
    </w:p>
    <w:p>
      <w:pPr>
        <w:spacing w:after="120" w:line="276"/>
      </w:pPr>
      <w:r>
        <w:rPr>
          <w:rFonts w:ascii="Arial" w:cs="Arial" w:eastAsia="Arial" w:hAnsi="Arial"/>
          <w:sz w:val="21"/>
          <w:szCs w:val="21"/>
        </w:rPr>
        <w:t xml:space="preserve">A bank may opt not to apply look-through for instruments referencing a listed and widely recognised index, provided all five conditions are met simultaneously:</w:t>
      </w:r>
    </w:p>
    <w:p>
      <w:pPr>
        <w:pStyle w:val="ListParagraph"/>
        <w:numPr>
          <w:ilvl w:val="0"/>
          <w:numId w:val="2"/>
        </w:numPr>
        <w:spacing w:after="60" w:line="260"/>
      </w:pPr>
      <w:r>
        <w:rPr>
          <w:rFonts w:ascii="Arial" w:cs="Arial" w:eastAsia="Arial" w:hAnsi="Arial"/>
          <w:sz w:val="21"/>
          <w:szCs w:val="21"/>
        </w:rPr>
        <w:t xml:space="preserve">It is possible to look through the index (constituents and weights are known)</w:t>
      </w:r>
    </w:p>
    <w:p>
      <w:pPr>
        <w:pStyle w:val="ListParagraph"/>
        <w:numPr>
          <w:ilvl w:val="0"/>
          <w:numId w:val="2"/>
        </w:numPr>
        <w:spacing w:after="60" w:line="260"/>
      </w:pPr>
      <w:r>
        <w:rPr>
          <w:rFonts w:ascii="Arial" w:cs="Arial" w:eastAsia="Arial" w:hAnsi="Arial"/>
          <w:sz w:val="21"/>
          <w:szCs w:val="21"/>
        </w:rPr>
        <w:t xml:space="preserve">The index contains at least 20 constituents</w:t>
      </w:r>
    </w:p>
    <w:p>
      <w:pPr>
        <w:pStyle w:val="ListParagraph"/>
        <w:numPr>
          <w:ilvl w:val="0"/>
          <w:numId w:val="2"/>
        </w:numPr>
        <w:spacing w:after="60" w:line="260"/>
      </w:pPr>
      <w:r>
        <w:rPr>
          <w:rFonts w:ascii="Arial" w:cs="Arial" w:eastAsia="Arial" w:hAnsi="Arial"/>
          <w:sz w:val="21"/>
          <w:szCs w:val="21"/>
        </w:rPr>
        <w:t xml:space="preserve">No single constituent represents more than 25% of the total index</w:t>
      </w:r>
    </w:p>
    <w:p>
      <w:pPr>
        <w:pStyle w:val="ListParagraph"/>
        <w:numPr>
          <w:ilvl w:val="0"/>
          <w:numId w:val="2"/>
        </w:numPr>
        <w:spacing w:after="60" w:line="260"/>
      </w:pPr>
      <w:r>
        <w:rPr>
          <w:rFonts w:ascii="Arial" w:cs="Arial" w:eastAsia="Arial" w:hAnsi="Arial"/>
          <w:sz w:val="21"/>
          <w:szCs w:val="21"/>
        </w:rPr>
        <w:t xml:space="preserve">The largest 10% of constituents represents less than 60% of the total index</w:t>
      </w:r>
    </w:p>
    <w:p>
      <w:pPr>
        <w:pStyle w:val="ListParagraph"/>
        <w:numPr>
          <w:ilvl w:val="0"/>
          <w:numId w:val="2"/>
        </w:numPr>
        <w:spacing w:after="60" w:line="260"/>
      </w:pPr>
      <w:r>
        <w:rPr>
          <w:rFonts w:ascii="Arial" w:cs="Arial" w:eastAsia="Arial" w:hAnsi="Arial"/>
          <w:sz w:val="21"/>
          <w:szCs w:val="21"/>
        </w:rPr>
        <w:t xml:space="preserve">The total market capitalisation of all constituents is no less than USD 40 billion</w:t>
      </w:r>
    </w:p>
    <w:p>
      <w:pPr>
        <w:spacing w:after="120" w:line="276"/>
      </w:pPr>
      <w:r>
        <w:rPr>
          <w:rFonts w:ascii="Arial" w:cs="Arial" w:eastAsia="Arial" w:hAnsi="Arial"/>
          <w:sz w:val="21"/>
          <w:szCs w:val="21"/>
        </w:rPr>
        <w:t xml:space="preserve">If all five are satisfied, the bank may treat the index as a single sensitivity and map it to the relevant index bucket (equity bucket 12 or 13, CSR bucket 17 or 18) rather than decomposing it. This is a capital-efficiency trade-off: simpler calculation but no intra-bucket diversification benefit.</w:t>
      </w:r>
    </w:p>
    <w:p>
      <w:pPr>
        <w:pStyle w:val="Heading1"/>
      </w:pPr>
      <w:r>
        <w:t xml:space="preserve">Application by risk class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Risk class</w:t>
            </w:r>
          </w:p>
        </w:tc>
        <w:tc>
          <w:tcPr>
            <w:tcW w:type="dxa" w:w="2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Exemption available?</w:t>
            </w:r>
          </w:p>
        </w:tc>
        <w:tc>
          <w:tcPr>
            <w:tcW w:type="dxa" w:w="34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Reasoning</w:t>
            </w:r>
          </w:p>
        </w:tc>
        <w:tc>
          <w:tcPr>
            <w:tcW w:type="dxa" w:w="30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Typical treatment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Equity</w:t>
            </w:r>
          </w:p>
        </w:tc>
        <w:tc>
          <w:tcPr>
            <w:tcW w:type="dxa" w:w="20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18"/>
                <w:szCs w:val="18"/>
              </w:rPr>
              <w:t xml:space="preserve">Yes — if all 5 criteria met</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MAR21.31 explicitly designed for equity indices. Market cap test (criterion 5) is directly measurable. SPX, FTSE 100, Euro Stoxx 50 all qualify.</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SPX mapped to bucket 12 (large cap, advanced economy indices). No look-through needed.</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CSR (credit)</w:t>
            </w:r>
          </w:p>
        </w:tc>
        <w:tc>
          <w:tcPr>
            <w:tcW w:type="dxa" w:w="20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sz w:val="18"/>
                <w:szCs w:val="18"/>
              </w:rPr>
              <w:t xml:space="preserve">Yes — if all 5 criteria met</w:t>
            </w:r>
          </w:p>
        </w:tc>
        <w:tc>
          <w:tcPr>
            <w:tcW w:type="dxa" w:w="3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MAR21.33 provides index buckets 17 (IG indices) and 18 (HY indices) for credit indices meeting the criteria. CDX IG, iTraxx Main typically qualify.</w:t>
            </w:r>
          </w:p>
        </w:tc>
        <w:tc>
          <w:tcPr>
            <w:tcW w:type="dxa" w:w="3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CDX IG mapped to bucket 17. No look-through needed.</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Commodity</w:t>
            </w:r>
          </w:p>
        </w:tc>
        <w:tc>
          <w:tcPr>
            <w:tcW w:type="dxa" w:w="20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r>
              <w:rPr>
                <w:rFonts w:ascii="Arial" w:cs="Arial" w:eastAsia="Arial" w:hAnsi="Arial"/>
                <w:sz w:val="18"/>
                <w:szCs w:val="18"/>
              </w:rPr>
              <w:t xml:space="preserve">No — criterion 5 cannot be met</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Criterion 5 requires total market capitalisation ≥ $40bn. Commodity futures do not have market capitalisation in the equity sense. No commodity index bucket exists in MAR21.82. MAR21.34 mandates look-through when criteria are not met.</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Must look through to individual constituents. Each mapped to its correct bucket in Table 11.</w:t>
            </w:r>
          </w:p>
        </w:tc>
      </w:tr>
    </w:tbl>
    <w:p>
      <w:pPr>
        <w:spacing w:after="120"/>
      </w:pPr>
    </w:p>
    <w:p>
      <w:pPr>
        <w:pStyle w:val="Heading1"/>
      </w:pPr>
      <w:r>
        <w:t xml:space="preserve">Why BCOMTR requires look-through</w:t>
      </w:r>
    </w:p>
    <w:p>
      <w:pPr>
        <w:spacing w:after="120" w:line="276"/>
      </w:pPr>
      <w:r>
        <w:rPr>
          <w:rFonts w:ascii="Arial" w:cs="Arial" w:eastAsia="Arial" w:hAnsi="Arial"/>
          <w:sz w:val="21"/>
          <w:szCs w:val="21"/>
        </w:rPr>
        <w:t xml:space="preserve">The Bloomberg Commodity Total Return Index (BCOMTR) is composed of 25 exchange-traded commodity futures. It satisfies criteria 1 through 4: constituents and weights are publicly known, there are 25 constituents (above the 20 minimum), no single commodity exceeds 15% (below the 25% cap), and the index is well-diversified with sector caps at 33%.</w:t>
      </w:r>
    </w:p>
    <w:p>
      <w:pPr>
        <w:spacing w:after="120" w:line="276"/>
      </w:pPr>
      <w:r>
        <w:rPr>
          <w:rFonts w:ascii="Arial" w:cs="Arial" w:eastAsia="Arial" w:hAnsi="Arial"/>
          <w:sz w:val="21"/>
          <w:szCs w:val="21"/>
        </w:rPr>
        <w:t xml:space="preserve">However, criterion 5 — the USD 40 billion market capitalisation test — cannot be satisfied. Commodity futures contracts do not have a market capitalisation. A barrel of oil has a spot price and a futures curve, but no equity-like capitalisation measure. This criterion was written for equity and credit indices where constituent companies have observable market caps. It has no meaningful analogue in commodity markets.</w:t>
      </w:r>
    </w:p>
    <w:p>
      <w:pPr>
        <w:spacing w:after="120" w:line="276"/>
      </w:pPr>
      <w:r>
        <w:rPr>
          <w:rFonts w:ascii="Arial" w:cs="Arial" w:eastAsia="Arial" w:hAnsi="Arial"/>
          <w:sz w:val="21"/>
          <w:szCs w:val="21"/>
        </w:rPr>
        <w:t xml:space="preserve">Since criterion 5 fails, MAR21.34 applies: look-through is mandatory. Each of the 25 BCOMTR constituents must be treated as a separate commodity delta sensitivity and assigned to the appropriate FRTB commodity bucket in Table 11 (MAR21.82). There is no commodity index bucket equivalent to equity’s bucket 12 or CSR’s bucket 17.</w:t>
      </w:r>
    </w:p>
    <w:p>
      <w:pPr>
        <w:pStyle w:val="Heading1"/>
      </w:pPr>
      <w:r>
        <w:t xml:space="preserve">Capital impact of look-through</w:t>
      </w:r>
    </w:p>
    <w:p>
      <w:pPr>
        <w:spacing w:after="120" w:line="276"/>
      </w:pPr>
      <w:r>
        <w:rPr>
          <w:rFonts w:ascii="Arial" w:cs="Arial" w:eastAsia="Arial" w:hAnsi="Arial"/>
          <w:sz w:val="21"/>
          <w:szCs w:val="21"/>
        </w:rPr>
        <w:t xml:space="preserve">Look-through is not only the regulatory requirement — it also produces a lower capital charge. Full decomposition into 25 constituents across 7 FRTB buckets allows within-bucket diversification via the prescribed intra-bucket correlations (MAR21.83, Table 12). These range from 15% for livestock to 95% for liquid combustibles. Without look-through, each sub-group would be treated as a single undiversified position, implicitly assuming 100% intra-group correlation and forfeiting the diversification benefit that the regulation explicitly provides for.</w:t>
      </w:r>
    </w:p>
    <w:p>
      <w:pPr>
        <w:spacing w:after="60"/>
      </w:pPr>
    </w:p>
    <w:p>
      <w:pPr>
        <w:pBdr>
          <w:top w:val="single" w:color="CCCCCC" w:sz="2" w:space="8"/>
        </w:pBdr>
        <w:spacing w:before="120"/>
      </w:pPr>
      <w:r>
        <w:rPr>
          <w:rFonts w:ascii="Arial" w:cs="Arial" w:eastAsia="Arial" w:hAnsi="Arial"/>
          <w:i/>
          <w:iCs/>
          <w:color w:val="888888"/>
          <w:sz w:val="18"/>
          <w:szCs w:val="18"/>
        </w:rPr>
        <w:t xml:space="preserve">Regulatory references: MAR21.31 (exemption criteria), MAR21.33 (index bucket mapping), MAR21.34 (mandatory look-through), MAR21.82 (commodity buckets), MAR21.83 (commodity correlations).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space="4"/>
      </w:pBdr>
      <w:spacing w:after="120" w:before="24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2026-04-03T09:52:01.895Z</dcterms:created>
  <dcterms:modified xsi:type="dcterms:W3CDTF">2026-04-03T09:52:01.896Z</dcterms:modified>
</cp:coreProperties>
</file>

<file path=docProps/custom.xml><?xml version="1.0" encoding="utf-8"?>
<Properties xmlns="http://schemas.openxmlformats.org/officeDocument/2006/custom-properties" xmlns:vt="http://schemas.openxmlformats.org/officeDocument/2006/docPropsVTypes"/>
</file>