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0352" w14:textId="77777777" w:rsidR="00487081" w:rsidRDefault="00487081">
      <w:pPr>
        <w:spacing w:before="3600"/>
      </w:pPr>
    </w:p>
    <w:p w14:paraId="7D201E3A" w14:textId="77777777" w:rsidR="00487081" w:rsidRDefault="00000000">
      <w:pPr>
        <w:spacing w:after="200"/>
        <w:jc w:val="center"/>
      </w:pPr>
      <w:r>
        <w:rPr>
          <w:b/>
          <w:bCs/>
          <w:color w:val="1F4E79"/>
          <w:sz w:val="56"/>
          <w:szCs w:val="56"/>
        </w:rPr>
        <w:t>GIRR Vega Risk Charge</w:t>
      </w:r>
    </w:p>
    <w:p w14:paraId="5434952C" w14:textId="77777777" w:rsidR="00487081" w:rsidRDefault="00000000">
      <w:pPr>
        <w:spacing w:after="100"/>
        <w:jc w:val="center"/>
      </w:pPr>
      <w:r>
        <w:rPr>
          <w:color w:val="2E75B6"/>
          <w:sz w:val="40"/>
          <w:szCs w:val="40"/>
        </w:rPr>
        <w:t>Methodology Deep Dive</w:t>
      </w:r>
    </w:p>
    <w:p w14:paraId="004BADCD" w14:textId="77777777" w:rsidR="00487081" w:rsidRDefault="00000000">
      <w:pPr>
        <w:pBdr>
          <w:bottom w:val="single" w:sz="8" w:space="8" w:color="2E75B6"/>
        </w:pBdr>
        <w:spacing w:after="600"/>
        <w:jc w:val="center"/>
      </w:pPr>
      <w:r>
        <w:rPr>
          <w:color w:val="555555"/>
          <w:sz w:val="28"/>
          <w:szCs w:val="28"/>
        </w:rPr>
        <w:t>Correlation, Interpolation, and Capital Calculation</w:t>
      </w:r>
    </w:p>
    <w:p w14:paraId="72574BC4" w14:textId="77777777" w:rsidR="00487081" w:rsidRDefault="00487081">
      <w:pPr>
        <w:spacing w:after="200"/>
      </w:pPr>
    </w:p>
    <w:p w14:paraId="1A02842F" w14:textId="77777777" w:rsidR="00487081" w:rsidRDefault="00000000">
      <w:pPr>
        <w:jc w:val="center"/>
      </w:pPr>
      <w:r>
        <w:rPr>
          <w:color w:val="666666"/>
          <w:sz w:val="24"/>
          <w:szCs w:val="24"/>
        </w:rPr>
        <w:t>FRTB Standardised Approach  |  MAR21.8, MAR21.25, MAR21.92-95</w:t>
      </w:r>
    </w:p>
    <w:p w14:paraId="6D95C92D" w14:textId="77777777" w:rsidR="00487081" w:rsidRDefault="00000000">
      <w:pPr>
        <w:spacing w:after="100"/>
        <w:jc w:val="center"/>
      </w:pPr>
      <w:r>
        <w:rPr>
          <w:color w:val="666666"/>
          <w:sz w:val="24"/>
          <w:szCs w:val="24"/>
        </w:rPr>
        <w:t>March 2026</w:t>
      </w:r>
    </w:p>
    <w:p w14:paraId="2653B5D7" w14:textId="77777777" w:rsidR="00487081" w:rsidRDefault="00487081">
      <w:pPr>
        <w:sectPr w:rsidR="00487081">
          <w:pgSz w:w="12240" w:h="15840"/>
          <w:pgMar w:top="1440" w:right="1440" w:bottom="1440" w:left="1440" w:header="708" w:footer="708" w:gutter="0"/>
          <w:cols w:space="720"/>
          <w:docGrid w:linePitch="360"/>
        </w:sectPr>
      </w:pPr>
    </w:p>
    <w:p w14:paraId="7473C18F" w14:textId="77777777" w:rsidR="00487081" w:rsidRDefault="00000000">
      <w:pPr>
        <w:pStyle w:val="Heading1"/>
      </w:pPr>
      <w:r>
        <w:t>1. What is GIRR Vega Risk?</w:t>
      </w:r>
    </w:p>
    <w:p w14:paraId="17D57D98" w14:textId="5C2290F4" w:rsidR="00487081" w:rsidRDefault="00000000">
      <w:pPr>
        <w:spacing w:after="120"/>
      </w:pPr>
      <w:r>
        <w:t>Vega risk captures the sensitivity of an instrument's value to changes in implied volatility. For GIRR, this means: how much does the value of an interest rate option (or a bond with an embedded option) change when the implied volatility of interest rates moves</w:t>
      </w:r>
    </w:p>
    <w:p w14:paraId="743FE065" w14:textId="58B7CA89" w:rsidR="00487081" w:rsidRDefault="00000000">
      <w:pPr>
        <w:spacing w:after="120"/>
      </w:pPr>
      <w:r>
        <w:t xml:space="preserve">In </w:t>
      </w:r>
      <w:r w:rsidR="005C6183">
        <w:t xml:space="preserve">my </w:t>
      </w:r>
      <w:r>
        <w:t>portfolio, only the three callable bonds (Pfizer, Chevron, Boeing) generate GIRR vega. Plain vanilla bonds, equities, and linear instruments have zero vega because their cash flows are deterministic and do not depend on any volatility parameter.</w:t>
      </w:r>
    </w:p>
    <w:p w14:paraId="51907B07" w14:textId="77777777" w:rsidR="00487081" w:rsidRDefault="00000000">
      <w:pPr>
        <w:spacing w:after="120"/>
      </w:pPr>
      <w:r>
        <w:rPr>
          <w:i/>
          <w:iCs/>
          <w:color w:val="666666"/>
          <w:sz w:val="20"/>
          <w:szCs w:val="20"/>
        </w:rPr>
        <w:t>Regulatory reference: MAR21.2 — instruments with optionality are subject to vega risk capital requirements.</w:t>
      </w:r>
    </w:p>
    <w:p w14:paraId="2ECC8A98" w14:textId="77777777" w:rsidR="00487081" w:rsidRDefault="00000000">
      <w:pPr>
        <w:pStyle w:val="Heading1"/>
      </w:pPr>
      <w:r>
        <w:t>2. The Two-Dimensional Risk Factor Grid</w:t>
      </w:r>
    </w:p>
    <w:p w14:paraId="77EDB4E5" w14:textId="77777777" w:rsidR="00487081" w:rsidRDefault="00000000">
      <w:pPr>
        <w:spacing w:after="120"/>
      </w:pPr>
      <w:r>
        <w:t>GIRR vega is unique among FRTB risk classes because its risk factors are defined along two dimensions (MAR21.8(4)):</w:t>
      </w:r>
    </w:p>
    <w:p w14:paraId="7541A090" w14:textId="77777777" w:rsidR="00487081" w:rsidRDefault="00000000">
      <w:pPr>
        <w:spacing w:after="120"/>
      </w:pPr>
      <w:r>
        <w:rPr>
          <w:b/>
          <w:bCs/>
        </w:rPr>
        <w:t xml:space="preserve">Dimension 1 — Option maturity: </w:t>
      </w:r>
      <w:r>
        <w:t>the time from today until the option expires. For a callable bond, this is the time until the first (or relevant) call date. Mapped to prescribed tenors: 0.5Y, 1Y, 3Y, 5Y, 10Y.</w:t>
      </w:r>
    </w:p>
    <w:p w14:paraId="71B99963" w14:textId="77777777" w:rsidR="00487081" w:rsidRDefault="00000000">
      <w:pPr>
        <w:spacing w:after="120"/>
      </w:pPr>
      <w:r>
        <w:rPr>
          <w:b/>
          <w:bCs/>
        </w:rPr>
        <w:t xml:space="preserve">Dimension 2 — Underlying residual maturity: </w:t>
      </w:r>
      <w:r>
        <w:t>the remaining life of the underlying instrument after the option expires. For a callable bond, this is the time from the call date to the bond's maturity. Also mapped to: 0.5Y, 1Y, 3Y, 5Y, 10Y.</w:t>
      </w:r>
    </w:p>
    <w:p w14:paraId="783E6C83" w14:textId="77777777" w:rsidR="00487081" w:rsidRDefault="00000000">
      <w:pPr>
        <w:spacing w:after="120"/>
      </w:pPr>
      <w:r>
        <w:t>This creates a 5×5 = 25-cell grid of possible vega risk factors per currency bucket. Each cell represents a distinct implied volatility point on a swaption-like vol surface.</w:t>
      </w:r>
    </w:p>
    <w:p w14:paraId="0DD5E00B" w14:textId="77777777" w:rsidR="00487081" w:rsidRDefault="00000000">
      <w:pPr>
        <w:spacing w:after="120"/>
      </w:pPr>
      <w:r>
        <w:rPr>
          <w:i/>
          <w:iCs/>
          <w:color w:val="666666"/>
          <w:sz w:val="20"/>
          <w:szCs w:val="20"/>
        </w:rPr>
        <w:t>Why two dimensions? Because the volatility of a 1-year option on a 5-year swap is fundamentally different from the volatility of a 5-year option on a 1-year swap, even though both involve 'interest rate volatility'. The grid forces banks to capture this term structure of vol.</w:t>
      </w:r>
    </w:p>
    <w:p w14:paraId="6100C29D" w14:textId="77777777" w:rsidR="00487081" w:rsidRDefault="00000000">
      <w:pPr>
        <w:pStyle w:val="Heading2"/>
      </w:pPr>
      <w:r>
        <w:t>Contrast with equity/FX/commodity vega</w:t>
      </w:r>
    </w:p>
    <w:p w14:paraId="7536D8D9" w14:textId="77777777" w:rsidR="00487081" w:rsidRDefault="00000000">
      <w:pPr>
        <w:spacing w:after="120"/>
      </w:pPr>
      <w:r>
        <w:t>For equity, commodity, and FX risk classes, vega is one-dimensional — only the option maturity matters (MAR21.12(2), MAR21.13(2), MAR21.14(2)). There is no 'underlying residual maturity' concept because the underlying is a spot price, not a term instrument. This makes GIRR vega the most complex vega calculation in FRTB.</w:t>
      </w:r>
    </w:p>
    <w:p w14:paraId="5429F88A" w14:textId="26206D88" w:rsidR="00487081" w:rsidRDefault="00000000">
      <w:pPr>
        <w:pStyle w:val="Heading1"/>
      </w:pPr>
      <w:r>
        <w:t xml:space="preserve">3. Mapping </w:t>
      </w:r>
      <w:r w:rsidR="00ED1934">
        <w:t>My</w:t>
      </w:r>
      <w:r>
        <w:t xml:space="preserve"> Callable Bonds to the Grid</w:t>
      </w:r>
    </w:p>
    <w:p w14:paraId="69309BC6" w14:textId="77777777" w:rsidR="00487081" w:rsidRDefault="00000000">
      <w:pPr>
        <w:spacing w:after="120"/>
      </w:pPr>
      <w:r>
        <w:t>Each callable bond maps to the vega grid based on its call structure: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000"/>
        <w:gridCol w:w="1800"/>
        <w:gridCol w:w="1800"/>
        <w:gridCol w:w="2160"/>
      </w:tblGrid>
      <w:tr w:rsidR="00487081" w14:paraId="6E630FE0"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D4EC60" w14:textId="77777777" w:rsidR="00487081" w:rsidRDefault="00000000">
            <w:r>
              <w:rPr>
                <w:b/>
                <w:bCs/>
                <w:color w:val="FFFFFF"/>
                <w:sz w:val="18"/>
                <w:szCs w:val="18"/>
              </w:rPr>
              <w:t>Bond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7CD280" w14:textId="77777777" w:rsidR="00487081" w:rsidRDefault="00000000">
            <w:r>
              <w:rPr>
                <w:b/>
                <w:bCs/>
                <w:color w:val="FFFFFF"/>
                <w:sz w:val="18"/>
                <w:szCs w:val="18"/>
              </w:rPr>
              <w:t>Call Date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EA4581C" w14:textId="77777777" w:rsidR="00487081" w:rsidRDefault="00000000">
            <w:r>
              <w:rPr>
                <w:b/>
                <w:bCs/>
                <w:color w:val="FFFFFF"/>
                <w:sz w:val="18"/>
                <w:szCs w:val="18"/>
              </w:rPr>
              <w:t>Maturity</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D4FB51" w14:textId="77777777" w:rsidR="00487081" w:rsidRDefault="00000000">
            <w:r>
              <w:rPr>
                <w:b/>
                <w:bCs/>
                <w:color w:val="FFFFFF"/>
                <w:sz w:val="18"/>
                <w:szCs w:val="18"/>
              </w:rPr>
              <w:t>Option Mat. (from 5 Feb 2026)</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BA47C4" w14:textId="77777777" w:rsidR="00487081" w:rsidRDefault="00000000">
            <w:r>
              <w:rPr>
                <w:b/>
                <w:bCs/>
                <w:color w:val="FFFFFF"/>
                <w:sz w:val="18"/>
                <w:szCs w:val="18"/>
              </w:rPr>
              <w:t>Underlying Residual Mat.</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5FEF11" w14:textId="77777777" w:rsidR="00487081" w:rsidRDefault="00000000">
            <w:r>
              <w:rPr>
                <w:b/>
                <w:bCs/>
                <w:color w:val="FFFFFF"/>
                <w:sz w:val="18"/>
                <w:szCs w:val="18"/>
              </w:rPr>
              <w:t>Grid Cell</w:t>
            </w:r>
          </w:p>
        </w:tc>
      </w:tr>
      <w:tr w:rsidR="00487081" w14:paraId="7C7482E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5071F" w14:textId="77777777" w:rsidR="00487081" w:rsidRDefault="00000000">
            <w:r>
              <w:rPr>
                <w:sz w:val="18"/>
                <w:szCs w:val="18"/>
              </w:rPr>
              <w:t>Pfizer 2030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F2F1D" w14:textId="77777777" w:rsidR="00487081" w:rsidRDefault="00000000">
            <w:r>
              <w:rPr>
                <w:sz w:val="18"/>
                <w:szCs w:val="18"/>
              </w:rPr>
              <w:t>~Feb 2027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F593C" w14:textId="77777777" w:rsidR="00487081" w:rsidRDefault="00000000">
            <w:r>
              <w:rPr>
                <w:sz w:val="18"/>
                <w:szCs w:val="18"/>
              </w:rPr>
              <w:t>2030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F0346" w14:textId="77777777" w:rsidR="00487081" w:rsidRDefault="00000000">
            <w:r>
              <w:rPr>
                <w:sz w:val="18"/>
                <w:szCs w:val="18"/>
              </w:rPr>
              <w:t>1.0Y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D8246" w14:textId="77777777" w:rsidR="00487081" w:rsidRDefault="00000000">
            <w:r>
              <w:rPr>
                <w:sz w:val="18"/>
                <w:szCs w:val="18"/>
              </w:rPr>
              <w:t>3.0Y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B9C35" w14:textId="77777777" w:rsidR="00487081" w:rsidRDefault="00000000">
            <w:r>
              <w:rPr>
                <w:sz w:val="18"/>
                <w:szCs w:val="18"/>
              </w:rPr>
              <w:t>(1Y, 3Y)</w:t>
            </w:r>
          </w:p>
        </w:tc>
      </w:tr>
      <w:tr w:rsidR="00487081" w14:paraId="7D1DE3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CFD109" w14:textId="77777777" w:rsidR="00487081" w:rsidRDefault="00000000">
            <w:r>
              <w:rPr>
                <w:sz w:val="18"/>
                <w:szCs w:val="18"/>
              </w:rPr>
              <w:t>Chevron 2029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930163" w14:textId="77777777" w:rsidR="00487081" w:rsidRDefault="00000000">
            <w:r>
              <w:rPr>
                <w:sz w:val="18"/>
                <w:szCs w:val="18"/>
              </w:rPr>
              <w:t>~Aug 2026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A918DF" w14:textId="77777777" w:rsidR="00487081" w:rsidRDefault="00000000">
            <w:r>
              <w:rPr>
                <w:sz w:val="18"/>
                <w:szCs w:val="18"/>
              </w:rPr>
              <w:t>2029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2BD7B0" w14:textId="77777777" w:rsidR="00487081" w:rsidRDefault="00000000">
            <w:r>
              <w:rPr>
                <w:sz w:val="18"/>
                <w:szCs w:val="18"/>
              </w:rPr>
              <w:t>0.5Y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FE4903" w14:textId="77777777" w:rsidR="00487081" w:rsidRDefault="00000000">
            <w:r>
              <w:rPr>
                <w:sz w:val="18"/>
                <w:szCs w:val="18"/>
              </w:rPr>
              <w:t>3.0Y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43E7BC" w14:textId="77777777" w:rsidR="00487081" w:rsidRDefault="00000000">
            <w:r>
              <w:rPr>
                <w:sz w:val="18"/>
                <w:szCs w:val="18"/>
              </w:rPr>
              <w:t>(0.5Y, 3Y)</w:t>
            </w:r>
          </w:p>
        </w:tc>
      </w:tr>
      <w:tr w:rsidR="00487081" w14:paraId="30CAA9A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D74EC" w14:textId="77777777" w:rsidR="00487081" w:rsidRDefault="00000000">
            <w:r>
              <w:rPr>
                <w:sz w:val="18"/>
                <w:szCs w:val="18"/>
              </w:rPr>
              <w:t>Boeing 2030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B7041" w14:textId="77777777" w:rsidR="00487081" w:rsidRDefault="00000000">
            <w:r>
              <w:rPr>
                <w:sz w:val="18"/>
                <w:szCs w:val="18"/>
              </w:rPr>
              <w:t>~Aug 2027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E4475" w14:textId="77777777" w:rsidR="00487081" w:rsidRDefault="00000000">
            <w:r>
              <w:rPr>
                <w:sz w:val="18"/>
                <w:szCs w:val="18"/>
              </w:rPr>
              <w:t>2030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3FD" w14:textId="77777777" w:rsidR="00487081" w:rsidRDefault="00000000">
            <w:r>
              <w:rPr>
                <w:sz w:val="18"/>
                <w:szCs w:val="18"/>
              </w:rPr>
              <w:t>1.5Y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6BF53" w14:textId="77777777" w:rsidR="00487081" w:rsidRDefault="00000000">
            <w:r>
              <w:rPr>
                <w:sz w:val="18"/>
                <w:szCs w:val="18"/>
              </w:rPr>
              <w:t>3.0Y</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6B8C1" w14:textId="77777777" w:rsidR="00487081" w:rsidRDefault="00000000">
            <w:r>
              <w:rPr>
                <w:sz w:val="18"/>
                <w:szCs w:val="18"/>
              </w:rPr>
              <w:t>Split: 75% to (1Y, 3Y), 25% to (3Y, 3Y)</w:t>
            </w:r>
          </w:p>
        </w:tc>
      </w:tr>
    </w:tbl>
    <w:p w14:paraId="69DAD723" w14:textId="77777777" w:rsidR="00487081" w:rsidRDefault="00487081">
      <w:pPr>
        <w:spacing w:after="200"/>
      </w:pPr>
    </w:p>
    <w:p w14:paraId="0B7C3C66" w14:textId="77777777" w:rsidR="00487081" w:rsidRDefault="00000000">
      <w:pPr>
        <w:spacing w:after="120"/>
      </w:pPr>
      <w:r>
        <w:t>Notice that Boeing's option maturity of 1.5 years does not land on a prescribed tenor vertex. It must be interpolated.</w:t>
      </w:r>
    </w:p>
    <w:p w14:paraId="3825D100" w14:textId="77777777" w:rsidR="00487081" w:rsidRDefault="00000000">
      <w:pPr>
        <w:pStyle w:val="Heading1"/>
      </w:pPr>
      <w:r>
        <w:t>4. Interpolation Between Tenor Vertices</w:t>
      </w:r>
    </w:p>
    <w:p w14:paraId="1DCFAC77" w14:textId="77777777" w:rsidR="00487081" w:rsidRDefault="00000000">
      <w:pPr>
        <w:spacing w:after="120"/>
      </w:pPr>
      <w:r>
        <w:t>When an option's maturity or underlying maturity falls between two prescribed vertices, the sensitivity must be split across the two adjacent vertices using linear interpolation (MAR21.8, footnote 3).</w:t>
      </w:r>
    </w:p>
    <w:p w14:paraId="4318254D" w14:textId="77777777" w:rsidR="00487081" w:rsidRDefault="00000000">
      <w:pPr>
        <w:pStyle w:val="Heading2"/>
      </w:pPr>
      <w:r>
        <w:t>Boeing interpolation worked example</w:t>
      </w:r>
    </w:p>
    <w:p w14:paraId="105BCD2C" w14:textId="77777777" w:rsidR="00487081" w:rsidRDefault="00000000">
      <w:pPr>
        <w:spacing w:after="120"/>
      </w:pPr>
      <w:r>
        <w:t>Boeing's option maturity is 1.5 years, which falls between the 1Y and 3Y vertices:</w:t>
      </w:r>
    </w:p>
    <w:p w14:paraId="2CDACE6D" w14:textId="77777777" w:rsidR="00487081" w:rsidRDefault="00000000">
      <w:pPr>
        <w:spacing w:after="120"/>
      </w:pPr>
      <w:r>
        <w:rPr>
          <w:b/>
          <w:bCs/>
        </w:rPr>
        <w:t xml:space="preserve">Weight on 1Y vertex: </w:t>
      </w:r>
      <w:r>
        <w:t>(3.0 − 1.5) / (3.0 − 1.0) = 1.5 / 2.0 = 75%</w:t>
      </w:r>
    </w:p>
    <w:p w14:paraId="612E0356" w14:textId="77777777" w:rsidR="00487081" w:rsidRDefault="00000000">
      <w:pPr>
        <w:spacing w:after="120"/>
      </w:pPr>
      <w:r>
        <w:rPr>
          <w:b/>
          <w:bCs/>
        </w:rPr>
        <w:t xml:space="preserve">Weight on 3Y vertex: </w:t>
      </w:r>
      <w:r>
        <w:t>(1.5 − 1.0) / (3.0 − 1.0) = 0.5 / 2.0 = 25%</w:t>
      </w:r>
    </w:p>
    <w:p w14:paraId="3D42EEFB" w14:textId="77777777" w:rsidR="00487081" w:rsidRDefault="00000000">
      <w:pPr>
        <w:spacing w:after="120"/>
      </w:pPr>
      <w:r>
        <w:t>If Boeing's total FRTB vega sensitivity is −16.50, then:</w:t>
      </w:r>
    </w:p>
    <w:p w14:paraId="4BD6ECDF" w14:textId="77777777" w:rsidR="00487081" w:rsidRDefault="00000000">
      <w:pPr>
        <w:pStyle w:val="ListParagraph"/>
        <w:numPr>
          <w:ilvl w:val="0"/>
          <w:numId w:val="2"/>
        </w:numPr>
        <w:spacing w:after="80"/>
      </w:pPr>
      <w:r>
        <w:t>−16.50 × 75% = −12.375 allocated to the (1Y, 3Y) risk factor</w:t>
      </w:r>
    </w:p>
    <w:p w14:paraId="0F4A111D" w14:textId="77777777" w:rsidR="00487081" w:rsidRDefault="00000000">
      <w:pPr>
        <w:pStyle w:val="ListParagraph"/>
        <w:numPr>
          <w:ilvl w:val="0"/>
          <w:numId w:val="2"/>
        </w:numPr>
        <w:spacing w:after="80"/>
      </w:pPr>
      <w:r>
        <w:t>−16.50 × 25% = −4.125 allocated to the (3Y, 3Y) risk factor</w:t>
      </w:r>
    </w:p>
    <w:p w14:paraId="277F40CE" w14:textId="00889F0C" w:rsidR="00487081" w:rsidRDefault="00000000">
      <w:pPr>
        <w:spacing w:after="120"/>
      </w:pPr>
      <w:r>
        <w:rPr>
          <w:i/>
          <w:iCs/>
          <w:color w:val="666666"/>
          <w:sz w:val="20"/>
          <w:szCs w:val="20"/>
        </w:rPr>
        <w:t xml:space="preserve">The sensitivity is what gets interpolated — not the volatility, not the risk weight. </w:t>
      </w:r>
      <w:r w:rsidR="00ED1934">
        <w:rPr>
          <w:i/>
          <w:iCs/>
          <w:color w:val="666666"/>
          <w:sz w:val="20"/>
          <w:szCs w:val="20"/>
        </w:rPr>
        <w:t>I</w:t>
      </w:r>
      <w:r>
        <w:rPr>
          <w:i/>
          <w:iCs/>
          <w:color w:val="666666"/>
          <w:sz w:val="20"/>
          <w:szCs w:val="20"/>
        </w:rPr>
        <w:t xml:space="preserve"> compute the full sensitivity for the option, then split it across the two adjacent vertices proportionally.</w:t>
      </w:r>
    </w:p>
    <w:p w14:paraId="57E5EC50" w14:textId="77777777" w:rsidR="00487081" w:rsidRDefault="00000000">
      <w:pPr>
        <w:pStyle w:val="Heading2"/>
      </w:pPr>
      <w:r>
        <w:t>What if both dimensions need interpolation?</w:t>
      </w:r>
    </w:p>
    <w:p w14:paraId="2AA78BDC" w14:textId="7ED64A37" w:rsidR="00487081" w:rsidRDefault="00000000">
      <w:pPr>
        <w:spacing w:after="120"/>
      </w:pPr>
      <w:r>
        <w:t xml:space="preserve">If a bond's option maturity was 1.5Y and its underlying residual maturity was 4Y, </w:t>
      </w:r>
      <w:r w:rsidR="00ED1934">
        <w:t>I</w:t>
      </w:r>
      <w:r>
        <w:t xml:space="preserve"> would interpolate in both dimensions simultaneously. The sensitivity would split across four grid cells (a 2×2 block), with weights being the product of the two linear interpolation weights. For example: (1Y, 3Y) gets 75% × 50%, (1Y, 5Y) gets 75% × 50%, (3Y, 3Y) gets 25% × 50%, (3Y, 5Y) gets 25% × 50%.</w:t>
      </w:r>
    </w:p>
    <w:p w14:paraId="78AD45BE" w14:textId="77777777" w:rsidR="00487081" w:rsidRDefault="00000000">
      <w:pPr>
        <w:pStyle w:val="Heading1"/>
      </w:pPr>
      <w:r>
        <w:t>5. Calculating the Vega Sensitivity</w:t>
      </w:r>
    </w:p>
    <w:p w14:paraId="2A598D86" w14:textId="77777777" w:rsidR="00487081" w:rsidRDefault="00000000">
      <w:pPr>
        <w:spacing w:after="120"/>
      </w:pPr>
      <w:r>
        <w:t>Per MAR21.25, the FRTB vega sensitivity is:</w:t>
      </w:r>
    </w:p>
    <w:p w14:paraId="48971F20" w14:textId="77777777" w:rsidR="00487081" w:rsidRDefault="00000000">
      <w:pPr>
        <w:spacing w:after="60"/>
      </w:pPr>
      <w:r>
        <w:rPr>
          <w:rFonts w:ascii="Consolas" w:eastAsia="Consolas" w:hAnsi="Consolas" w:cs="Consolas"/>
          <w:sz w:val="20"/>
          <w:szCs w:val="20"/>
        </w:rPr>
        <w:t xml:space="preserve">    s_k = vega_i × σ_implied_i</w:t>
      </w:r>
    </w:p>
    <w:p w14:paraId="6891F978" w14:textId="77777777" w:rsidR="00487081" w:rsidRDefault="00000000">
      <w:pPr>
        <w:spacing w:after="120"/>
      </w:pPr>
      <w:r>
        <w:t>Where:</w:t>
      </w:r>
    </w:p>
    <w:p w14:paraId="431C718C" w14:textId="77777777" w:rsidR="00487081" w:rsidRDefault="00000000">
      <w:pPr>
        <w:pStyle w:val="ListParagraph"/>
        <w:numPr>
          <w:ilvl w:val="0"/>
          <w:numId w:val="2"/>
        </w:numPr>
        <w:spacing w:after="80"/>
      </w:pPr>
      <w:r>
        <w:t>vega_i = ∂V/∂σ is the dollar change in the instrument's value for a small change in implied volatility. For callable bonds, this is computed by bumping the Hull-White sigma parameter and repricing through the tree engine.</w:t>
      </w:r>
    </w:p>
    <w:p w14:paraId="353CD27D" w14:textId="168EB56F" w:rsidR="00487081" w:rsidRDefault="00000000">
      <w:pPr>
        <w:pStyle w:val="ListParagraph"/>
        <w:numPr>
          <w:ilvl w:val="0"/>
          <w:numId w:val="2"/>
        </w:numPr>
        <w:spacing w:after="80"/>
      </w:pPr>
      <w:r>
        <w:t xml:space="preserve">σ_implied_i is the implied volatility of the option. For callable bonds, this is the Hull-White sigma parameter itself (0.015 = 1.5% in </w:t>
      </w:r>
      <w:r w:rsidR="00ED1934">
        <w:t>my</w:t>
      </w:r>
      <w:r>
        <w:t xml:space="preserve"> existing code).</w:t>
      </w:r>
    </w:p>
    <w:p w14:paraId="06F9F19E" w14:textId="77777777" w:rsidR="00487081" w:rsidRDefault="00000000">
      <w:pPr>
        <w:pStyle w:val="Heading1"/>
      </w:pPr>
      <w:r>
        <w:t>6. Applying the Vega Risk Weight</w:t>
      </w:r>
    </w:p>
    <w:p w14:paraId="3DB6E316" w14:textId="77777777" w:rsidR="00487081" w:rsidRDefault="00000000">
      <w:pPr>
        <w:spacing w:after="120"/>
      </w:pPr>
      <w:r>
        <w:t>The vega risk weight incorporates a liquidity horizon adjustment (MAR21.92):</w:t>
      </w:r>
    </w:p>
    <w:p w14:paraId="2C328EAC" w14:textId="77777777" w:rsidR="00487081" w:rsidRDefault="00000000">
      <w:pPr>
        <w:spacing w:after="60"/>
      </w:pPr>
      <w:r>
        <w:rPr>
          <w:rFonts w:ascii="Consolas" w:eastAsia="Consolas" w:hAnsi="Consolas" w:cs="Consolas"/>
          <w:sz w:val="20"/>
          <w:szCs w:val="20"/>
        </w:rPr>
        <w:t xml:space="preserve">    RW_k = min(RWσ × √(LH_GIRR / 10), 100%)</w:t>
      </w:r>
    </w:p>
    <w:p w14:paraId="2A98217F" w14:textId="77777777" w:rsidR="00487081" w:rsidRDefault="00000000">
      <w:pPr>
        <w:spacing w:after="120"/>
      </w:pPr>
      <w:r>
        <w:rPr>
          <w:b/>
          <w:bCs/>
        </w:rPr>
        <w:t xml:space="preserve">RWσ = 55% </w:t>
      </w:r>
      <w:r>
        <w:t>(the base vega risk weight, same for all risk classes)</w:t>
      </w:r>
    </w:p>
    <w:p w14:paraId="2949C3C7" w14:textId="77777777" w:rsidR="00487081" w:rsidRDefault="00000000">
      <w:pPr>
        <w:spacing w:after="120"/>
      </w:pPr>
      <w:r>
        <w:rPr>
          <w:b/>
          <w:bCs/>
        </w:rPr>
        <w:t xml:space="preserve">LH_GIRR = 60 days </w:t>
      </w:r>
      <w:r>
        <w:t>(GIRR has a 60-day liquidity horizon from Table 13)</w:t>
      </w:r>
    </w:p>
    <w:p w14:paraId="0DE87D71" w14:textId="77777777" w:rsidR="00487081" w:rsidRDefault="00000000">
      <w:pPr>
        <w:spacing w:after="120"/>
      </w:pPr>
      <w:r>
        <w:t>Plugging in: RW = min(55% × √(60/10), 100%) = min(55% × 2.449, 100%) = min(134.7%, 100%) = 100%</w:t>
      </w:r>
    </w:p>
    <w:p w14:paraId="2B210ADB" w14:textId="77777777" w:rsidR="00487081" w:rsidRDefault="00000000">
      <w:pPr>
        <w:spacing w:after="120"/>
      </w:pPr>
      <w:r>
        <w:t>So for GIRR, the vega risk weight is 100%. The liquidity horizon of 60 days is long enough that the √(LH/10) scaling pushes the weight past the 100% cap. Compare this to large-cap equity where LH=20 days gives RW = 55% × √2 = 77.78% — equities are more liquid, so vega is penalised less.</w:t>
      </w:r>
    </w:p>
    <w:p w14:paraId="2DAA2CE1" w14:textId="77777777" w:rsidR="00487081" w:rsidRDefault="00000000">
      <w:pPr>
        <w:spacing w:after="120"/>
      </w:pPr>
      <w:r>
        <w:t>The weighted sensitivity for each risk factor is then: WS_k = 100% × s_k = s_k. The risk weight effectively disappears for GIRR vega.</w:t>
      </w:r>
    </w:p>
    <w:p w14:paraId="74888BDA" w14:textId="77777777" w:rsidR="00487081" w:rsidRDefault="00000000">
      <w:pPr>
        <w:pStyle w:val="Heading1"/>
      </w:pPr>
      <w:r>
        <w:t>7. The Vega Correlation Formula</w:t>
      </w:r>
    </w:p>
    <w:p w14:paraId="356A1B6A" w14:textId="77777777" w:rsidR="00487081" w:rsidRDefault="00000000">
      <w:pPr>
        <w:spacing w:after="120"/>
      </w:pPr>
      <w:r>
        <w:t>This is the most mathematically involved part of GIRR vega. The correlation between two GIRR vega risk factors k and l is (MAR21.93):</w:t>
      </w:r>
    </w:p>
    <w:p w14:paraId="42AA76AB" w14:textId="77777777" w:rsidR="00487081" w:rsidRDefault="00000000">
      <w:pPr>
        <w:spacing w:after="60"/>
      </w:pPr>
      <w:r>
        <w:rPr>
          <w:rFonts w:ascii="Consolas" w:eastAsia="Consolas" w:hAnsi="Consolas" w:cs="Consolas"/>
          <w:sz w:val="20"/>
          <w:szCs w:val="20"/>
        </w:rPr>
        <w:t xml:space="preserve">    ρ_kl = min(ρ_option × ρ_underlying, 1)</w:t>
      </w:r>
    </w:p>
    <w:p w14:paraId="20974AB3" w14:textId="77777777" w:rsidR="00487081" w:rsidRDefault="00000000">
      <w:pPr>
        <w:spacing w:after="120"/>
      </w:pPr>
      <w:r>
        <w:t>Where each component uses the same exponential decay formula with α = 1%:</w:t>
      </w:r>
    </w:p>
    <w:p w14:paraId="671980ED" w14:textId="77777777" w:rsidR="00487081" w:rsidRDefault="00000000">
      <w:pPr>
        <w:pStyle w:val="Heading2"/>
      </w:pPr>
      <w:r>
        <w:t>ρ_option — correlation from option maturity distance</w:t>
      </w:r>
    </w:p>
    <w:p w14:paraId="58740460" w14:textId="77777777" w:rsidR="00487081" w:rsidRDefault="00000000">
      <w:pPr>
        <w:spacing w:after="60"/>
      </w:pPr>
      <w:r>
        <w:rPr>
          <w:rFonts w:ascii="Consolas" w:eastAsia="Consolas" w:hAnsi="Consolas" w:cs="Consolas"/>
          <w:sz w:val="20"/>
          <w:szCs w:val="20"/>
        </w:rPr>
        <w:t xml:space="preserve">    ρ_option = exp(-α × |Tk − Tl| / min(Tk, Tl))</w:t>
      </w:r>
    </w:p>
    <w:p w14:paraId="75D8AF83" w14:textId="77777777" w:rsidR="00487081" w:rsidRDefault="00000000">
      <w:pPr>
        <w:spacing w:after="120"/>
      </w:pPr>
      <w:r>
        <w:t>Tk and Tl are the option maturities (in years) of risk factors k and l. The formula says: the further apart the option maturities, the lower the correlation. But the decay is relative to the shorter maturity — the gap between 0.5Y and 1.5Y (a 1Y difference relative to 0.5Y) decays faster than the gap between 5Y and 6Y (a 1Y difference relative to 5Y).</w:t>
      </w:r>
    </w:p>
    <w:p w14:paraId="14D23039" w14:textId="77777777" w:rsidR="00487081" w:rsidRDefault="00000000">
      <w:pPr>
        <w:pStyle w:val="Heading2"/>
      </w:pPr>
      <w:r>
        <w:t>ρ_underlying — correlation from underlying maturity distance</w:t>
      </w:r>
    </w:p>
    <w:p w14:paraId="5E90C975" w14:textId="77777777" w:rsidR="00487081" w:rsidRDefault="00000000">
      <w:pPr>
        <w:spacing w:after="60"/>
      </w:pPr>
      <w:r>
        <w:rPr>
          <w:rFonts w:ascii="Consolas" w:eastAsia="Consolas" w:hAnsi="Consolas" w:cs="Consolas"/>
          <w:sz w:val="20"/>
          <w:szCs w:val="20"/>
        </w:rPr>
        <w:t xml:space="preserve">    ρ_underlying = exp(-α × |TkU − TlU| / min(TkU, TlU))</w:t>
      </w:r>
    </w:p>
    <w:p w14:paraId="738D63AB" w14:textId="5FD7577E" w:rsidR="00487081" w:rsidRDefault="00000000">
      <w:pPr>
        <w:spacing w:after="120"/>
      </w:pPr>
      <w:r>
        <w:t xml:space="preserve">TkU and TlU are the underlying residual maturities. Same functional form. In </w:t>
      </w:r>
      <w:r w:rsidR="00ED1934">
        <w:t>my</w:t>
      </w:r>
      <w:r>
        <w:t xml:space="preserve"> portfolio, all three bonds have 3Y underlying residual maturity, so ρ_underlying = exp(0) = 1.0 for all pairs. The entire correlation variation comes from the option maturity dimension.</w:t>
      </w:r>
    </w:p>
    <w:p w14:paraId="123592FB" w14:textId="77777777" w:rsidR="00487081" w:rsidRDefault="00000000">
      <w:pPr>
        <w:pStyle w:val="Heading2"/>
      </w:pPr>
      <w:r>
        <w:t>Worked example: ρ between (0.5Y, 3Y) and (1Y, 3Y)</w:t>
      </w:r>
    </w:p>
    <w:p w14:paraId="2C546467" w14:textId="77777777" w:rsidR="00487081" w:rsidRDefault="00000000">
      <w:pPr>
        <w:spacing w:after="60"/>
      </w:pPr>
      <w:r>
        <w:rPr>
          <w:rFonts w:ascii="Consolas" w:eastAsia="Consolas" w:hAnsi="Consolas" w:cs="Consolas"/>
          <w:sz w:val="20"/>
          <w:szCs w:val="20"/>
        </w:rPr>
        <w:t xml:space="preserve">    ρ_option = exp(-0.01 × |0.5 − 1.0| / min(0.5, 1.0))</w:t>
      </w:r>
    </w:p>
    <w:p w14:paraId="3C9C8641" w14:textId="77777777" w:rsidR="00487081" w:rsidRDefault="00000000">
      <w:pPr>
        <w:spacing w:after="60"/>
      </w:pPr>
      <w:r>
        <w:rPr>
          <w:rFonts w:ascii="Consolas" w:eastAsia="Consolas" w:hAnsi="Consolas" w:cs="Consolas"/>
          <w:sz w:val="20"/>
          <w:szCs w:val="20"/>
        </w:rPr>
        <w:t xml:space="preserve">           = exp(-0.01 × 0.5 / 0.5)</w:t>
      </w:r>
    </w:p>
    <w:p w14:paraId="5BD7465A" w14:textId="77777777" w:rsidR="00487081" w:rsidRDefault="00000000">
      <w:pPr>
        <w:spacing w:after="60"/>
      </w:pPr>
      <w:r>
        <w:rPr>
          <w:rFonts w:ascii="Consolas" w:eastAsia="Consolas" w:hAnsi="Consolas" w:cs="Consolas"/>
          <w:sz w:val="20"/>
          <w:szCs w:val="20"/>
        </w:rPr>
        <w:t xml:space="preserve">           = exp(-0.01) = 0.99005</w:t>
      </w:r>
    </w:p>
    <w:p w14:paraId="6CB2C342" w14:textId="77777777" w:rsidR="00487081" w:rsidRDefault="00000000">
      <w:pPr>
        <w:spacing w:after="60"/>
      </w:pPr>
      <w:r>
        <w:rPr>
          <w:rFonts w:ascii="Consolas" w:eastAsia="Consolas" w:hAnsi="Consolas" w:cs="Consolas"/>
          <w:sz w:val="20"/>
          <w:szCs w:val="20"/>
        </w:rPr>
        <w:t xml:space="preserve">    ρ_underlying = exp(-0.01 × |3 − 3| / min(3, 3)) = exp(0) = 1.0</w:t>
      </w:r>
    </w:p>
    <w:p w14:paraId="20F9AFA4" w14:textId="77777777" w:rsidR="00487081" w:rsidRDefault="00000000">
      <w:pPr>
        <w:spacing w:after="60"/>
      </w:pPr>
      <w:r>
        <w:rPr>
          <w:rFonts w:ascii="Consolas" w:eastAsia="Consolas" w:hAnsi="Consolas" w:cs="Consolas"/>
          <w:sz w:val="20"/>
          <w:szCs w:val="20"/>
        </w:rPr>
        <w:t xml:space="preserve">    ρ_kl = min(0.99005 × 1.0, 1) = 0.99005</w:t>
      </w:r>
    </w:p>
    <w:p w14:paraId="25D3F960" w14:textId="77777777" w:rsidR="00487081" w:rsidRDefault="00000000">
      <w:pPr>
        <w:pStyle w:val="Heading2"/>
      </w:pPr>
      <w:r>
        <w:t>Worked example: ρ between (0.5Y, 3Y) and (3Y, 3Y)</w:t>
      </w:r>
    </w:p>
    <w:p w14:paraId="5012A6B3" w14:textId="77777777" w:rsidR="00487081" w:rsidRDefault="00000000">
      <w:pPr>
        <w:spacing w:after="60"/>
      </w:pPr>
      <w:r>
        <w:rPr>
          <w:rFonts w:ascii="Consolas" w:eastAsia="Consolas" w:hAnsi="Consolas" w:cs="Consolas"/>
          <w:sz w:val="20"/>
          <w:szCs w:val="20"/>
        </w:rPr>
        <w:t xml:space="preserve">    ρ_option = exp(-0.01 × |0.5 − 3.0| / min(0.5, 3.0))</w:t>
      </w:r>
    </w:p>
    <w:p w14:paraId="7691FE29" w14:textId="77777777" w:rsidR="00487081" w:rsidRDefault="00000000">
      <w:pPr>
        <w:spacing w:after="60"/>
      </w:pPr>
      <w:r>
        <w:rPr>
          <w:rFonts w:ascii="Consolas" w:eastAsia="Consolas" w:hAnsi="Consolas" w:cs="Consolas"/>
          <w:sz w:val="20"/>
          <w:szCs w:val="20"/>
        </w:rPr>
        <w:t xml:space="preserve">           = exp(-0.01 × 2.5 / 0.5)</w:t>
      </w:r>
    </w:p>
    <w:p w14:paraId="59D062A1" w14:textId="77777777" w:rsidR="00487081" w:rsidRDefault="00000000">
      <w:pPr>
        <w:spacing w:after="60"/>
      </w:pPr>
      <w:r>
        <w:rPr>
          <w:rFonts w:ascii="Consolas" w:eastAsia="Consolas" w:hAnsi="Consolas" w:cs="Consolas"/>
          <w:sz w:val="20"/>
          <w:szCs w:val="20"/>
        </w:rPr>
        <w:t xml:space="preserve">           = exp(-0.05) = 0.95123</w:t>
      </w:r>
    </w:p>
    <w:p w14:paraId="2A649E85" w14:textId="77777777" w:rsidR="00487081" w:rsidRDefault="00000000">
      <w:pPr>
        <w:spacing w:after="60"/>
      </w:pPr>
      <w:r>
        <w:rPr>
          <w:rFonts w:ascii="Consolas" w:eastAsia="Consolas" w:hAnsi="Consolas" w:cs="Consolas"/>
          <w:sz w:val="20"/>
          <w:szCs w:val="20"/>
        </w:rPr>
        <w:t xml:space="preserve">    ρ_underlying = 1.0 (same as above)</w:t>
      </w:r>
    </w:p>
    <w:p w14:paraId="71221A99" w14:textId="77777777" w:rsidR="00487081" w:rsidRDefault="00000000">
      <w:pPr>
        <w:spacing w:after="60"/>
      </w:pPr>
      <w:r>
        <w:rPr>
          <w:rFonts w:ascii="Consolas" w:eastAsia="Consolas" w:hAnsi="Consolas" w:cs="Consolas"/>
          <w:sz w:val="20"/>
          <w:szCs w:val="20"/>
        </w:rPr>
        <w:t xml:space="preserve">    ρ_kl = 0.95123</w:t>
      </w:r>
    </w:p>
    <w:p w14:paraId="446347F5" w14:textId="77777777" w:rsidR="00487081" w:rsidRDefault="00000000">
      <w:pPr>
        <w:spacing w:after="120"/>
      </w:pPr>
      <w:r>
        <w:t>Note how the correlation drops from 99.0% to 95.1% as the option maturity gap widens from 0.5Y to 2.5Y. The α=1% parameter makes this a very slow decay — Basel assumes implied volatilities at different option maturities are highly correlated. This is generally true: when rate vol spikes, it tends to spike across all maturities.</w:t>
      </w:r>
    </w:p>
    <w:p w14:paraId="2FCC5CE5" w14:textId="77777777" w:rsidR="00487081" w:rsidRDefault="00000000">
      <w:pPr>
        <w:pStyle w:val="Heading2"/>
      </w:pPr>
      <w:r>
        <w:t>Why α is set at 1%</w:t>
      </w:r>
    </w:p>
    <w:p w14:paraId="4E147D54" w14:textId="77777777" w:rsidR="00487081" w:rsidRDefault="00000000">
      <w:pPr>
        <w:spacing w:after="120"/>
      </w:pPr>
      <w:r>
        <w:t>The α=1% parameter for vega correlations is much lower than the θ=3% used for GIRR delta correlations (MAR21.46). This reflects the empirical observation that the implied volatility surface is smoother than the yield curve itself. A parallel vol shift explains most of the movement in the vol surface, whereas yield curves have more independent movement across tenors. The low α gives high correlations, which means more diversification benefit for vega positions — appropriate because vol hedges at slightly different maturities are generally effective.</w:t>
      </w:r>
    </w:p>
    <w:p w14:paraId="0318EBF1" w14:textId="77777777" w:rsidR="00487081" w:rsidRDefault="00000000">
      <w:pPr>
        <w:pStyle w:val="Heading1"/>
      </w:pPr>
      <w:r>
        <w:t>8. Aggregation to Capital Charge</w:t>
      </w:r>
    </w:p>
    <w:p w14:paraId="6E2029A8" w14:textId="77777777" w:rsidR="00487081" w:rsidRDefault="00000000">
      <w:pPr>
        <w:pStyle w:val="Heading2"/>
      </w:pPr>
      <w:r>
        <w:t>8.1 Within-bucket aggregation</w:t>
      </w:r>
    </w:p>
    <w:p w14:paraId="62EAF935" w14:textId="77777777" w:rsidR="00487081" w:rsidRDefault="00000000">
      <w:pPr>
        <w:spacing w:after="120"/>
      </w:pPr>
      <w:r>
        <w:t>All three callable bonds are USD-denominated, so they sit in the same GIRR bucket (USD). The within-bucket capital is (MAR21.4(4)):</w:t>
      </w:r>
    </w:p>
    <w:p w14:paraId="6B675BAA" w14:textId="77777777" w:rsidR="00487081" w:rsidRDefault="00000000">
      <w:pPr>
        <w:spacing w:after="60"/>
      </w:pPr>
      <w:r>
        <w:rPr>
          <w:rFonts w:ascii="Consolas" w:eastAsia="Consolas" w:hAnsi="Consolas" w:cs="Consolas"/>
          <w:sz w:val="20"/>
          <w:szCs w:val="20"/>
        </w:rPr>
        <w:t xml:space="preserve">    K_b = √(max(0, Σ WS_k² + ΣΣ ρ_kl × WS_k × WS_l))</w:t>
      </w:r>
    </w:p>
    <w:p w14:paraId="77347ACC" w14:textId="77777777" w:rsidR="00487081" w:rsidRDefault="00000000">
      <w:pPr>
        <w:spacing w:after="120"/>
      </w:pPr>
      <w:r>
        <w:t>With three populated risk factors, this expands to:</w:t>
      </w:r>
    </w:p>
    <w:p w14:paraId="3357CFA2" w14:textId="77777777" w:rsidR="00487081" w:rsidRDefault="00000000">
      <w:pPr>
        <w:spacing w:after="60"/>
      </w:pPr>
      <w:r>
        <w:rPr>
          <w:rFonts w:ascii="Consolas" w:eastAsia="Consolas" w:hAnsi="Consolas" w:cs="Consolas"/>
          <w:sz w:val="20"/>
          <w:szCs w:val="20"/>
        </w:rPr>
        <w:t xml:space="preserve">    K_b = √(WS_1² + WS_2² + WS_3² + 2ρ_12×WS_1×WS_2 + 2ρ_13×WS_1×WS_3 + 2ρ_23×WS_2×WS_3)</w:t>
      </w:r>
    </w:p>
    <w:p w14:paraId="4AC54681" w14:textId="77777777" w:rsidR="00487081" w:rsidRDefault="00000000">
      <w:pPr>
        <w:spacing w:after="120"/>
      </w:pPr>
      <w:r>
        <w:t>Since all three weighted sensitivities are negative (short callable bonds = short optionality = negative vega), all the WS_k² terms are positive and all the cross-product terms are also positive (negative × negative × positive correlation = positive). The capital charge is the magnitude of the position, amplified by the correlations. There is no hedging benefit because all positions have the same sign.</w:t>
      </w:r>
    </w:p>
    <w:p w14:paraId="0D2E95BD" w14:textId="77777777" w:rsidR="00487081" w:rsidRDefault="00000000">
      <w:pPr>
        <w:pStyle w:val="Heading2"/>
      </w:pPr>
      <w:r>
        <w:t>8.2 Across-bucket aggregation</w:t>
      </w:r>
    </w:p>
    <w:p w14:paraId="4F332317" w14:textId="0885AD9A" w:rsidR="00487081" w:rsidRDefault="00000000">
      <w:pPr>
        <w:spacing w:after="120"/>
      </w:pPr>
      <w:r>
        <w:t xml:space="preserve">With only one GIRR bucket (USD), the across-bucket step is trivial — the GIRR vega capital equals K_b(USD). If </w:t>
      </w:r>
      <w:r w:rsidR="00ED1934">
        <w:t>I</w:t>
      </w:r>
      <w:r>
        <w:t xml:space="preserve"> also had GBP callable bonds, </w:t>
      </w:r>
      <w:r w:rsidR="00ED1934">
        <w:t>I</w:t>
      </w:r>
      <w:r>
        <w:t xml:space="preserve"> would aggregate across USD and GBP buckets using γ_bc = 50% (MAR21.50, applied to vega per MAR21.95).</w:t>
      </w:r>
    </w:p>
    <w:p w14:paraId="77D6025E" w14:textId="77777777" w:rsidR="00487081" w:rsidRDefault="00000000">
      <w:pPr>
        <w:pStyle w:val="Heading2"/>
      </w:pPr>
      <w:r>
        <w:t>8.3 Three correlation scenarios</w:t>
      </w:r>
    </w:p>
    <w:p w14:paraId="6825C842" w14:textId="77777777" w:rsidR="00487081" w:rsidRDefault="00000000">
      <w:pPr>
        <w:spacing w:after="120"/>
      </w:pPr>
      <w:r>
        <w:t>The entire calculation is repeated three times with modified correlations (MAR21.6):</w:t>
      </w:r>
    </w:p>
    <w:p w14:paraId="0C806C6A" w14:textId="77777777" w:rsidR="00487081" w:rsidRDefault="00000000">
      <w:pPr>
        <w:pStyle w:val="ListParagraph"/>
        <w:numPr>
          <w:ilvl w:val="0"/>
          <w:numId w:val="2"/>
        </w:numPr>
        <w:spacing w:after="80"/>
      </w:pPr>
      <w:r>
        <w:t>Medium: ρ and γ as prescribed</w:t>
      </w:r>
    </w:p>
    <w:p w14:paraId="35CBC938" w14:textId="77777777" w:rsidR="00487081" w:rsidRDefault="00000000">
      <w:pPr>
        <w:pStyle w:val="ListParagraph"/>
        <w:numPr>
          <w:ilvl w:val="0"/>
          <w:numId w:val="2"/>
        </w:numPr>
        <w:spacing w:after="80"/>
      </w:pPr>
      <w:r>
        <w:t>High: min(ρ × 1.25, 100%) and min(γ × 1.25, 100%)</w:t>
      </w:r>
    </w:p>
    <w:p w14:paraId="65F33159" w14:textId="77777777" w:rsidR="00487081" w:rsidRDefault="00000000">
      <w:pPr>
        <w:pStyle w:val="ListParagraph"/>
        <w:numPr>
          <w:ilvl w:val="0"/>
          <w:numId w:val="2"/>
        </w:numPr>
        <w:spacing w:after="80"/>
      </w:pPr>
      <w:r>
        <w:t>Low: max(2ρ − 100%, 75% × ρ) and max(2γ − 100%, 75% × γ)</w:t>
      </w:r>
    </w:p>
    <w:p w14:paraId="3DB91287" w14:textId="77777777" w:rsidR="00487081" w:rsidRDefault="00000000">
      <w:pPr>
        <w:spacing w:after="120"/>
      </w:pPr>
      <w:r>
        <w:t>The final GIRR vega capital charge is the maximum of the three scenarios. For a portfolio of same-sign vega positions, the high correlation scenario typically produces the highest capital (because high correlations amplify concentrated risk), but this must be verified for each portfolio.</w:t>
      </w:r>
    </w:p>
    <w:p w14:paraId="00088DCD" w14:textId="77777777" w:rsidR="00487081" w:rsidRDefault="00000000">
      <w:pPr>
        <w:pStyle w:val="Heading1"/>
      </w:pPr>
      <w:r>
        <w:t>9. How Vega Contributes to Total Capital</w:t>
      </w:r>
    </w:p>
    <w:p w14:paraId="6334B342" w14:textId="77777777" w:rsidR="00487081" w:rsidRDefault="00000000">
      <w:pPr>
        <w:spacing w:after="120"/>
      </w:pPr>
      <w:r>
        <w:t>The GIRR vega capital charge gets added to GIRR delta and GIRR curvature capital with no diversification benefit between them (MAR21.7):</w:t>
      </w:r>
    </w:p>
    <w:p w14:paraId="77CDD73F" w14:textId="77777777" w:rsidR="00487081" w:rsidRDefault="00000000">
      <w:pPr>
        <w:spacing w:after="60"/>
      </w:pPr>
      <w:r>
        <w:rPr>
          <w:rFonts w:ascii="Consolas" w:eastAsia="Consolas" w:hAnsi="Consolas" w:cs="Consolas"/>
          <w:sz w:val="20"/>
          <w:szCs w:val="20"/>
        </w:rPr>
        <w:t xml:space="preserve">    GIRR Total = GIRR Delta + GIRR Vega + GIRR Curvature</w:t>
      </w:r>
    </w:p>
    <w:p w14:paraId="2EC7856C" w14:textId="77777777" w:rsidR="00487081" w:rsidRDefault="00000000">
      <w:pPr>
        <w:spacing w:after="120"/>
      </w:pPr>
      <w:r>
        <w:t>This GIRR total then gets added to all other risk class totals (CSR, Equity, Commodity, FX) — again with no diversification across risk classes:</w:t>
      </w:r>
    </w:p>
    <w:p w14:paraId="37564BB0" w14:textId="77777777" w:rsidR="00487081" w:rsidRDefault="00000000">
      <w:pPr>
        <w:spacing w:after="60"/>
      </w:pPr>
      <w:r>
        <w:rPr>
          <w:rFonts w:ascii="Consolas" w:eastAsia="Consolas" w:hAnsi="Consolas" w:cs="Consolas"/>
          <w:sz w:val="20"/>
          <w:szCs w:val="20"/>
        </w:rPr>
        <w:t xml:space="preserve">    SA Capital = max(medium, high, low) across [GIRR + CSR + Equity + Commodity + FX]</w:t>
      </w:r>
    </w:p>
    <w:p w14:paraId="04A27569" w14:textId="11A6F66C" w:rsidR="00487081" w:rsidRDefault="00000000">
      <w:pPr>
        <w:spacing w:after="120"/>
      </w:pPr>
      <w:r>
        <w:t xml:space="preserve">In practice, for </w:t>
      </w:r>
      <w:r w:rsidR="00ED1934">
        <w:t>my</w:t>
      </w:r>
      <w:r>
        <w:t xml:space="preserve"> portfolio the GIRR vega charge will be relatively small compared to GIRR delta (driven by </w:t>
      </w:r>
      <w:r w:rsidR="00ED1934">
        <w:t>my</w:t>
      </w:r>
      <w:r>
        <w:t xml:space="preserve"> 22 bonds across the full curve) and equity delta (driven by $50M+ of equity exposure). But it demonstrates a critical aspect of FRTB implementation: the ability to handle the 2D vol grid, the exponential decay correlation, and the tenor interpolation.</w:t>
      </w:r>
    </w:p>
    <w:p w14:paraId="677EE1C8" w14:textId="77777777" w:rsidR="00487081" w:rsidRDefault="00000000">
      <w:pPr>
        <w:pStyle w:val="Heading1"/>
      </w:pPr>
      <w:r>
        <w:t>10. Implementation Notes</w:t>
      </w:r>
    </w:p>
    <w:p w14:paraId="09A8AF0B" w14:textId="32C93B39" w:rsidR="00487081" w:rsidRDefault="00000000">
      <w:pPr>
        <w:spacing w:after="120"/>
      </w:pPr>
      <w:r>
        <w:rPr>
          <w:b/>
          <w:bCs/>
        </w:rPr>
        <w:t xml:space="preserve">Callable bond vega via Hull-White: </w:t>
      </w:r>
      <w:r w:rsidR="00ED1934">
        <w:t>My</w:t>
      </w:r>
      <w:r>
        <w:t xml:space="preserve"> existing code uses HW with a=0.03, σ=0.015. The vega sensitivity is computed by bumping σ by 1% relative (0.015 → 0.01515), repricing the callable bond through the tree engine, and taking the difference. This gives ∂V/∂σ. Multiply by σ to get the FRTB sensitivity.</w:t>
      </w:r>
    </w:p>
    <w:p w14:paraId="274FF65D" w14:textId="10879EFD" w:rsidR="00487081" w:rsidRDefault="00000000">
      <w:pPr>
        <w:spacing w:after="120"/>
      </w:pPr>
      <w:r>
        <w:rPr>
          <w:b/>
          <w:bCs/>
        </w:rPr>
        <w:t xml:space="preserve">Option maturity for Bermudan callables: </w:t>
      </w:r>
      <w:r w:rsidR="00ED1934">
        <w:t>My</w:t>
      </w:r>
      <w:r>
        <w:t xml:space="preserve"> callable bonds have Bermudan exercise (callable on every coupon date after the first call). For FRTB vega purposes, the most common approach is to use the first call date as the option maturity. Some implementations use a weighted average of call dates, but the first call date is the simplest and most common.</w:t>
      </w:r>
    </w:p>
    <w:p w14:paraId="41AB1E8F" w14:textId="77777777" w:rsidR="00487081" w:rsidRDefault="00000000">
      <w:pPr>
        <w:spacing w:after="120"/>
      </w:pPr>
      <w:r>
        <w:rPr>
          <w:b/>
          <w:bCs/>
        </w:rPr>
        <w:t xml:space="preserve">Underlying residual maturity: </w:t>
      </w:r>
      <w:r>
        <w:t>This is the bond maturity minus the call date (in years). It represents the remaining term of the underlying 'swap' that the embedded option is written on.</w:t>
      </w:r>
    </w:p>
    <w:p w14:paraId="5CC02672" w14:textId="00571384" w:rsidR="00487081" w:rsidRDefault="00000000">
      <w:pPr>
        <w:spacing w:after="120"/>
      </w:pPr>
      <w:r>
        <w:rPr>
          <w:b/>
          <w:bCs/>
        </w:rPr>
        <w:t xml:space="preserve">Sign convention: </w:t>
      </w:r>
      <w:r w:rsidR="00ED1934">
        <w:t>I</w:t>
      </w:r>
      <w:r>
        <w:t xml:space="preserve"> are short optionality (</w:t>
      </w:r>
      <w:r w:rsidR="00ED1934">
        <w:t>I</w:t>
      </w:r>
      <w:r>
        <w:t xml:space="preserve"> issued the call — the bondholder has the right to be called). </w:t>
      </w:r>
      <w:r w:rsidR="00ED1934">
        <w:t>My</w:t>
      </w:r>
      <w:r>
        <w:t xml:space="preserve"> vega is negative. A rise in rate volatility increases the value of the embedded option, which hurts </w:t>
      </w:r>
      <w:r w:rsidR="00ED1934">
        <w:t>I</w:t>
      </w:r>
      <w:r>
        <w:t xml:space="preserve"> as the bond holder (the issuer is more likely to call). Negative vega → negative sensitivity → the capital charge captures this risk.</w:t>
      </w:r>
    </w:p>
    <w:p w14:paraId="528FBCBA" w14:textId="77777777" w:rsidR="00487081" w:rsidRDefault="00487081">
      <w:pPr>
        <w:spacing w:after="400"/>
      </w:pPr>
    </w:p>
    <w:p w14:paraId="6F481930" w14:textId="77777777" w:rsidR="00487081" w:rsidRDefault="00000000">
      <w:pPr>
        <w:pBdr>
          <w:top w:val="single" w:sz="4" w:space="8" w:color="2E75B6"/>
        </w:pBdr>
        <w:spacing w:before="400"/>
        <w:jc w:val="center"/>
      </w:pPr>
      <w:r>
        <w:rPr>
          <w:i/>
          <w:iCs/>
          <w:color w:val="888888"/>
          <w:sz w:val="20"/>
          <w:szCs w:val="20"/>
        </w:rPr>
        <w:t>End of Document  |  GIRR Vega Risk Charge Methodology  |  MAR21.8, MAR21.25, MAR21.92-95</w:t>
      </w:r>
    </w:p>
    <w:sectPr w:rsidR="0048708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4AECC" w14:textId="77777777" w:rsidR="00904740" w:rsidRDefault="00904740">
      <w:r>
        <w:separator/>
      </w:r>
    </w:p>
  </w:endnote>
  <w:endnote w:type="continuationSeparator" w:id="0">
    <w:p w14:paraId="43018D7F" w14:textId="77777777" w:rsidR="00904740" w:rsidRDefault="00904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27DF" w14:textId="77777777" w:rsidR="00487081"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50FAA" w14:textId="77777777" w:rsidR="00904740" w:rsidRDefault="00904740">
      <w:r>
        <w:separator/>
      </w:r>
    </w:p>
  </w:footnote>
  <w:footnote w:type="continuationSeparator" w:id="0">
    <w:p w14:paraId="5166CF65" w14:textId="77777777" w:rsidR="00904740" w:rsidRDefault="00904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C31F" w14:textId="77777777" w:rsidR="00487081" w:rsidRDefault="00000000">
    <w:pPr>
      <w:pBdr>
        <w:bottom w:val="single" w:sz="4" w:space="4" w:color="2E75B6"/>
      </w:pBdr>
    </w:pPr>
    <w:r>
      <w:rPr>
        <w:color w:val="999999"/>
        <w:sz w:val="18"/>
        <w:szCs w:val="18"/>
      </w:rPr>
      <w:t>GIRR Vega Risk Charge  |  FRTB SA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583"/>
    <w:multiLevelType w:val="hybridMultilevel"/>
    <w:tmpl w:val="F976B8D6"/>
    <w:lvl w:ilvl="0" w:tplc="672C98C8">
      <w:start w:val="1"/>
      <w:numFmt w:val="bullet"/>
      <w:lvlText w:val="●"/>
      <w:lvlJc w:val="left"/>
      <w:pPr>
        <w:ind w:left="720" w:hanging="360"/>
      </w:pPr>
    </w:lvl>
    <w:lvl w:ilvl="1" w:tplc="968AAAD4">
      <w:start w:val="1"/>
      <w:numFmt w:val="bullet"/>
      <w:lvlText w:val="○"/>
      <w:lvlJc w:val="left"/>
      <w:pPr>
        <w:ind w:left="1440" w:hanging="360"/>
      </w:pPr>
    </w:lvl>
    <w:lvl w:ilvl="2" w:tplc="0D1673E4">
      <w:start w:val="1"/>
      <w:numFmt w:val="bullet"/>
      <w:lvlText w:val="■"/>
      <w:lvlJc w:val="left"/>
      <w:pPr>
        <w:ind w:left="2160" w:hanging="360"/>
      </w:pPr>
    </w:lvl>
    <w:lvl w:ilvl="3" w:tplc="7840D434">
      <w:start w:val="1"/>
      <w:numFmt w:val="bullet"/>
      <w:lvlText w:val="●"/>
      <w:lvlJc w:val="left"/>
      <w:pPr>
        <w:ind w:left="2880" w:hanging="360"/>
      </w:pPr>
    </w:lvl>
    <w:lvl w:ilvl="4" w:tplc="4AE6F0E6">
      <w:start w:val="1"/>
      <w:numFmt w:val="bullet"/>
      <w:lvlText w:val="○"/>
      <w:lvlJc w:val="left"/>
      <w:pPr>
        <w:ind w:left="3600" w:hanging="360"/>
      </w:pPr>
    </w:lvl>
    <w:lvl w:ilvl="5" w:tplc="618A8586">
      <w:start w:val="1"/>
      <w:numFmt w:val="bullet"/>
      <w:lvlText w:val="■"/>
      <w:lvlJc w:val="left"/>
      <w:pPr>
        <w:ind w:left="4320" w:hanging="360"/>
      </w:pPr>
    </w:lvl>
    <w:lvl w:ilvl="6" w:tplc="EEA2847E">
      <w:start w:val="1"/>
      <w:numFmt w:val="bullet"/>
      <w:lvlText w:val="●"/>
      <w:lvlJc w:val="left"/>
      <w:pPr>
        <w:ind w:left="5040" w:hanging="360"/>
      </w:pPr>
    </w:lvl>
    <w:lvl w:ilvl="7" w:tplc="34CE28EE">
      <w:start w:val="1"/>
      <w:numFmt w:val="bullet"/>
      <w:lvlText w:val="●"/>
      <w:lvlJc w:val="left"/>
      <w:pPr>
        <w:ind w:left="5760" w:hanging="360"/>
      </w:pPr>
    </w:lvl>
    <w:lvl w:ilvl="8" w:tplc="B8A0869C">
      <w:start w:val="1"/>
      <w:numFmt w:val="bullet"/>
      <w:lvlText w:val="●"/>
      <w:lvlJc w:val="left"/>
      <w:pPr>
        <w:ind w:left="6480" w:hanging="360"/>
      </w:pPr>
    </w:lvl>
  </w:abstractNum>
  <w:abstractNum w:abstractNumId="1" w15:restartNumberingAfterBreak="0">
    <w:nsid w:val="56A7100A"/>
    <w:multiLevelType w:val="hybridMultilevel"/>
    <w:tmpl w:val="18968852"/>
    <w:lvl w:ilvl="0" w:tplc="5602E6B2">
      <w:start w:val="1"/>
      <w:numFmt w:val="bullet"/>
      <w:lvlText w:val="•"/>
      <w:lvlJc w:val="left"/>
      <w:pPr>
        <w:ind w:left="720" w:hanging="360"/>
      </w:pPr>
    </w:lvl>
    <w:lvl w:ilvl="1" w:tplc="EC0AD6A4">
      <w:numFmt w:val="decimal"/>
      <w:lvlText w:val=""/>
      <w:lvlJc w:val="left"/>
    </w:lvl>
    <w:lvl w:ilvl="2" w:tplc="F03E14C6">
      <w:numFmt w:val="decimal"/>
      <w:lvlText w:val=""/>
      <w:lvlJc w:val="left"/>
    </w:lvl>
    <w:lvl w:ilvl="3" w:tplc="30B04670">
      <w:numFmt w:val="decimal"/>
      <w:lvlText w:val=""/>
      <w:lvlJc w:val="left"/>
    </w:lvl>
    <w:lvl w:ilvl="4" w:tplc="8BFA5E50">
      <w:numFmt w:val="decimal"/>
      <w:lvlText w:val=""/>
      <w:lvlJc w:val="left"/>
    </w:lvl>
    <w:lvl w:ilvl="5" w:tplc="83D03A88">
      <w:numFmt w:val="decimal"/>
      <w:lvlText w:val=""/>
      <w:lvlJc w:val="left"/>
    </w:lvl>
    <w:lvl w:ilvl="6" w:tplc="F048B8BE">
      <w:numFmt w:val="decimal"/>
      <w:lvlText w:val=""/>
      <w:lvlJc w:val="left"/>
    </w:lvl>
    <w:lvl w:ilvl="7" w:tplc="FA44996C">
      <w:numFmt w:val="decimal"/>
      <w:lvlText w:val=""/>
      <w:lvlJc w:val="left"/>
    </w:lvl>
    <w:lvl w:ilvl="8" w:tplc="57F4C182">
      <w:numFmt w:val="decimal"/>
      <w:lvlText w:val=""/>
      <w:lvlJc w:val="left"/>
    </w:lvl>
  </w:abstractNum>
  <w:abstractNum w:abstractNumId="2" w15:restartNumberingAfterBreak="0">
    <w:nsid w:val="7C9A73B3"/>
    <w:multiLevelType w:val="hybridMultilevel"/>
    <w:tmpl w:val="B008CB8E"/>
    <w:lvl w:ilvl="0" w:tplc="9B5EE354">
      <w:start w:val="1"/>
      <w:numFmt w:val="decimal"/>
      <w:lvlText w:val="%1."/>
      <w:lvlJc w:val="left"/>
      <w:pPr>
        <w:ind w:left="720" w:hanging="360"/>
      </w:pPr>
    </w:lvl>
    <w:lvl w:ilvl="1" w:tplc="A5BEF63E">
      <w:numFmt w:val="decimal"/>
      <w:lvlText w:val=""/>
      <w:lvlJc w:val="left"/>
    </w:lvl>
    <w:lvl w:ilvl="2" w:tplc="557CE8F4">
      <w:numFmt w:val="decimal"/>
      <w:lvlText w:val=""/>
      <w:lvlJc w:val="left"/>
    </w:lvl>
    <w:lvl w:ilvl="3" w:tplc="616C0878">
      <w:numFmt w:val="decimal"/>
      <w:lvlText w:val=""/>
      <w:lvlJc w:val="left"/>
    </w:lvl>
    <w:lvl w:ilvl="4" w:tplc="51E2C72C">
      <w:numFmt w:val="decimal"/>
      <w:lvlText w:val=""/>
      <w:lvlJc w:val="left"/>
    </w:lvl>
    <w:lvl w:ilvl="5" w:tplc="56E27562">
      <w:numFmt w:val="decimal"/>
      <w:lvlText w:val=""/>
      <w:lvlJc w:val="left"/>
    </w:lvl>
    <w:lvl w:ilvl="6" w:tplc="B90CB278">
      <w:numFmt w:val="decimal"/>
      <w:lvlText w:val=""/>
      <w:lvlJc w:val="left"/>
    </w:lvl>
    <w:lvl w:ilvl="7" w:tplc="4D3C7A90">
      <w:numFmt w:val="decimal"/>
      <w:lvlText w:val=""/>
      <w:lvlJc w:val="left"/>
    </w:lvl>
    <w:lvl w:ilvl="8" w:tplc="840ADC8A">
      <w:numFmt w:val="decimal"/>
      <w:lvlText w:val=""/>
      <w:lvlJc w:val="left"/>
    </w:lvl>
  </w:abstractNum>
  <w:num w:numId="1" w16cid:durableId="309866980">
    <w:abstractNumId w:val="0"/>
    <w:lvlOverride w:ilvl="0">
      <w:startOverride w:val="1"/>
    </w:lvlOverride>
  </w:num>
  <w:num w:numId="2" w16cid:durableId="1197618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081"/>
    <w:rsid w:val="00487081"/>
    <w:rsid w:val="005B4231"/>
    <w:rsid w:val="005C6183"/>
    <w:rsid w:val="00904740"/>
    <w:rsid w:val="00B6482C"/>
    <w:rsid w:val="00E5389E"/>
    <w:rsid w:val="00ED1934"/>
    <w:rsid w:val="00ED496E"/>
    <w:rsid w:val="00F30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DDA5"/>
  <w15:docId w15:val="{8888540F-D691-4F8A-9E3B-26A429BD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1F4E79"/>
      <w:sz w:val="28"/>
      <w:szCs w:val="28"/>
    </w:rPr>
  </w:style>
  <w:style w:type="paragraph" w:styleId="Heading3">
    <w:name w:val="heading 3"/>
    <w:uiPriority w:val="9"/>
    <w:semiHidden/>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1734</Words>
  <Characters>9889</Characters>
  <Application>Microsoft Office Word</Application>
  <DocSecurity>0</DocSecurity>
  <Lines>82</Lines>
  <Paragraphs>23</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5</cp:revision>
  <dcterms:created xsi:type="dcterms:W3CDTF">2026-03-30T18:29:00Z</dcterms:created>
  <dcterms:modified xsi:type="dcterms:W3CDTF">2026-04-01T17:18:00Z</dcterms:modified>
</cp:coreProperties>
</file>