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2A94A3" w14:textId="77777777" w:rsidR="005E08C3" w:rsidRDefault="005E08C3"/>
    <w:p w14:paraId="31950B81" w14:textId="77777777" w:rsidR="005E08C3" w:rsidRDefault="005E08C3"/>
    <w:p w14:paraId="3DE728FB" w14:textId="77777777" w:rsidR="005E08C3" w:rsidRDefault="00000000">
      <w:pPr>
        <w:jc w:val="center"/>
      </w:pPr>
      <w:r>
        <w:rPr>
          <w:noProof/>
        </w:rPr>
        <w:drawing>
          <wp:inline distT="0" distB="0" distL="0" distR="0" wp14:anchorId="5210286D" wp14:editId="50EBC0A7">
            <wp:extent cx="868680" cy="86868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ark-512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868680" cy="868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1C0C35" w14:textId="77777777" w:rsidR="005E08C3" w:rsidRDefault="00000000">
      <w:pPr>
        <w:spacing w:before="440"/>
        <w:jc w:val="center"/>
      </w:pPr>
      <w:r>
        <w:rPr>
          <w:b/>
          <w:color w:val="C2453C"/>
          <w:sz w:val="21"/>
        </w:rPr>
        <w:t>FRTB DEFAULT RISK CHARGE  ·  THE 8% (COOKE) FACTOR</w:t>
      </w:r>
    </w:p>
    <w:p w14:paraId="170D4418" w14:textId="77777777" w:rsidR="005E08C3" w:rsidRDefault="00000000">
      <w:pPr>
        <w:spacing w:before="200"/>
        <w:jc w:val="center"/>
      </w:pPr>
      <w:r>
        <w:rPr>
          <w:b/>
          <w:color w:val="0E2C4B"/>
          <w:sz w:val="56"/>
        </w:rPr>
        <w:t>Risk Weight or Loss Rate?</w:t>
      </w:r>
    </w:p>
    <w:p w14:paraId="72FA0357" w14:textId="77777777" w:rsidR="005E08C3" w:rsidRDefault="00000000">
      <w:pPr>
        <w:spacing w:before="160"/>
        <w:jc w:val="center"/>
      </w:pPr>
      <w:r>
        <w:rPr>
          <w:color w:val="355574"/>
          <w:sz w:val="30"/>
        </w:rPr>
        <w:t>The 8% That Stands Between You and a</w:t>
      </w:r>
      <w:r>
        <w:rPr>
          <w:color w:val="355574"/>
          <w:sz w:val="30"/>
        </w:rPr>
        <w:br/>
        <w:t>12.5x Capital Error</w:t>
      </w:r>
    </w:p>
    <w:p w14:paraId="7C5F0A67" w14:textId="77777777" w:rsidR="005E08C3" w:rsidRDefault="005E08C3">
      <w:pPr>
        <w:pBdr>
          <w:bottom w:val="single" w:sz="6" w:space="4" w:color="C0C0C0"/>
        </w:pBdr>
        <w:spacing w:before="320" w:after="320"/>
        <w:jc w:val="center"/>
      </w:pPr>
    </w:p>
    <w:p w14:paraId="651EFD8A" w14:textId="77777777" w:rsidR="005E08C3" w:rsidRDefault="00000000">
      <w:pPr>
        <w:jc w:val="center"/>
      </w:pPr>
      <w:r>
        <w:rPr>
          <w:i/>
          <w:color w:val="555555"/>
          <w:sz w:val="21"/>
        </w:rPr>
        <w:t>Why securitisation DRC needs the Cooke factor — and non-securitisation does not</w:t>
      </w:r>
    </w:p>
    <w:p w14:paraId="70F1752A" w14:textId="65B3A3ED" w:rsidR="005E08C3" w:rsidRDefault="00000000">
      <w:pPr>
        <w:spacing w:before="680"/>
        <w:jc w:val="center"/>
      </w:pPr>
      <w:r>
        <w:rPr>
          <w:color w:val="555555"/>
          <w:sz w:val="20"/>
        </w:rPr>
        <w:br/>
        <w:t>Prepared by  ·  Market Risk — FRTB Programme</w:t>
      </w:r>
      <w:r>
        <w:rPr>
          <w:color w:val="555555"/>
          <w:sz w:val="20"/>
        </w:rPr>
        <w:br/>
        <w:t>Methodology &amp; Impact Note</w:t>
      </w:r>
      <w:r>
        <w:rPr>
          <w:color w:val="555555"/>
          <w:sz w:val="20"/>
        </w:rPr>
        <w:br/>
      </w:r>
      <w:r>
        <w:rPr>
          <w:color w:val="555555"/>
          <w:sz w:val="18"/>
        </w:rPr>
        <w:br/>
        <w:t xml:space="preserve">Worked from  ·  reference portfolio  ·  </w:t>
      </w:r>
      <w:proofErr w:type="spellStart"/>
      <w:r>
        <w:rPr>
          <w:color w:val="555555"/>
          <w:sz w:val="18"/>
        </w:rPr>
        <w:t>drc_securitisation</w:t>
      </w:r>
      <w:proofErr w:type="spellEnd"/>
    </w:p>
    <w:p w14:paraId="7A28CAE2" w14:textId="77777777" w:rsidR="005E08C3" w:rsidRDefault="00000000">
      <w:r>
        <w:br w:type="page"/>
      </w:r>
    </w:p>
    <w:p w14:paraId="09FC3F69" w14:textId="77777777" w:rsidR="005E08C3" w:rsidRDefault="00000000">
      <w:pPr>
        <w:keepNext/>
        <w:pBdr>
          <w:bottom w:val="single" w:sz="10" w:space="4" w:color="0E2C4B"/>
        </w:pBdr>
        <w:spacing w:before="400" w:after="140"/>
      </w:pPr>
      <w:r>
        <w:rPr>
          <w:b/>
          <w:color w:val="0E2C4B"/>
          <w:sz w:val="32"/>
        </w:rPr>
        <w:lastRenderedPageBreak/>
        <w:t>Contents</w:t>
      </w:r>
    </w:p>
    <w:p w14:paraId="2D1943A3" w14:textId="77777777" w:rsidR="005E08C3" w:rsidRDefault="00000000">
      <w:pPr>
        <w:spacing w:before="40" w:after="40"/>
      </w:pPr>
      <w:r>
        <w:rPr>
          <w:color w:val="0E2C4B"/>
          <w:sz w:val="21"/>
        </w:rPr>
        <w:t>1.  Executive Summary — the 12.5x trap</w:t>
      </w:r>
    </w:p>
    <w:p w14:paraId="3D44894D" w14:textId="77777777" w:rsidR="005E08C3" w:rsidRDefault="00000000">
      <w:pPr>
        <w:spacing w:before="40" w:after="40"/>
      </w:pPr>
      <w:r>
        <w:rPr>
          <w:color w:val="0E2C4B"/>
          <w:sz w:val="21"/>
        </w:rPr>
        <w:t>2.  Two meanings of 'risk weight'</w:t>
      </w:r>
    </w:p>
    <w:p w14:paraId="09541496" w14:textId="77777777" w:rsidR="005E08C3" w:rsidRDefault="00000000">
      <w:pPr>
        <w:spacing w:before="40" w:after="40"/>
      </w:pPr>
      <w:r>
        <w:rPr>
          <w:color w:val="0E2C4B"/>
          <w:sz w:val="21"/>
        </w:rPr>
        <w:t>3.  Non-securitisation — the risk weight is a loss rate</w:t>
      </w:r>
    </w:p>
    <w:p w14:paraId="79A66826" w14:textId="77777777" w:rsidR="005E08C3" w:rsidRDefault="00000000">
      <w:pPr>
        <w:spacing w:before="40" w:after="40"/>
      </w:pPr>
      <w:r>
        <w:rPr>
          <w:color w:val="0E2C4B"/>
          <w:sz w:val="21"/>
        </w:rPr>
        <w:t>4.  Securitisation — the risk weight is an RWA weight</w:t>
      </w:r>
    </w:p>
    <w:p w14:paraId="7FF679B4" w14:textId="77777777" w:rsidR="005E08C3" w:rsidRDefault="00000000">
      <w:pPr>
        <w:spacing w:before="40" w:after="40"/>
      </w:pPr>
      <w:r>
        <w:rPr>
          <w:color w:val="0E2C4B"/>
          <w:sz w:val="21"/>
        </w:rPr>
        <w:t>5.  The 8% bridge and the 1250% ceiling</w:t>
      </w:r>
    </w:p>
    <w:p w14:paraId="2DA7F0FE" w14:textId="1148C333" w:rsidR="005E08C3" w:rsidRDefault="00000000">
      <w:pPr>
        <w:spacing w:before="40" w:after="40"/>
      </w:pPr>
      <w:r>
        <w:rPr>
          <w:color w:val="0E2C4B"/>
          <w:sz w:val="21"/>
        </w:rPr>
        <w:t xml:space="preserve">6.  The 12.5x error, worked from </w:t>
      </w:r>
      <w:r w:rsidR="00D26544">
        <w:rPr>
          <w:color w:val="0E2C4B"/>
          <w:sz w:val="21"/>
        </w:rPr>
        <w:t>trading book</w:t>
      </w:r>
    </w:p>
    <w:p w14:paraId="1ED50AD4" w14:textId="77777777" w:rsidR="005E08C3" w:rsidRDefault="00000000">
      <w:pPr>
        <w:spacing w:before="40" w:after="40"/>
      </w:pPr>
      <w:r>
        <w:rPr>
          <w:color w:val="0E2C4B"/>
          <w:sz w:val="21"/>
        </w:rPr>
        <w:t>7.  The '100%' trap — one number, two scales</w:t>
      </w:r>
    </w:p>
    <w:p w14:paraId="6E0D3696" w14:textId="77777777" w:rsidR="005E08C3" w:rsidRDefault="00000000">
      <w:pPr>
        <w:spacing w:before="40" w:after="40"/>
      </w:pPr>
      <w:r>
        <w:rPr>
          <w:color w:val="0E2C4B"/>
          <w:sz w:val="21"/>
        </w:rPr>
        <w:t>8.  Why it matters &amp; how the engine gets it right</w:t>
      </w:r>
    </w:p>
    <w:p w14:paraId="0BF414F4" w14:textId="77777777" w:rsidR="005E08C3" w:rsidRDefault="00000000">
      <w:pPr>
        <w:spacing w:before="40" w:after="40"/>
      </w:pPr>
      <w:r>
        <w:rPr>
          <w:b/>
          <w:color w:val="355574"/>
          <w:sz w:val="21"/>
        </w:rPr>
        <w:t>Appendix A — Capital reconciliation (four positions)</w:t>
      </w:r>
    </w:p>
    <w:p w14:paraId="2DD47CE1" w14:textId="77777777" w:rsidR="005E08C3" w:rsidRDefault="00000000">
      <w:pPr>
        <w:spacing w:before="40" w:after="40"/>
      </w:pPr>
      <w:r>
        <w:rPr>
          <w:b/>
          <w:color w:val="355574"/>
          <w:sz w:val="21"/>
        </w:rPr>
        <w:t>References</w:t>
      </w:r>
    </w:p>
    <w:p w14:paraId="4BC78BF8" w14:textId="77777777" w:rsidR="005E08C3" w:rsidRDefault="00000000">
      <w:r>
        <w:br w:type="page"/>
      </w:r>
    </w:p>
    <w:p w14:paraId="415186D4" w14:textId="77777777" w:rsidR="005E08C3" w:rsidRDefault="00000000">
      <w:pPr>
        <w:keepNext/>
        <w:pBdr>
          <w:bottom w:val="single" w:sz="10" w:space="4" w:color="0E2C4B"/>
        </w:pBdr>
        <w:spacing w:before="400" w:after="140"/>
      </w:pPr>
      <w:r>
        <w:rPr>
          <w:b/>
          <w:color w:val="0E2C4B"/>
          <w:sz w:val="32"/>
        </w:rPr>
        <w:lastRenderedPageBreak/>
        <w:t>1.  Executive Summary — the 12.5x trap</w:t>
      </w:r>
    </w:p>
    <w:p w14:paraId="6FAE55C5" w14:textId="77777777" w:rsidR="005E08C3" w:rsidRDefault="00000000">
      <w:pPr>
        <w:spacing w:before="40" w:after="100" w:line="269" w:lineRule="auto"/>
      </w:pPr>
      <w:r>
        <w:rPr>
          <w:color w:val="1A1A1A"/>
          <w:sz w:val="21"/>
        </w:rPr>
        <w:t xml:space="preserve">In the FRTB Default Risk Charge the word </w:t>
      </w:r>
      <w:r>
        <w:rPr>
          <w:b/>
          <w:color w:val="1A1A1A"/>
          <w:sz w:val="21"/>
        </w:rPr>
        <w:t>risk weight</w:t>
      </w:r>
      <w:r>
        <w:rPr>
          <w:color w:val="1A1A1A"/>
          <w:sz w:val="21"/>
        </w:rPr>
        <w:t xml:space="preserve"> carries two completely different meanings, and confusing them is the single most expensive arithmetic mistake in the whole calculation. For a </w:t>
      </w:r>
      <w:r>
        <w:rPr>
          <w:b/>
          <w:color w:val="1A1A1A"/>
          <w:sz w:val="21"/>
        </w:rPr>
        <w:t>non-securitisation</w:t>
      </w:r>
      <w:r>
        <w:rPr>
          <w:color w:val="1A1A1A"/>
          <w:sz w:val="21"/>
        </w:rPr>
        <w:t xml:space="preserve">, the risk weight is a </w:t>
      </w:r>
      <w:r>
        <w:rPr>
          <w:b/>
          <w:color w:val="1A1A1A"/>
          <w:sz w:val="21"/>
        </w:rPr>
        <w:t>loss rate</w:t>
      </w:r>
      <w:r>
        <w:rPr>
          <w:color w:val="1A1A1A"/>
          <w:sz w:val="21"/>
        </w:rPr>
        <w:t xml:space="preserve"> — it already is the capital, expressed as a fraction of the exposure, and you apply it directly. For a </w:t>
      </w:r>
      <w:r>
        <w:rPr>
          <w:b/>
          <w:color w:val="1A1A1A"/>
          <w:sz w:val="21"/>
        </w:rPr>
        <w:t>securitisation</w:t>
      </w:r>
      <w:r>
        <w:rPr>
          <w:color w:val="1A1A1A"/>
          <w:sz w:val="21"/>
        </w:rPr>
        <w:t xml:space="preserve">, the risk weight is a </w:t>
      </w:r>
      <w:r>
        <w:rPr>
          <w:b/>
          <w:color w:val="1A1A1A"/>
          <w:sz w:val="21"/>
        </w:rPr>
        <w:t>banking-book RWA risk weight</w:t>
      </w:r>
      <w:r>
        <w:rPr>
          <w:color w:val="1A1A1A"/>
          <w:sz w:val="21"/>
        </w:rPr>
        <w:t xml:space="preserve"> — it is </w:t>
      </w:r>
      <w:r>
        <w:rPr>
          <w:b/>
          <w:color w:val="1A1A1A"/>
          <w:sz w:val="21"/>
        </w:rPr>
        <w:t>12.5 times</w:t>
      </w:r>
      <w:r>
        <w:rPr>
          <w:color w:val="1A1A1A"/>
          <w:sz w:val="21"/>
        </w:rPr>
        <w:t xml:space="preserve"> the capital, and you must multiply it by the </w:t>
      </w:r>
      <w:r>
        <w:rPr>
          <w:b/>
          <w:color w:val="1A1A1A"/>
          <w:sz w:val="21"/>
        </w:rPr>
        <w:t>8% Cooke factor</w:t>
      </w:r>
      <w:r>
        <w:rPr>
          <w:color w:val="1A1A1A"/>
          <w:sz w:val="21"/>
        </w:rPr>
        <w:t xml:space="preserve"> to turn it back into a capital number.</w:t>
      </w:r>
    </w:p>
    <w:p w14:paraId="0E1D4FD8" w14:textId="77777777" w:rsidR="005E08C3" w:rsidRDefault="00000000">
      <w:pPr>
        <w:spacing w:before="40" w:after="100" w:line="269" w:lineRule="auto"/>
      </w:pPr>
      <w:r>
        <w:rPr>
          <w:color w:val="1A1A1A"/>
          <w:sz w:val="21"/>
        </w:rPr>
        <w:t xml:space="preserve">The two regimes even have different ceilings, and the ceilings give the game away: non-securitisation risk weights top out at </w:t>
      </w:r>
      <w:r>
        <w:rPr>
          <w:b/>
          <w:color w:val="1A1A1A"/>
          <w:sz w:val="21"/>
        </w:rPr>
        <w:t>100%</w:t>
      </w:r>
      <w:r>
        <w:rPr>
          <w:color w:val="1A1A1A"/>
          <w:sz w:val="21"/>
        </w:rPr>
        <w:t xml:space="preserve"> (a total loss), while securitisation risk weights run all the way to </w:t>
      </w:r>
      <w:r>
        <w:rPr>
          <w:b/>
          <w:color w:val="1A1A1A"/>
          <w:sz w:val="21"/>
        </w:rPr>
        <w:t>1250%</w:t>
      </w:r>
      <w:r>
        <w:rPr>
          <w:color w:val="1A1A1A"/>
          <w:sz w:val="21"/>
        </w:rPr>
        <w:t xml:space="preserve">. The ratio 1250% / 100% is exactly </w:t>
      </w:r>
      <w:r>
        <w:rPr>
          <w:b/>
          <w:color w:val="1A1A1A"/>
          <w:sz w:val="21"/>
        </w:rPr>
        <w:t>12.5 = 1 / 8%</w:t>
      </w:r>
      <w:r>
        <w:rPr>
          <w:color w:val="1A1A1A"/>
          <w:sz w:val="21"/>
        </w:rPr>
        <w:t xml:space="preserve"> — the Cooke ratio. A securitisation weight of 1250% is not '12.5x a loss'; it is the </w:t>
      </w:r>
      <w:r>
        <w:rPr>
          <w:b/>
          <w:color w:val="1A1A1A"/>
          <w:sz w:val="21"/>
        </w:rPr>
        <w:t>deduction-equivalent</w:t>
      </w:r>
      <w:r>
        <w:rPr>
          <w:color w:val="1A1A1A"/>
          <w:sz w:val="21"/>
        </w:rPr>
        <w:t xml:space="preserve"> risk weight, because 1250% x 8% = 100%.</w:t>
      </w:r>
    </w:p>
    <w:p w14:paraId="158CCCE4" w14:textId="37A4B143" w:rsidR="005E08C3" w:rsidRDefault="00000000">
      <w:pPr>
        <w:pBdr>
          <w:left w:val="single" w:sz="18" w:space="4" w:color="C2453C"/>
        </w:pBdr>
        <w:shd w:val="clear" w:color="auto" w:fill="F7E9E7"/>
        <w:spacing w:before="120" w:after="120"/>
        <w:ind w:left="72" w:right="72"/>
      </w:pPr>
      <w:r>
        <w:rPr>
          <w:b/>
          <w:color w:val="C2453C"/>
          <w:sz w:val="19"/>
        </w:rPr>
        <w:t xml:space="preserve">  THE HEADLINE NUMBER   </w:t>
      </w:r>
      <w:r>
        <w:rPr>
          <w:color w:val="2A2A2A"/>
          <w:sz w:val="19"/>
        </w:rPr>
        <w:t xml:space="preserve">Omit the 8% factor on the securitisation book and  securitisation DRC leaps from </w:t>
      </w:r>
      <w:r>
        <w:rPr>
          <w:b/>
          <w:color w:val="2A2A2A"/>
          <w:sz w:val="19"/>
        </w:rPr>
        <w:t>$27.4m to $342.4m</w:t>
      </w:r>
      <w:r>
        <w:rPr>
          <w:color w:val="2A2A2A"/>
          <w:sz w:val="19"/>
        </w:rPr>
        <w:t xml:space="preserve"> — a default-risk charge </w:t>
      </w:r>
      <w:r>
        <w:rPr>
          <w:b/>
          <w:color w:val="2A2A2A"/>
          <w:sz w:val="19"/>
        </w:rPr>
        <w:t>larger than the entire securitisation portfolio's market value (~$341m)</w:t>
      </w:r>
      <w:r>
        <w:rPr>
          <w:color w:val="2A2A2A"/>
          <w:sz w:val="19"/>
        </w:rPr>
        <w:t xml:space="preserve">. Capital cannot exceed the assets it is held against; a result that does is the unmistakable fingerprint of a forgotten 8%. The error is always the same size: </w:t>
      </w:r>
      <w:r>
        <w:rPr>
          <w:b/>
          <w:color w:val="2A2A2A"/>
          <w:sz w:val="19"/>
        </w:rPr>
        <w:t>exactly 12.5x</w:t>
      </w:r>
      <w:r>
        <w:rPr>
          <w:color w:val="2A2A2A"/>
          <w:sz w:val="19"/>
        </w:rPr>
        <w:t>, on every position, whatever its risk weight.</w:t>
      </w:r>
    </w:p>
    <w:p w14:paraId="559CFBE0" w14:textId="2B0B07FC" w:rsidR="005E08C3" w:rsidRDefault="00000000">
      <w:pPr>
        <w:spacing w:before="40" w:after="100" w:line="269" w:lineRule="auto"/>
      </w:pPr>
      <w:r>
        <w:rPr>
          <w:color w:val="1A1A1A"/>
          <w:sz w:val="21"/>
        </w:rPr>
        <w:t xml:space="preserve">This note explains, with the actual </w:t>
      </w:r>
      <w:r w:rsidR="00D26544">
        <w:rPr>
          <w:color w:val="1A1A1A"/>
          <w:sz w:val="21"/>
        </w:rPr>
        <w:t>portfolio</w:t>
      </w:r>
      <w:r>
        <w:rPr>
          <w:color w:val="1A1A1A"/>
          <w:sz w:val="21"/>
        </w:rPr>
        <w:t xml:space="preserve"> figures, why the two regimes differ, what 100% and 1250% each really mean, and why the 8% is not an optional 'simplification' but the exact inverse of how a securitisation risk weight is defined.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035"/>
        <w:gridCol w:w="2608"/>
        <w:gridCol w:w="993"/>
        <w:gridCol w:w="1871"/>
        <w:gridCol w:w="1069"/>
      </w:tblGrid>
      <w:tr w:rsidR="005E08C3" w14:paraId="1D3199B1" w14:textId="77777777">
        <w:trPr>
          <w:jc w:val="center"/>
        </w:trPr>
        <w:tc>
          <w:tcPr>
            <w:tcW w:w="3168" w:type="dxa"/>
            <w:shd w:val="clear" w:color="auto" w:fill="0E2C4B"/>
          </w:tcPr>
          <w:p w14:paraId="0277B14C" w14:textId="77777777" w:rsidR="005E08C3" w:rsidRDefault="00000000">
            <w:pPr>
              <w:spacing w:before="40" w:after="40"/>
            </w:pPr>
            <w:r>
              <w:rPr>
                <w:b/>
                <w:color w:val="FFFFFF"/>
                <w:sz w:val="18"/>
              </w:rPr>
              <w:t>Regime</w:t>
            </w:r>
          </w:p>
        </w:tc>
        <w:tc>
          <w:tcPr>
            <w:tcW w:w="2736" w:type="dxa"/>
            <w:shd w:val="clear" w:color="auto" w:fill="0E2C4B"/>
          </w:tcPr>
          <w:p w14:paraId="44D959D2" w14:textId="77777777" w:rsidR="005E08C3" w:rsidRDefault="00000000">
            <w:pPr>
              <w:spacing w:before="40" w:after="40"/>
            </w:pPr>
            <w:r>
              <w:rPr>
                <w:b/>
                <w:color w:val="FFFFFF"/>
                <w:sz w:val="18"/>
              </w:rPr>
              <w:t>What the 'risk weight' is</w:t>
            </w:r>
          </w:p>
        </w:tc>
        <w:tc>
          <w:tcPr>
            <w:tcW w:w="1008" w:type="dxa"/>
            <w:shd w:val="clear" w:color="auto" w:fill="0E2C4B"/>
          </w:tcPr>
          <w:p w14:paraId="6157A362" w14:textId="77777777" w:rsidR="005E08C3" w:rsidRDefault="00000000">
            <w:pPr>
              <w:spacing w:before="40" w:after="40"/>
            </w:pPr>
            <w:r>
              <w:rPr>
                <w:b/>
                <w:color w:val="FFFFFF"/>
                <w:sz w:val="18"/>
              </w:rPr>
              <w:t>Ceiling</w:t>
            </w:r>
          </w:p>
        </w:tc>
        <w:tc>
          <w:tcPr>
            <w:tcW w:w="1944" w:type="dxa"/>
            <w:shd w:val="clear" w:color="auto" w:fill="0E2C4B"/>
          </w:tcPr>
          <w:p w14:paraId="7A23CC20" w14:textId="77777777" w:rsidR="005E08C3" w:rsidRDefault="00000000">
            <w:pPr>
              <w:spacing w:before="40" w:after="40"/>
            </w:pPr>
            <w:r>
              <w:rPr>
                <w:b/>
                <w:color w:val="FFFFFF"/>
                <w:sz w:val="18"/>
              </w:rPr>
              <w:t>Capital formula</w:t>
            </w:r>
          </w:p>
        </w:tc>
        <w:tc>
          <w:tcPr>
            <w:tcW w:w="1080" w:type="dxa"/>
            <w:shd w:val="clear" w:color="auto" w:fill="0E2C4B"/>
          </w:tcPr>
          <w:p w14:paraId="4A5AEC8C" w14:textId="77777777" w:rsidR="005E08C3" w:rsidRDefault="00000000">
            <w:pPr>
              <w:spacing w:before="40" w:after="40"/>
            </w:pPr>
            <w:r>
              <w:rPr>
                <w:b/>
                <w:color w:val="FFFFFF"/>
                <w:sz w:val="18"/>
              </w:rPr>
              <w:t>8% applied?</w:t>
            </w:r>
          </w:p>
        </w:tc>
      </w:tr>
      <w:tr w:rsidR="005E08C3" w14:paraId="4DF4AC43" w14:textId="77777777">
        <w:trPr>
          <w:jc w:val="center"/>
        </w:trPr>
        <w:tc>
          <w:tcPr>
            <w:tcW w:w="3168" w:type="dxa"/>
            <w:shd w:val="clear" w:color="auto" w:fill="F2F2F2"/>
          </w:tcPr>
          <w:p w14:paraId="12E1E52F" w14:textId="77777777" w:rsidR="005E08C3" w:rsidRDefault="00000000">
            <w:pPr>
              <w:spacing w:before="40" w:after="40"/>
            </w:pPr>
            <w:r>
              <w:rPr>
                <w:color w:val="1A1A1A"/>
                <w:sz w:val="17"/>
              </w:rPr>
              <w:t>Non-securitisation (MAR22.24)</w:t>
            </w:r>
          </w:p>
        </w:tc>
        <w:tc>
          <w:tcPr>
            <w:tcW w:w="2736" w:type="dxa"/>
            <w:shd w:val="clear" w:color="auto" w:fill="F2F2F2"/>
          </w:tcPr>
          <w:p w14:paraId="7F21F34B" w14:textId="77777777" w:rsidR="005E08C3" w:rsidRDefault="00000000">
            <w:pPr>
              <w:spacing w:before="40" w:after="40"/>
            </w:pPr>
            <w:r>
              <w:rPr>
                <w:color w:val="1A1A1A"/>
                <w:sz w:val="17"/>
              </w:rPr>
              <w:t>A loss rate (capital already)</w:t>
            </w:r>
          </w:p>
        </w:tc>
        <w:tc>
          <w:tcPr>
            <w:tcW w:w="1008" w:type="dxa"/>
            <w:shd w:val="clear" w:color="auto" w:fill="F2F2F2"/>
          </w:tcPr>
          <w:p w14:paraId="547F7F6D" w14:textId="77777777" w:rsidR="005E08C3" w:rsidRDefault="00000000">
            <w:pPr>
              <w:spacing w:before="40" w:after="40"/>
            </w:pPr>
            <w:r>
              <w:rPr>
                <w:color w:val="1A1A1A"/>
                <w:sz w:val="17"/>
              </w:rPr>
              <w:t>100%</w:t>
            </w:r>
          </w:p>
        </w:tc>
        <w:tc>
          <w:tcPr>
            <w:tcW w:w="1944" w:type="dxa"/>
            <w:shd w:val="clear" w:color="auto" w:fill="F2F2F2"/>
          </w:tcPr>
          <w:p w14:paraId="3A486A1D" w14:textId="77777777" w:rsidR="005E08C3" w:rsidRDefault="00000000">
            <w:pPr>
              <w:spacing w:before="40" w:after="40"/>
            </w:pPr>
            <w:r>
              <w:rPr>
                <w:color w:val="1A1A1A"/>
                <w:sz w:val="17"/>
              </w:rPr>
              <w:t>RW x net JTD</w:t>
            </w:r>
          </w:p>
        </w:tc>
        <w:tc>
          <w:tcPr>
            <w:tcW w:w="1080" w:type="dxa"/>
            <w:shd w:val="clear" w:color="auto" w:fill="F2F2F2"/>
          </w:tcPr>
          <w:p w14:paraId="071BBB7F" w14:textId="77777777" w:rsidR="005E08C3" w:rsidRDefault="00000000">
            <w:pPr>
              <w:spacing w:before="40" w:after="40"/>
            </w:pPr>
            <w:r>
              <w:rPr>
                <w:b/>
                <w:color w:val="C2453C"/>
                <w:sz w:val="17"/>
              </w:rPr>
              <w:t>No</w:t>
            </w:r>
          </w:p>
        </w:tc>
      </w:tr>
      <w:tr w:rsidR="005E08C3" w14:paraId="6A233D45" w14:textId="77777777">
        <w:trPr>
          <w:jc w:val="center"/>
        </w:trPr>
        <w:tc>
          <w:tcPr>
            <w:tcW w:w="3168" w:type="dxa"/>
            <w:shd w:val="clear" w:color="auto" w:fill="FFFFFF"/>
          </w:tcPr>
          <w:p w14:paraId="3E8157DD" w14:textId="77777777" w:rsidR="005E08C3" w:rsidRDefault="00000000">
            <w:pPr>
              <w:spacing w:before="40" w:after="40"/>
            </w:pPr>
            <w:r>
              <w:rPr>
                <w:color w:val="1A1A1A"/>
                <w:sz w:val="17"/>
              </w:rPr>
              <w:t>Securitisation (MAR22.34 / CRE40-44)</w:t>
            </w:r>
          </w:p>
        </w:tc>
        <w:tc>
          <w:tcPr>
            <w:tcW w:w="2736" w:type="dxa"/>
            <w:shd w:val="clear" w:color="auto" w:fill="FFFFFF"/>
          </w:tcPr>
          <w:p w14:paraId="031484BE" w14:textId="77777777" w:rsidR="005E08C3" w:rsidRDefault="00000000">
            <w:pPr>
              <w:spacing w:before="40" w:after="40"/>
            </w:pPr>
            <w:r>
              <w:rPr>
                <w:color w:val="1A1A1A"/>
                <w:sz w:val="17"/>
              </w:rPr>
              <w:t>A banking-book RWA weight</w:t>
            </w:r>
          </w:p>
        </w:tc>
        <w:tc>
          <w:tcPr>
            <w:tcW w:w="1008" w:type="dxa"/>
            <w:shd w:val="clear" w:color="auto" w:fill="FFFFFF"/>
          </w:tcPr>
          <w:p w14:paraId="45351D21" w14:textId="77777777" w:rsidR="005E08C3" w:rsidRDefault="00000000">
            <w:pPr>
              <w:spacing w:before="40" w:after="40"/>
            </w:pPr>
            <w:r>
              <w:rPr>
                <w:color w:val="1A1A1A"/>
                <w:sz w:val="17"/>
              </w:rPr>
              <w:t>1250%</w:t>
            </w:r>
          </w:p>
        </w:tc>
        <w:tc>
          <w:tcPr>
            <w:tcW w:w="1944" w:type="dxa"/>
            <w:shd w:val="clear" w:color="auto" w:fill="FFFFFF"/>
          </w:tcPr>
          <w:p w14:paraId="21AB45FF" w14:textId="77777777" w:rsidR="005E08C3" w:rsidRDefault="00000000">
            <w:pPr>
              <w:spacing w:before="40" w:after="40"/>
            </w:pPr>
            <w:r>
              <w:rPr>
                <w:color w:val="1A1A1A"/>
                <w:sz w:val="17"/>
              </w:rPr>
              <w:t>RW x 8% x net JTD</w:t>
            </w:r>
          </w:p>
        </w:tc>
        <w:tc>
          <w:tcPr>
            <w:tcW w:w="1080" w:type="dxa"/>
            <w:shd w:val="clear" w:color="auto" w:fill="FFFFFF"/>
          </w:tcPr>
          <w:p w14:paraId="42A90B4C" w14:textId="77777777" w:rsidR="005E08C3" w:rsidRDefault="00000000">
            <w:pPr>
              <w:spacing w:before="40" w:after="40"/>
            </w:pPr>
            <w:r>
              <w:rPr>
                <w:b/>
                <w:color w:val="C2453C"/>
                <w:sz w:val="17"/>
              </w:rPr>
              <w:t>Yes</w:t>
            </w:r>
          </w:p>
        </w:tc>
      </w:tr>
    </w:tbl>
    <w:p w14:paraId="64F27806" w14:textId="77777777" w:rsidR="005E08C3" w:rsidRDefault="00000000">
      <w:pPr>
        <w:spacing w:before="60"/>
      </w:pPr>
      <w:r>
        <w:rPr>
          <w:b/>
          <w:color w:val="0E2C4B"/>
          <w:sz w:val="17"/>
        </w:rPr>
        <w:t xml:space="preserve">Exhibit 1.  </w:t>
      </w:r>
      <w:r>
        <w:rPr>
          <w:i/>
          <w:color w:val="555555"/>
          <w:sz w:val="17"/>
        </w:rPr>
        <w:t>The whole note in one row each. Same word — 'risk weight' — on two different scales; the 8% is what bridges them.</w:t>
      </w:r>
    </w:p>
    <w:p w14:paraId="44F376F7" w14:textId="77777777" w:rsidR="005E08C3" w:rsidRDefault="00000000">
      <w:pPr>
        <w:keepNext/>
        <w:pBdr>
          <w:bottom w:val="single" w:sz="10" w:space="4" w:color="0E2C4B"/>
        </w:pBdr>
        <w:spacing w:before="400" w:after="140"/>
      </w:pPr>
      <w:r>
        <w:rPr>
          <w:b/>
          <w:color w:val="0E2C4B"/>
          <w:sz w:val="32"/>
        </w:rPr>
        <w:t>2.  Two meanings of 'risk weight'</w:t>
      </w:r>
    </w:p>
    <w:p w14:paraId="4B27B414" w14:textId="77777777" w:rsidR="005E08C3" w:rsidRDefault="00000000">
      <w:pPr>
        <w:spacing w:before="40" w:after="100" w:line="269" w:lineRule="auto"/>
      </w:pPr>
      <w:r>
        <w:rPr>
          <w:color w:val="1A1A1A"/>
          <w:sz w:val="21"/>
        </w:rPr>
        <w:t>A 'risk weight' in Basel can live on either of two scales, and DRC uses both — one for each branch:</w:t>
      </w:r>
    </w:p>
    <w:p w14:paraId="4D342EA5" w14:textId="77777777" w:rsidR="005E08C3" w:rsidRDefault="00000000">
      <w:pPr>
        <w:pStyle w:val="ListBullet"/>
        <w:spacing w:before="20" w:after="40" w:line="264" w:lineRule="auto"/>
        <w:ind w:left="403"/>
      </w:pPr>
      <w:r>
        <w:rPr>
          <w:b/>
          <w:sz w:val="21"/>
        </w:rPr>
        <w:t>The capital scale (loss-rate scale).</w:t>
      </w:r>
      <w:r>
        <w:rPr>
          <w:sz w:val="21"/>
        </w:rPr>
        <w:t xml:space="preserve"> The number is already the capital, as a fraction of the exposure. 100% means 'hold capital equal to the whole exposure' — a total loss. Non-securitisation DRC lives here.</w:t>
      </w:r>
    </w:p>
    <w:p w14:paraId="65EE3F70" w14:textId="77777777" w:rsidR="005E08C3" w:rsidRDefault="00000000">
      <w:pPr>
        <w:pStyle w:val="ListBullet"/>
        <w:spacing w:before="20" w:after="40" w:line="264" w:lineRule="auto"/>
        <w:ind w:left="403"/>
      </w:pPr>
      <w:r>
        <w:rPr>
          <w:b/>
          <w:sz w:val="21"/>
        </w:rPr>
        <w:t>The RWA scale.</w:t>
      </w:r>
      <w:r>
        <w:rPr>
          <w:sz w:val="21"/>
        </w:rPr>
        <w:t xml:space="preserve"> The number is a risk weight applied to an exposure to produce </w:t>
      </w:r>
      <w:r>
        <w:rPr>
          <w:b/>
          <w:sz w:val="21"/>
        </w:rPr>
        <w:t>risk-weighted assets</w:t>
      </w:r>
      <w:r>
        <w:rPr>
          <w:sz w:val="21"/>
        </w:rPr>
        <w:t>; capital is then 8% of that RWA. On this scale 100% means 'hold 8% of the exposure' — a normal corporate weight — and you need 1250% to reach a full deduction. Securitisation DRC lives here, because it imports the banking-book securitisation risk weights.</w:t>
      </w:r>
    </w:p>
    <w:p w14:paraId="0004A12E" w14:textId="77777777" w:rsidR="005E08C3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7F4AA573" wp14:editId="6DBA245C">
            <wp:extent cx="5760720" cy="2620261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_rw8_ladder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6202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A80DFE" w14:textId="77777777" w:rsidR="005E08C3" w:rsidRDefault="00000000">
      <w:pPr>
        <w:spacing w:before="60"/>
      </w:pPr>
      <w:r>
        <w:rPr>
          <w:b/>
          <w:color w:val="0E2C4B"/>
          <w:sz w:val="17"/>
        </w:rPr>
        <w:t xml:space="preserve">Exhibit 2.  </w:t>
      </w:r>
      <w:r>
        <w:rPr>
          <w:i/>
          <w:color w:val="555555"/>
          <w:sz w:val="17"/>
        </w:rPr>
        <w:t>The two scales drawn to the same physical length. The non-securitisation scale ends at 100%; the securitisation scale ends at 1250%. 100% capital and 1250% RWA are the same point — the 8% factor (÷12.5) is the bridge between them.</w:t>
      </w:r>
    </w:p>
    <w:p w14:paraId="662DB086" w14:textId="77777777" w:rsidR="005E08C3" w:rsidRDefault="00000000">
      <w:pPr>
        <w:pBdr>
          <w:left w:val="single" w:sz="18" w:space="4" w:color="355574"/>
        </w:pBdr>
        <w:shd w:val="clear" w:color="auto" w:fill="F4F1EA"/>
        <w:spacing w:before="120" w:after="120"/>
        <w:ind w:left="72" w:right="72"/>
      </w:pPr>
      <w:r>
        <w:rPr>
          <w:b/>
          <w:color w:val="355574"/>
          <w:sz w:val="19"/>
        </w:rPr>
        <w:t xml:space="preserve">  THE TELL   </w:t>
      </w:r>
      <w:r>
        <w:rPr>
          <w:color w:val="2A2A2A"/>
          <w:sz w:val="19"/>
        </w:rPr>
        <w:t xml:space="preserve">Wherever you see a </w:t>
      </w:r>
      <w:r>
        <w:rPr>
          <w:b/>
          <w:color w:val="2A2A2A"/>
          <w:sz w:val="19"/>
        </w:rPr>
        <w:t>1250%</w:t>
      </w:r>
      <w:r>
        <w:rPr>
          <w:color w:val="2A2A2A"/>
          <w:sz w:val="19"/>
        </w:rPr>
        <w:t xml:space="preserve"> in a risk-weight table, you are on the </w:t>
      </w:r>
      <w:r>
        <w:rPr>
          <w:b/>
          <w:color w:val="2A2A2A"/>
          <w:sz w:val="19"/>
        </w:rPr>
        <w:t>RWA scale</w:t>
      </w:r>
      <w:r>
        <w:rPr>
          <w:color w:val="2A2A2A"/>
          <w:sz w:val="19"/>
        </w:rPr>
        <w:t xml:space="preserve"> — and an 8% multiplication is still pending. Non-securitisation tables never exceed 100%, because there is nothing past a total loss to express.</w:t>
      </w:r>
    </w:p>
    <w:p w14:paraId="01D9F7EC" w14:textId="77777777" w:rsidR="005E08C3" w:rsidRDefault="00000000">
      <w:pPr>
        <w:keepNext/>
        <w:pBdr>
          <w:bottom w:val="single" w:sz="10" w:space="4" w:color="0E2C4B"/>
        </w:pBdr>
        <w:spacing w:before="400" w:after="140"/>
      </w:pPr>
      <w:r>
        <w:rPr>
          <w:b/>
          <w:color w:val="0E2C4B"/>
          <w:sz w:val="32"/>
        </w:rPr>
        <w:t>3.  Non-securitisation — the risk weight is a loss rate</w:t>
      </w:r>
    </w:p>
    <w:p w14:paraId="2208DA26" w14:textId="77777777" w:rsidR="005E08C3" w:rsidRDefault="00000000">
      <w:pPr>
        <w:spacing w:before="40" w:after="100" w:line="269" w:lineRule="auto"/>
      </w:pPr>
      <w:r>
        <w:rPr>
          <w:color w:val="1A1A1A"/>
          <w:sz w:val="21"/>
        </w:rPr>
        <w:t xml:space="preserve">For non-securitisations, MAR22.24 sets the default risk weights directly by credit-quality category. These are </w:t>
      </w:r>
      <w:r>
        <w:rPr>
          <w:b/>
          <w:color w:val="1A1A1A"/>
          <w:sz w:val="21"/>
        </w:rPr>
        <w:t>loss rates</w:t>
      </w:r>
      <w:r>
        <w:rPr>
          <w:color w:val="1A1A1A"/>
          <w:sz w:val="21"/>
        </w:rPr>
        <w:t xml:space="preserve">: the fraction of the jump-to-default exposure you would expect to lose, expressed as capital. They are applied to net JTD with </w:t>
      </w:r>
      <w:r>
        <w:rPr>
          <w:b/>
          <w:color w:val="1A1A1A"/>
          <w:sz w:val="21"/>
        </w:rPr>
        <w:t>no further scaling</w:t>
      </w:r>
      <w:r>
        <w:rPr>
          <w:color w:val="1A1A1A"/>
          <w:sz w:val="21"/>
        </w:rPr>
        <w:t xml:space="preserve"> — the DRC bucket formula (MAR22.25) reads RW x net JTD, and the output is already a capital charge.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916"/>
        <w:gridCol w:w="836"/>
        <w:gridCol w:w="815"/>
        <w:gridCol w:w="815"/>
        <w:gridCol w:w="833"/>
        <w:gridCol w:w="831"/>
        <w:gridCol w:w="831"/>
        <w:gridCol w:w="831"/>
        <w:gridCol w:w="887"/>
        <w:gridCol w:w="981"/>
      </w:tblGrid>
      <w:tr w:rsidR="005E08C3" w14:paraId="0042C41F" w14:textId="77777777">
        <w:trPr>
          <w:jc w:val="center"/>
        </w:trPr>
        <w:tc>
          <w:tcPr>
            <w:tcW w:w="2160" w:type="dxa"/>
            <w:shd w:val="clear" w:color="auto" w:fill="0E2C4B"/>
          </w:tcPr>
          <w:p w14:paraId="48A5AD3D" w14:textId="77777777" w:rsidR="005E08C3" w:rsidRDefault="00000000">
            <w:pPr>
              <w:spacing w:before="40" w:after="40"/>
            </w:pPr>
            <w:r>
              <w:rPr>
                <w:b/>
                <w:color w:val="FFFFFF"/>
                <w:sz w:val="17"/>
              </w:rPr>
              <w:t>Credit quality</w:t>
            </w:r>
          </w:p>
        </w:tc>
        <w:tc>
          <w:tcPr>
            <w:tcW w:w="893" w:type="dxa"/>
            <w:shd w:val="clear" w:color="auto" w:fill="0E2C4B"/>
          </w:tcPr>
          <w:p w14:paraId="16F3C7F1" w14:textId="77777777" w:rsidR="005E08C3" w:rsidRDefault="00000000">
            <w:pPr>
              <w:spacing w:before="40" w:after="40"/>
            </w:pPr>
            <w:r>
              <w:rPr>
                <w:b/>
                <w:color w:val="FFFFFF"/>
                <w:sz w:val="17"/>
              </w:rPr>
              <w:t>AAA</w:t>
            </w:r>
          </w:p>
        </w:tc>
        <w:tc>
          <w:tcPr>
            <w:tcW w:w="893" w:type="dxa"/>
            <w:shd w:val="clear" w:color="auto" w:fill="0E2C4B"/>
          </w:tcPr>
          <w:p w14:paraId="214A26AB" w14:textId="77777777" w:rsidR="005E08C3" w:rsidRDefault="00000000">
            <w:pPr>
              <w:spacing w:before="40" w:after="40"/>
            </w:pPr>
            <w:r>
              <w:rPr>
                <w:b/>
                <w:color w:val="FFFFFF"/>
                <w:sz w:val="17"/>
              </w:rPr>
              <w:t>AA</w:t>
            </w:r>
          </w:p>
        </w:tc>
        <w:tc>
          <w:tcPr>
            <w:tcW w:w="893" w:type="dxa"/>
            <w:shd w:val="clear" w:color="auto" w:fill="0E2C4B"/>
          </w:tcPr>
          <w:p w14:paraId="34BA37DA" w14:textId="77777777" w:rsidR="005E08C3" w:rsidRDefault="00000000">
            <w:pPr>
              <w:spacing w:before="40" w:after="40"/>
            </w:pPr>
            <w:r>
              <w:rPr>
                <w:b/>
                <w:color w:val="FFFFFF"/>
                <w:sz w:val="17"/>
              </w:rPr>
              <w:t>A</w:t>
            </w:r>
          </w:p>
        </w:tc>
        <w:tc>
          <w:tcPr>
            <w:tcW w:w="893" w:type="dxa"/>
            <w:shd w:val="clear" w:color="auto" w:fill="0E2C4B"/>
          </w:tcPr>
          <w:p w14:paraId="66FD75D8" w14:textId="77777777" w:rsidR="005E08C3" w:rsidRDefault="00000000">
            <w:pPr>
              <w:spacing w:before="40" w:after="40"/>
            </w:pPr>
            <w:r>
              <w:rPr>
                <w:b/>
                <w:color w:val="FFFFFF"/>
                <w:sz w:val="17"/>
              </w:rPr>
              <w:t>BBB</w:t>
            </w:r>
          </w:p>
        </w:tc>
        <w:tc>
          <w:tcPr>
            <w:tcW w:w="893" w:type="dxa"/>
            <w:shd w:val="clear" w:color="auto" w:fill="0E2C4B"/>
          </w:tcPr>
          <w:p w14:paraId="249EBC88" w14:textId="77777777" w:rsidR="005E08C3" w:rsidRDefault="00000000">
            <w:pPr>
              <w:spacing w:before="40" w:after="40"/>
            </w:pPr>
            <w:r>
              <w:rPr>
                <w:b/>
                <w:color w:val="FFFFFF"/>
                <w:sz w:val="17"/>
              </w:rPr>
              <w:t>BB</w:t>
            </w:r>
          </w:p>
        </w:tc>
        <w:tc>
          <w:tcPr>
            <w:tcW w:w="893" w:type="dxa"/>
            <w:shd w:val="clear" w:color="auto" w:fill="0E2C4B"/>
          </w:tcPr>
          <w:p w14:paraId="78B377CF" w14:textId="77777777" w:rsidR="005E08C3" w:rsidRDefault="00000000">
            <w:pPr>
              <w:spacing w:before="40" w:after="40"/>
            </w:pPr>
            <w:r>
              <w:rPr>
                <w:b/>
                <w:color w:val="FFFFFF"/>
                <w:sz w:val="17"/>
              </w:rPr>
              <w:t>B</w:t>
            </w:r>
          </w:p>
        </w:tc>
        <w:tc>
          <w:tcPr>
            <w:tcW w:w="893" w:type="dxa"/>
            <w:shd w:val="clear" w:color="auto" w:fill="0E2C4B"/>
          </w:tcPr>
          <w:p w14:paraId="18082834" w14:textId="77777777" w:rsidR="005E08C3" w:rsidRDefault="00000000">
            <w:pPr>
              <w:spacing w:before="40" w:after="40"/>
            </w:pPr>
            <w:r>
              <w:rPr>
                <w:b/>
                <w:color w:val="FFFFFF"/>
                <w:sz w:val="17"/>
              </w:rPr>
              <w:t>CCC</w:t>
            </w:r>
          </w:p>
        </w:tc>
        <w:tc>
          <w:tcPr>
            <w:tcW w:w="893" w:type="dxa"/>
            <w:shd w:val="clear" w:color="auto" w:fill="0E2C4B"/>
          </w:tcPr>
          <w:p w14:paraId="0BFB0ADE" w14:textId="77777777" w:rsidR="005E08C3" w:rsidRDefault="00000000">
            <w:pPr>
              <w:spacing w:before="40" w:after="40"/>
            </w:pPr>
            <w:r>
              <w:rPr>
                <w:b/>
                <w:color w:val="FFFFFF"/>
                <w:sz w:val="17"/>
              </w:rPr>
              <w:t>Unrated</w:t>
            </w:r>
          </w:p>
        </w:tc>
        <w:tc>
          <w:tcPr>
            <w:tcW w:w="893" w:type="dxa"/>
            <w:shd w:val="clear" w:color="auto" w:fill="0E2C4B"/>
          </w:tcPr>
          <w:p w14:paraId="38DC8E10" w14:textId="77777777" w:rsidR="005E08C3" w:rsidRDefault="00000000">
            <w:pPr>
              <w:spacing w:before="40" w:after="40"/>
            </w:pPr>
            <w:r>
              <w:rPr>
                <w:b/>
                <w:color w:val="FFFFFF"/>
                <w:sz w:val="17"/>
              </w:rPr>
              <w:t>Defaulted</w:t>
            </w:r>
          </w:p>
        </w:tc>
      </w:tr>
      <w:tr w:rsidR="005E08C3" w14:paraId="47FCEE96" w14:textId="77777777">
        <w:trPr>
          <w:jc w:val="center"/>
        </w:trPr>
        <w:tc>
          <w:tcPr>
            <w:tcW w:w="2160" w:type="dxa"/>
            <w:shd w:val="clear" w:color="auto" w:fill="F2F2F2"/>
          </w:tcPr>
          <w:p w14:paraId="1C6A979B" w14:textId="77777777" w:rsidR="005E08C3" w:rsidRDefault="00000000">
            <w:pPr>
              <w:spacing w:before="40" w:after="40"/>
            </w:pPr>
            <w:r>
              <w:rPr>
                <w:color w:val="1A1A1A"/>
                <w:sz w:val="16"/>
              </w:rPr>
              <w:t>Default risk weight</w:t>
            </w:r>
          </w:p>
        </w:tc>
        <w:tc>
          <w:tcPr>
            <w:tcW w:w="893" w:type="dxa"/>
            <w:shd w:val="clear" w:color="auto" w:fill="F2F2F2"/>
          </w:tcPr>
          <w:p w14:paraId="4046CD95" w14:textId="77777777" w:rsidR="005E08C3" w:rsidRDefault="00000000">
            <w:pPr>
              <w:spacing w:before="40" w:after="40"/>
            </w:pPr>
            <w:r>
              <w:rPr>
                <w:color w:val="1A1A1A"/>
                <w:sz w:val="16"/>
              </w:rPr>
              <w:t>0.5%</w:t>
            </w:r>
          </w:p>
        </w:tc>
        <w:tc>
          <w:tcPr>
            <w:tcW w:w="893" w:type="dxa"/>
            <w:shd w:val="clear" w:color="auto" w:fill="F2F2F2"/>
          </w:tcPr>
          <w:p w14:paraId="77499ECC" w14:textId="77777777" w:rsidR="005E08C3" w:rsidRDefault="00000000">
            <w:pPr>
              <w:spacing w:before="40" w:after="40"/>
            </w:pPr>
            <w:r>
              <w:rPr>
                <w:color w:val="1A1A1A"/>
                <w:sz w:val="16"/>
              </w:rPr>
              <w:t>2%</w:t>
            </w:r>
          </w:p>
        </w:tc>
        <w:tc>
          <w:tcPr>
            <w:tcW w:w="893" w:type="dxa"/>
            <w:shd w:val="clear" w:color="auto" w:fill="F2F2F2"/>
          </w:tcPr>
          <w:p w14:paraId="5E5DF7DC" w14:textId="77777777" w:rsidR="005E08C3" w:rsidRDefault="00000000">
            <w:pPr>
              <w:spacing w:before="40" w:after="40"/>
            </w:pPr>
            <w:r>
              <w:rPr>
                <w:color w:val="1A1A1A"/>
                <w:sz w:val="16"/>
              </w:rPr>
              <w:t>3%</w:t>
            </w:r>
          </w:p>
        </w:tc>
        <w:tc>
          <w:tcPr>
            <w:tcW w:w="893" w:type="dxa"/>
            <w:shd w:val="clear" w:color="auto" w:fill="F2F2F2"/>
          </w:tcPr>
          <w:p w14:paraId="55FAA796" w14:textId="77777777" w:rsidR="005E08C3" w:rsidRDefault="00000000">
            <w:pPr>
              <w:spacing w:before="40" w:after="40"/>
            </w:pPr>
            <w:r>
              <w:rPr>
                <w:color w:val="1A1A1A"/>
                <w:sz w:val="16"/>
              </w:rPr>
              <w:t>6%</w:t>
            </w:r>
          </w:p>
        </w:tc>
        <w:tc>
          <w:tcPr>
            <w:tcW w:w="893" w:type="dxa"/>
            <w:shd w:val="clear" w:color="auto" w:fill="F2F2F2"/>
          </w:tcPr>
          <w:p w14:paraId="0BFBF837" w14:textId="77777777" w:rsidR="005E08C3" w:rsidRDefault="00000000">
            <w:pPr>
              <w:spacing w:before="40" w:after="40"/>
            </w:pPr>
            <w:r>
              <w:rPr>
                <w:color w:val="1A1A1A"/>
                <w:sz w:val="16"/>
              </w:rPr>
              <w:t>15%</w:t>
            </w:r>
          </w:p>
        </w:tc>
        <w:tc>
          <w:tcPr>
            <w:tcW w:w="893" w:type="dxa"/>
            <w:shd w:val="clear" w:color="auto" w:fill="F2F2F2"/>
          </w:tcPr>
          <w:p w14:paraId="5C6E1DD6" w14:textId="77777777" w:rsidR="005E08C3" w:rsidRDefault="00000000">
            <w:pPr>
              <w:spacing w:before="40" w:after="40"/>
            </w:pPr>
            <w:r>
              <w:rPr>
                <w:color w:val="1A1A1A"/>
                <w:sz w:val="16"/>
              </w:rPr>
              <w:t>30%</w:t>
            </w:r>
          </w:p>
        </w:tc>
        <w:tc>
          <w:tcPr>
            <w:tcW w:w="893" w:type="dxa"/>
            <w:shd w:val="clear" w:color="auto" w:fill="F2F2F2"/>
          </w:tcPr>
          <w:p w14:paraId="077B7C01" w14:textId="77777777" w:rsidR="005E08C3" w:rsidRDefault="00000000">
            <w:pPr>
              <w:spacing w:before="40" w:after="40"/>
            </w:pPr>
            <w:r>
              <w:rPr>
                <w:color w:val="1A1A1A"/>
                <w:sz w:val="16"/>
              </w:rPr>
              <w:t>50%</w:t>
            </w:r>
          </w:p>
        </w:tc>
        <w:tc>
          <w:tcPr>
            <w:tcW w:w="893" w:type="dxa"/>
            <w:shd w:val="clear" w:color="auto" w:fill="F2F2F2"/>
          </w:tcPr>
          <w:p w14:paraId="2750DD00" w14:textId="77777777" w:rsidR="005E08C3" w:rsidRDefault="00000000">
            <w:pPr>
              <w:spacing w:before="40" w:after="40"/>
            </w:pPr>
            <w:r>
              <w:rPr>
                <w:color w:val="1A1A1A"/>
                <w:sz w:val="16"/>
              </w:rPr>
              <w:t>15%</w:t>
            </w:r>
          </w:p>
        </w:tc>
        <w:tc>
          <w:tcPr>
            <w:tcW w:w="893" w:type="dxa"/>
            <w:shd w:val="clear" w:color="auto" w:fill="F2F2F2"/>
          </w:tcPr>
          <w:p w14:paraId="643B0A09" w14:textId="77777777" w:rsidR="005E08C3" w:rsidRDefault="00000000">
            <w:pPr>
              <w:spacing w:before="40" w:after="40"/>
            </w:pPr>
            <w:r>
              <w:rPr>
                <w:color w:val="1A1A1A"/>
                <w:sz w:val="16"/>
              </w:rPr>
              <w:t>100%</w:t>
            </w:r>
          </w:p>
        </w:tc>
      </w:tr>
    </w:tbl>
    <w:p w14:paraId="4D59B8DF" w14:textId="77777777" w:rsidR="005E08C3" w:rsidRDefault="00000000">
      <w:pPr>
        <w:spacing w:before="60"/>
      </w:pPr>
      <w:r>
        <w:rPr>
          <w:b/>
          <w:color w:val="0E2C4B"/>
          <w:sz w:val="17"/>
        </w:rPr>
        <w:t xml:space="preserve">Exhibit 3.  </w:t>
      </w:r>
      <w:r>
        <w:rPr>
          <w:i/>
          <w:color w:val="555555"/>
          <w:sz w:val="17"/>
        </w:rPr>
        <w:t>MAR22.24 Table 2 — non-securitisation default risk weights. These are loss rates on the capital scale; the ceiling is 100% (a defaulted name = a full loss). No 8% is applied.</w:t>
      </w:r>
    </w:p>
    <w:p w14:paraId="06162EB0" w14:textId="77777777" w:rsidR="005E08C3" w:rsidRDefault="00000000">
      <w:pPr>
        <w:spacing w:before="40" w:after="100" w:line="269" w:lineRule="auto"/>
      </w:pPr>
      <w:r>
        <w:rPr>
          <w:color w:val="1A1A1A"/>
          <w:sz w:val="21"/>
        </w:rPr>
        <w:t xml:space="preserve">Read the table as loss given default: a defaulted name (100%) is charged its full net JTD; an AAA name (0.5%) is charged half a percent of it. Because the weights are already capital, multiplying by 8% here would be a </w:t>
      </w:r>
      <w:r>
        <w:rPr>
          <w:b/>
          <w:color w:val="1A1A1A"/>
          <w:sz w:val="21"/>
        </w:rPr>
        <w:t>mistake in the other direction</w:t>
      </w:r>
      <w:r>
        <w:rPr>
          <w:color w:val="1A1A1A"/>
          <w:sz w:val="21"/>
        </w:rPr>
        <w:t xml:space="preserve"> — it would charge a defaulted name only 8% of its loss, a 12.5x </w:t>
      </w:r>
      <w:r>
        <w:rPr>
          <w:b/>
          <w:color w:val="1A1A1A"/>
          <w:sz w:val="21"/>
        </w:rPr>
        <w:t>under</w:t>
      </w:r>
      <w:r>
        <w:rPr>
          <w:color w:val="1A1A1A"/>
          <w:sz w:val="21"/>
        </w:rPr>
        <w:t>-statement of a position that is, by definition, gone.</w:t>
      </w:r>
    </w:p>
    <w:p w14:paraId="1C09CA17" w14:textId="77777777" w:rsidR="005E08C3" w:rsidRDefault="00000000">
      <w:pPr>
        <w:keepNext/>
        <w:pBdr>
          <w:bottom w:val="single" w:sz="10" w:space="4" w:color="0E2C4B"/>
        </w:pBdr>
        <w:spacing w:before="400" w:after="140"/>
      </w:pPr>
      <w:r>
        <w:rPr>
          <w:b/>
          <w:color w:val="0E2C4B"/>
          <w:sz w:val="32"/>
        </w:rPr>
        <w:t>4.  Securitisation — the risk weight is an RWA weight</w:t>
      </w:r>
    </w:p>
    <w:p w14:paraId="3E9A9804" w14:textId="77777777" w:rsidR="005E08C3" w:rsidRDefault="00000000">
      <w:pPr>
        <w:spacing w:before="40" w:after="100" w:line="269" w:lineRule="auto"/>
      </w:pPr>
      <w:r>
        <w:rPr>
          <w:color w:val="1A1A1A"/>
          <w:sz w:val="21"/>
        </w:rPr>
        <w:t xml:space="preserve">For securitisations, MAR22.34 does not publish its own loss rates. It </w:t>
      </w:r>
      <w:r>
        <w:rPr>
          <w:b/>
          <w:color w:val="1A1A1A"/>
          <w:sz w:val="21"/>
        </w:rPr>
        <w:t>imports the banking-book securitisation risk weights</w:t>
      </w:r>
      <w:r>
        <w:rPr>
          <w:color w:val="1A1A1A"/>
          <w:sz w:val="21"/>
        </w:rPr>
        <w:t xml:space="preserve"> from CRE40-44 (SEC-ERBA, SEC-IRBA, SEC-SA, SEC-IAA), with one modification — the maturity parameter is set to one year. Those are </w:t>
      </w:r>
      <w:r>
        <w:rPr>
          <w:b/>
          <w:color w:val="1A1A1A"/>
          <w:sz w:val="21"/>
        </w:rPr>
        <w:t>RWA risk weights</w:t>
      </w:r>
      <w:r>
        <w:rPr>
          <w:color w:val="1A1A1A"/>
          <w:sz w:val="21"/>
        </w:rPr>
        <w:t>, and the framework says so explicitly. CRE44.24(2) (SEC-IRBA) and CRE41.10(2) (SEC-SA) define the risk weight as:</w:t>
      </w:r>
    </w:p>
    <w:p w14:paraId="4BC6AC1E" w14:textId="77777777" w:rsidR="005E08C3" w:rsidRDefault="00000000">
      <w:pPr>
        <w:pBdr>
          <w:left w:val="single" w:sz="18" w:space="4" w:color="355574"/>
        </w:pBdr>
        <w:shd w:val="clear" w:color="auto" w:fill="F4F1EA"/>
        <w:spacing w:before="120" w:after="120"/>
        <w:ind w:left="72" w:right="72"/>
      </w:pPr>
      <w:r>
        <w:rPr>
          <w:b/>
          <w:color w:val="355574"/>
          <w:sz w:val="19"/>
        </w:rPr>
        <w:lastRenderedPageBreak/>
        <w:t xml:space="preserve">  CRE44.24(2) / CRE41.10(2)   </w:t>
      </w:r>
      <w:r>
        <w:rPr>
          <w:color w:val="2A2A2A"/>
          <w:sz w:val="19"/>
        </w:rPr>
        <w:t xml:space="preserve">"...the risk weight of the exposure, expressed as a percentage, would equal </w:t>
      </w:r>
      <w:r>
        <w:rPr>
          <w:b/>
          <w:color w:val="2A2A2A"/>
          <w:sz w:val="19"/>
        </w:rPr>
        <w:t>K x 12.5</w:t>
      </w:r>
      <w:r>
        <w:rPr>
          <w:color w:val="2A2A2A"/>
          <w:sz w:val="19"/>
        </w:rPr>
        <w:t xml:space="preserve">."   Here K is the securitisation </w:t>
      </w:r>
      <w:r>
        <w:rPr>
          <w:b/>
          <w:color w:val="2A2A2A"/>
          <w:sz w:val="19"/>
        </w:rPr>
        <w:t>capital</w:t>
      </w:r>
      <w:r>
        <w:rPr>
          <w:color w:val="2A2A2A"/>
          <w:sz w:val="19"/>
        </w:rPr>
        <w:t xml:space="preserve"> requirement (a fraction). The risk weight is K scaled </w:t>
      </w:r>
      <w:r>
        <w:rPr>
          <w:b/>
          <w:color w:val="2A2A2A"/>
          <w:sz w:val="19"/>
        </w:rPr>
        <w:t>up</w:t>
      </w:r>
      <w:r>
        <w:rPr>
          <w:color w:val="2A2A2A"/>
          <w:sz w:val="19"/>
        </w:rPr>
        <w:t xml:space="preserve"> by 12.5 — i.e. it sits on the RWA scale, 12.5x above the capital it represents.</w:t>
      </w:r>
    </w:p>
    <w:p w14:paraId="1FC5CC7F" w14:textId="77777777" w:rsidR="005E08C3" w:rsidRDefault="00000000">
      <w:pPr>
        <w:spacing w:before="40" w:after="100" w:line="269" w:lineRule="auto"/>
      </w:pPr>
      <w:r>
        <w:rPr>
          <w:color w:val="1A1A1A"/>
          <w:sz w:val="21"/>
        </w:rPr>
        <w:t xml:space="preserve">So to recover the capital you must undo the 12.5 — multiply by 8% (= 1/12.5): </w:t>
      </w:r>
      <w:r>
        <w:rPr>
          <w:b/>
          <w:color w:val="1A1A1A"/>
          <w:sz w:val="21"/>
        </w:rPr>
        <w:t>capital = RW x 8% x net JTD = (K x 12.5) x 8% x net JTD = K x net JTD</w:t>
      </w:r>
      <w:r>
        <w:rPr>
          <w:color w:val="1A1A1A"/>
          <w:sz w:val="21"/>
        </w:rPr>
        <w:t>. The 8% is not a fudge; it is the exact inverse of the CRE definition. The SEC-ERBA ratings table makes the RWA scale visible — it runs to 1250%, far past any loss rate: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893"/>
        <w:gridCol w:w="864"/>
        <w:gridCol w:w="864"/>
        <w:gridCol w:w="893"/>
        <w:gridCol w:w="893"/>
        <w:gridCol w:w="1123"/>
        <w:gridCol w:w="864"/>
        <w:gridCol w:w="864"/>
        <w:gridCol w:w="893"/>
        <w:gridCol w:w="893"/>
      </w:tblGrid>
      <w:tr w:rsidR="005E08C3" w14:paraId="6F0E4456" w14:textId="77777777">
        <w:trPr>
          <w:jc w:val="center"/>
        </w:trPr>
        <w:tc>
          <w:tcPr>
            <w:tcW w:w="893" w:type="dxa"/>
            <w:shd w:val="clear" w:color="auto" w:fill="0E2C4B"/>
          </w:tcPr>
          <w:p w14:paraId="0242F690" w14:textId="77777777" w:rsidR="005E08C3" w:rsidRDefault="00000000">
            <w:pPr>
              <w:spacing w:before="40" w:after="40"/>
            </w:pPr>
            <w:r>
              <w:rPr>
                <w:b/>
                <w:color w:val="FFFFFF"/>
                <w:sz w:val="16"/>
              </w:rPr>
              <w:t>Rating</w:t>
            </w:r>
          </w:p>
        </w:tc>
        <w:tc>
          <w:tcPr>
            <w:tcW w:w="864" w:type="dxa"/>
            <w:shd w:val="clear" w:color="auto" w:fill="0E2C4B"/>
          </w:tcPr>
          <w:p w14:paraId="5DF99E4B" w14:textId="77777777" w:rsidR="005E08C3" w:rsidRDefault="00000000">
            <w:pPr>
              <w:spacing w:before="40" w:after="40"/>
            </w:pPr>
            <w:r>
              <w:rPr>
                <w:b/>
                <w:color w:val="FFFFFF"/>
                <w:sz w:val="16"/>
              </w:rPr>
              <w:t>Senior 1y</w:t>
            </w:r>
          </w:p>
        </w:tc>
        <w:tc>
          <w:tcPr>
            <w:tcW w:w="864" w:type="dxa"/>
            <w:shd w:val="clear" w:color="auto" w:fill="0E2C4B"/>
          </w:tcPr>
          <w:p w14:paraId="4C3A94FD" w14:textId="77777777" w:rsidR="005E08C3" w:rsidRDefault="00000000">
            <w:pPr>
              <w:spacing w:before="40" w:after="40"/>
            </w:pPr>
            <w:r>
              <w:rPr>
                <w:b/>
                <w:color w:val="FFFFFF"/>
                <w:sz w:val="16"/>
              </w:rPr>
              <w:t>Senior 5y</w:t>
            </w:r>
          </w:p>
        </w:tc>
        <w:tc>
          <w:tcPr>
            <w:tcW w:w="893" w:type="dxa"/>
            <w:shd w:val="clear" w:color="auto" w:fill="0E2C4B"/>
          </w:tcPr>
          <w:p w14:paraId="7E729469" w14:textId="77777777" w:rsidR="005E08C3" w:rsidRDefault="00000000">
            <w:pPr>
              <w:spacing w:before="40" w:after="40"/>
            </w:pPr>
            <w:r>
              <w:rPr>
                <w:b/>
                <w:color w:val="FFFFFF"/>
                <w:sz w:val="16"/>
              </w:rPr>
              <w:t>Non-sr 1y</w:t>
            </w:r>
          </w:p>
        </w:tc>
        <w:tc>
          <w:tcPr>
            <w:tcW w:w="893" w:type="dxa"/>
            <w:shd w:val="clear" w:color="auto" w:fill="0E2C4B"/>
          </w:tcPr>
          <w:p w14:paraId="0CB46C92" w14:textId="77777777" w:rsidR="005E08C3" w:rsidRDefault="00000000">
            <w:pPr>
              <w:spacing w:before="40" w:after="40"/>
            </w:pPr>
            <w:r>
              <w:rPr>
                <w:b/>
                <w:color w:val="FFFFFF"/>
                <w:sz w:val="16"/>
              </w:rPr>
              <w:t>Non-sr 5y</w:t>
            </w:r>
          </w:p>
        </w:tc>
        <w:tc>
          <w:tcPr>
            <w:tcW w:w="1123" w:type="dxa"/>
            <w:shd w:val="clear" w:color="auto" w:fill="0E2C4B"/>
          </w:tcPr>
          <w:p w14:paraId="00B5CA3A" w14:textId="77777777" w:rsidR="005E08C3" w:rsidRDefault="00000000">
            <w:pPr>
              <w:spacing w:before="40" w:after="40"/>
            </w:pPr>
            <w:r>
              <w:rPr>
                <w:b/>
                <w:color w:val="FFFFFF"/>
                <w:sz w:val="16"/>
              </w:rPr>
              <w:t>Rating</w:t>
            </w:r>
          </w:p>
        </w:tc>
        <w:tc>
          <w:tcPr>
            <w:tcW w:w="864" w:type="dxa"/>
            <w:shd w:val="clear" w:color="auto" w:fill="0E2C4B"/>
          </w:tcPr>
          <w:p w14:paraId="591BB47D" w14:textId="77777777" w:rsidR="005E08C3" w:rsidRDefault="00000000">
            <w:pPr>
              <w:spacing w:before="40" w:after="40"/>
            </w:pPr>
            <w:r>
              <w:rPr>
                <w:b/>
                <w:color w:val="FFFFFF"/>
                <w:sz w:val="16"/>
              </w:rPr>
              <w:t>Senior 1y</w:t>
            </w:r>
          </w:p>
        </w:tc>
        <w:tc>
          <w:tcPr>
            <w:tcW w:w="864" w:type="dxa"/>
            <w:shd w:val="clear" w:color="auto" w:fill="0E2C4B"/>
          </w:tcPr>
          <w:p w14:paraId="16E7F9B4" w14:textId="77777777" w:rsidR="005E08C3" w:rsidRDefault="00000000">
            <w:pPr>
              <w:spacing w:before="40" w:after="40"/>
            </w:pPr>
            <w:r>
              <w:rPr>
                <w:b/>
                <w:color w:val="FFFFFF"/>
                <w:sz w:val="16"/>
              </w:rPr>
              <w:t>Senior 5y</w:t>
            </w:r>
          </w:p>
        </w:tc>
        <w:tc>
          <w:tcPr>
            <w:tcW w:w="893" w:type="dxa"/>
            <w:shd w:val="clear" w:color="auto" w:fill="0E2C4B"/>
          </w:tcPr>
          <w:p w14:paraId="5C63289C" w14:textId="77777777" w:rsidR="005E08C3" w:rsidRDefault="00000000">
            <w:pPr>
              <w:spacing w:before="40" w:after="40"/>
            </w:pPr>
            <w:r>
              <w:rPr>
                <w:b/>
                <w:color w:val="FFFFFF"/>
                <w:sz w:val="16"/>
              </w:rPr>
              <w:t>Non-sr 1y</w:t>
            </w:r>
          </w:p>
        </w:tc>
        <w:tc>
          <w:tcPr>
            <w:tcW w:w="893" w:type="dxa"/>
            <w:shd w:val="clear" w:color="auto" w:fill="0E2C4B"/>
          </w:tcPr>
          <w:p w14:paraId="6319C7AE" w14:textId="77777777" w:rsidR="005E08C3" w:rsidRDefault="00000000">
            <w:pPr>
              <w:spacing w:before="40" w:after="40"/>
            </w:pPr>
            <w:r>
              <w:rPr>
                <w:b/>
                <w:color w:val="FFFFFF"/>
                <w:sz w:val="16"/>
              </w:rPr>
              <w:t>Non-sr 5y</w:t>
            </w:r>
          </w:p>
        </w:tc>
      </w:tr>
      <w:tr w:rsidR="005E08C3" w14:paraId="2DD0ECC9" w14:textId="77777777">
        <w:trPr>
          <w:jc w:val="center"/>
        </w:trPr>
        <w:tc>
          <w:tcPr>
            <w:tcW w:w="893" w:type="dxa"/>
            <w:shd w:val="clear" w:color="auto" w:fill="F2F2F2"/>
          </w:tcPr>
          <w:p w14:paraId="11608730" w14:textId="77777777" w:rsidR="005E08C3" w:rsidRDefault="00000000">
            <w:pPr>
              <w:spacing w:before="40" w:after="40"/>
            </w:pPr>
            <w:r>
              <w:rPr>
                <w:color w:val="1A1A1A"/>
                <w:sz w:val="15"/>
              </w:rPr>
              <w:t>AAA</w:t>
            </w:r>
          </w:p>
        </w:tc>
        <w:tc>
          <w:tcPr>
            <w:tcW w:w="864" w:type="dxa"/>
            <w:shd w:val="clear" w:color="auto" w:fill="F2F2F2"/>
          </w:tcPr>
          <w:p w14:paraId="3F2EFE4D" w14:textId="77777777" w:rsidR="005E08C3" w:rsidRDefault="00000000">
            <w:pPr>
              <w:spacing w:before="40" w:after="40"/>
            </w:pPr>
            <w:r>
              <w:rPr>
                <w:color w:val="1A1A1A"/>
                <w:sz w:val="15"/>
              </w:rPr>
              <w:t>15%</w:t>
            </w:r>
          </w:p>
        </w:tc>
        <w:tc>
          <w:tcPr>
            <w:tcW w:w="864" w:type="dxa"/>
            <w:shd w:val="clear" w:color="auto" w:fill="F2F2F2"/>
          </w:tcPr>
          <w:p w14:paraId="08DE9CDA" w14:textId="77777777" w:rsidR="005E08C3" w:rsidRDefault="00000000">
            <w:pPr>
              <w:spacing w:before="40" w:after="40"/>
            </w:pPr>
            <w:r>
              <w:rPr>
                <w:color w:val="1A1A1A"/>
                <w:sz w:val="15"/>
              </w:rPr>
              <w:t>20%</w:t>
            </w:r>
          </w:p>
        </w:tc>
        <w:tc>
          <w:tcPr>
            <w:tcW w:w="893" w:type="dxa"/>
            <w:shd w:val="clear" w:color="auto" w:fill="F2F2F2"/>
          </w:tcPr>
          <w:p w14:paraId="5F34189B" w14:textId="77777777" w:rsidR="005E08C3" w:rsidRDefault="00000000">
            <w:pPr>
              <w:spacing w:before="40" w:after="40"/>
            </w:pPr>
            <w:r>
              <w:rPr>
                <w:color w:val="1A1A1A"/>
                <w:sz w:val="15"/>
              </w:rPr>
              <w:t>15%</w:t>
            </w:r>
          </w:p>
        </w:tc>
        <w:tc>
          <w:tcPr>
            <w:tcW w:w="893" w:type="dxa"/>
            <w:shd w:val="clear" w:color="auto" w:fill="F2F2F2"/>
          </w:tcPr>
          <w:p w14:paraId="6CA0E219" w14:textId="77777777" w:rsidR="005E08C3" w:rsidRDefault="00000000">
            <w:pPr>
              <w:spacing w:before="40" w:after="40"/>
            </w:pPr>
            <w:r>
              <w:rPr>
                <w:color w:val="1A1A1A"/>
                <w:sz w:val="15"/>
              </w:rPr>
              <w:t>70%</w:t>
            </w:r>
          </w:p>
        </w:tc>
        <w:tc>
          <w:tcPr>
            <w:tcW w:w="1123" w:type="dxa"/>
            <w:shd w:val="clear" w:color="auto" w:fill="F2F2F2"/>
          </w:tcPr>
          <w:p w14:paraId="730ED995" w14:textId="77777777" w:rsidR="005E08C3" w:rsidRDefault="00000000">
            <w:pPr>
              <w:spacing w:before="40" w:after="40"/>
            </w:pPr>
            <w:r>
              <w:rPr>
                <w:color w:val="1A1A1A"/>
                <w:sz w:val="15"/>
              </w:rPr>
              <w:t>BB+</w:t>
            </w:r>
          </w:p>
        </w:tc>
        <w:tc>
          <w:tcPr>
            <w:tcW w:w="864" w:type="dxa"/>
            <w:shd w:val="clear" w:color="auto" w:fill="F2F2F2"/>
          </w:tcPr>
          <w:p w14:paraId="1BBE16C0" w14:textId="77777777" w:rsidR="005E08C3" w:rsidRDefault="00000000">
            <w:pPr>
              <w:spacing w:before="40" w:after="40"/>
            </w:pPr>
            <w:r>
              <w:rPr>
                <w:color w:val="1A1A1A"/>
                <w:sz w:val="15"/>
              </w:rPr>
              <w:t>140%</w:t>
            </w:r>
          </w:p>
        </w:tc>
        <w:tc>
          <w:tcPr>
            <w:tcW w:w="864" w:type="dxa"/>
            <w:shd w:val="clear" w:color="auto" w:fill="F2F2F2"/>
          </w:tcPr>
          <w:p w14:paraId="667B93B2" w14:textId="77777777" w:rsidR="005E08C3" w:rsidRDefault="00000000">
            <w:pPr>
              <w:spacing w:before="40" w:after="40"/>
            </w:pPr>
            <w:r>
              <w:rPr>
                <w:color w:val="1A1A1A"/>
                <w:sz w:val="15"/>
              </w:rPr>
              <w:t>160%</w:t>
            </w:r>
          </w:p>
        </w:tc>
        <w:tc>
          <w:tcPr>
            <w:tcW w:w="893" w:type="dxa"/>
            <w:shd w:val="clear" w:color="auto" w:fill="F2F2F2"/>
          </w:tcPr>
          <w:p w14:paraId="2DDE0C9A" w14:textId="77777777" w:rsidR="005E08C3" w:rsidRDefault="00000000">
            <w:pPr>
              <w:spacing w:before="40" w:after="40"/>
            </w:pPr>
            <w:r>
              <w:rPr>
                <w:color w:val="1A1A1A"/>
                <w:sz w:val="15"/>
              </w:rPr>
              <w:t>470%</w:t>
            </w:r>
          </w:p>
        </w:tc>
        <w:tc>
          <w:tcPr>
            <w:tcW w:w="893" w:type="dxa"/>
            <w:shd w:val="clear" w:color="auto" w:fill="F2F2F2"/>
          </w:tcPr>
          <w:p w14:paraId="3A9629DE" w14:textId="77777777" w:rsidR="005E08C3" w:rsidRDefault="00000000">
            <w:pPr>
              <w:spacing w:before="40" w:after="40"/>
            </w:pPr>
            <w:r>
              <w:rPr>
                <w:color w:val="1A1A1A"/>
                <w:sz w:val="15"/>
              </w:rPr>
              <w:t>580%</w:t>
            </w:r>
          </w:p>
        </w:tc>
      </w:tr>
      <w:tr w:rsidR="005E08C3" w14:paraId="6265CC48" w14:textId="77777777">
        <w:trPr>
          <w:jc w:val="center"/>
        </w:trPr>
        <w:tc>
          <w:tcPr>
            <w:tcW w:w="893" w:type="dxa"/>
            <w:shd w:val="clear" w:color="auto" w:fill="FFFFFF"/>
          </w:tcPr>
          <w:p w14:paraId="4318AB45" w14:textId="77777777" w:rsidR="005E08C3" w:rsidRDefault="00000000">
            <w:pPr>
              <w:spacing w:before="40" w:after="40"/>
            </w:pPr>
            <w:r>
              <w:rPr>
                <w:color w:val="1A1A1A"/>
                <w:sz w:val="15"/>
              </w:rPr>
              <w:t>AA</w:t>
            </w:r>
          </w:p>
        </w:tc>
        <w:tc>
          <w:tcPr>
            <w:tcW w:w="864" w:type="dxa"/>
            <w:shd w:val="clear" w:color="auto" w:fill="FFFFFF"/>
          </w:tcPr>
          <w:p w14:paraId="246F3E26" w14:textId="77777777" w:rsidR="005E08C3" w:rsidRDefault="00000000">
            <w:pPr>
              <w:spacing w:before="40" w:after="40"/>
            </w:pPr>
            <w:r>
              <w:rPr>
                <w:color w:val="1A1A1A"/>
                <w:sz w:val="15"/>
              </w:rPr>
              <w:t>25%</w:t>
            </w:r>
          </w:p>
        </w:tc>
        <w:tc>
          <w:tcPr>
            <w:tcW w:w="864" w:type="dxa"/>
            <w:shd w:val="clear" w:color="auto" w:fill="FFFFFF"/>
          </w:tcPr>
          <w:p w14:paraId="5AB0079A" w14:textId="77777777" w:rsidR="005E08C3" w:rsidRDefault="00000000">
            <w:pPr>
              <w:spacing w:before="40" w:after="40"/>
            </w:pPr>
            <w:r>
              <w:rPr>
                <w:color w:val="1A1A1A"/>
                <w:sz w:val="15"/>
              </w:rPr>
              <w:t>40%</w:t>
            </w:r>
          </w:p>
        </w:tc>
        <w:tc>
          <w:tcPr>
            <w:tcW w:w="893" w:type="dxa"/>
            <w:shd w:val="clear" w:color="auto" w:fill="FFFFFF"/>
          </w:tcPr>
          <w:p w14:paraId="2E2089F2" w14:textId="77777777" w:rsidR="005E08C3" w:rsidRDefault="00000000">
            <w:pPr>
              <w:spacing w:before="40" w:after="40"/>
            </w:pPr>
            <w:r>
              <w:rPr>
                <w:color w:val="1A1A1A"/>
                <w:sz w:val="15"/>
              </w:rPr>
              <w:t>30%</w:t>
            </w:r>
          </w:p>
        </w:tc>
        <w:tc>
          <w:tcPr>
            <w:tcW w:w="893" w:type="dxa"/>
            <w:shd w:val="clear" w:color="auto" w:fill="FFFFFF"/>
          </w:tcPr>
          <w:p w14:paraId="3158CB14" w14:textId="77777777" w:rsidR="005E08C3" w:rsidRDefault="00000000">
            <w:pPr>
              <w:spacing w:before="40" w:after="40"/>
            </w:pPr>
            <w:r>
              <w:rPr>
                <w:color w:val="1A1A1A"/>
                <w:sz w:val="15"/>
              </w:rPr>
              <w:t>120%</w:t>
            </w:r>
          </w:p>
        </w:tc>
        <w:tc>
          <w:tcPr>
            <w:tcW w:w="1123" w:type="dxa"/>
            <w:shd w:val="clear" w:color="auto" w:fill="FFFFFF"/>
          </w:tcPr>
          <w:p w14:paraId="367380A7" w14:textId="77777777" w:rsidR="005E08C3" w:rsidRDefault="00000000">
            <w:pPr>
              <w:spacing w:before="40" w:after="40"/>
            </w:pPr>
            <w:r>
              <w:rPr>
                <w:color w:val="1A1A1A"/>
                <w:sz w:val="15"/>
              </w:rPr>
              <w:t>BB</w:t>
            </w:r>
          </w:p>
        </w:tc>
        <w:tc>
          <w:tcPr>
            <w:tcW w:w="864" w:type="dxa"/>
            <w:shd w:val="clear" w:color="auto" w:fill="FFFFFF"/>
          </w:tcPr>
          <w:p w14:paraId="081B5DF7" w14:textId="77777777" w:rsidR="005E08C3" w:rsidRDefault="00000000">
            <w:pPr>
              <w:spacing w:before="40" w:after="40"/>
            </w:pPr>
            <w:r>
              <w:rPr>
                <w:color w:val="1A1A1A"/>
                <w:sz w:val="15"/>
              </w:rPr>
              <w:t>160%</w:t>
            </w:r>
          </w:p>
        </w:tc>
        <w:tc>
          <w:tcPr>
            <w:tcW w:w="864" w:type="dxa"/>
            <w:shd w:val="clear" w:color="auto" w:fill="FFFFFF"/>
          </w:tcPr>
          <w:p w14:paraId="1CF0714C" w14:textId="77777777" w:rsidR="005E08C3" w:rsidRDefault="00000000">
            <w:pPr>
              <w:spacing w:before="40" w:after="40"/>
            </w:pPr>
            <w:r>
              <w:rPr>
                <w:color w:val="1A1A1A"/>
                <w:sz w:val="15"/>
              </w:rPr>
              <w:t>180%</w:t>
            </w:r>
          </w:p>
        </w:tc>
        <w:tc>
          <w:tcPr>
            <w:tcW w:w="893" w:type="dxa"/>
            <w:shd w:val="clear" w:color="auto" w:fill="FFFFFF"/>
          </w:tcPr>
          <w:p w14:paraId="4F373CA9" w14:textId="77777777" w:rsidR="005E08C3" w:rsidRDefault="00000000">
            <w:pPr>
              <w:spacing w:before="40" w:after="40"/>
            </w:pPr>
            <w:r>
              <w:rPr>
                <w:color w:val="1A1A1A"/>
                <w:sz w:val="15"/>
              </w:rPr>
              <w:t>620%</w:t>
            </w:r>
          </w:p>
        </w:tc>
        <w:tc>
          <w:tcPr>
            <w:tcW w:w="893" w:type="dxa"/>
            <w:shd w:val="clear" w:color="auto" w:fill="FFFFFF"/>
          </w:tcPr>
          <w:p w14:paraId="151F0740" w14:textId="77777777" w:rsidR="005E08C3" w:rsidRDefault="00000000">
            <w:pPr>
              <w:spacing w:before="40" w:after="40"/>
            </w:pPr>
            <w:r>
              <w:rPr>
                <w:color w:val="1A1A1A"/>
                <w:sz w:val="15"/>
              </w:rPr>
              <w:t>760%</w:t>
            </w:r>
          </w:p>
        </w:tc>
      </w:tr>
      <w:tr w:rsidR="005E08C3" w14:paraId="0457450F" w14:textId="77777777">
        <w:trPr>
          <w:jc w:val="center"/>
        </w:trPr>
        <w:tc>
          <w:tcPr>
            <w:tcW w:w="893" w:type="dxa"/>
            <w:shd w:val="clear" w:color="auto" w:fill="F2F2F2"/>
          </w:tcPr>
          <w:p w14:paraId="765AE289" w14:textId="77777777" w:rsidR="005E08C3" w:rsidRDefault="00000000">
            <w:pPr>
              <w:spacing w:before="40" w:after="40"/>
            </w:pPr>
            <w:r>
              <w:rPr>
                <w:color w:val="1A1A1A"/>
                <w:sz w:val="15"/>
              </w:rPr>
              <w:t>A</w:t>
            </w:r>
          </w:p>
        </w:tc>
        <w:tc>
          <w:tcPr>
            <w:tcW w:w="864" w:type="dxa"/>
            <w:shd w:val="clear" w:color="auto" w:fill="F2F2F2"/>
          </w:tcPr>
          <w:p w14:paraId="17B18FB1" w14:textId="77777777" w:rsidR="005E08C3" w:rsidRDefault="00000000">
            <w:pPr>
              <w:spacing w:before="40" w:after="40"/>
            </w:pPr>
            <w:r>
              <w:rPr>
                <w:color w:val="1A1A1A"/>
                <w:sz w:val="15"/>
              </w:rPr>
              <w:t>50%</w:t>
            </w:r>
          </w:p>
        </w:tc>
        <w:tc>
          <w:tcPr>
            <w:tcW w:w="864" w:type="dxa"/>
            <w:shd w:val="clear" w:color="auto" w:fill="F2F2F2"/>
          </w:tcPr>
          <w:p w14:paraId="11E23EC3" w14:textId="77777777" w:rsidR="005E08C3" w:rsidRDefault="00000000">
            <w:pPr>
              <w:spacing w:before="40" w:after="40"/>
            </w:pPr>
            <w:r>
              <w:rPr>
                <w:color w:val="1A1A1A"/>
                <w:sz w:val="15"/>
              </w:rPr>
              <w:t>65%</w:t>
            </w:r>
          </w:p>
        </w:tc>
        <w:tc>
          <w:tcPr>
            <w:tcW w:w="893" w:type="dxa"/>
            <w:shd w:val="clear" w:color="auto" w:fill="F2F2F2"/>
          </w:tcPr>
          <w:p w14:paraId="2F8E80EE" w14:textId="77777777" w:rsidR="005E08C3" w:rsidRDefault="00000000">
            <w:pPr>
              <w:spacing w:before="40" w:after="40"/>
            </w:pPr>
            <w:r>
              <w:rPr>
                <w:color w:val="1A1A1A"/>
                <w:sz w:val="15"/>
              </w:rPr>
              <w:t>80%</w:t>
            </w:r>
          </w:p>
        </w:tc>
        <w:tc>
          <w:tcPr>
            <w:tcW w:w="893" w:type="dxa"/>
            <w:shd w:val="clear" w:color="auto" w:fill="F2F2F2"/>
          </w:tcPr>
          <w:p w14:paraId="08F4E5E2" w14:textId="77777777" w:rsidR="005E08C3" w:rsidRDefault="00000000">
            <w:pPr>
              <w:spacing w:before="40" w:after="40"/>
            </w:pPr>
            <w:r>
              <w:rPr>
                <w:color w:val="1A1A1A"/>
                <w:sz w:val="15"/>
              </w:rPr>
              <w:t>180%</w:t>
            </w:r>
          </w:p>
        </w:tc>
        <w:tc>
          <w:tcPr>
            <w:tcW w:w="1123" w:type="dxa"/>
            <w:shd w:val="clear" w:color="auto" w:fill="F2F2F2"/>
          </w:tcPr>
          <w:p w14:paraId="3623C427" w14:textId="77777777" w:rsidR="005E08C3" w:rsidRDefault="00000000">
            <w:pPr>
              <w:spacing w:before="40" w:after="40"/>
            </w:pPr>
            <w:r>
              <w:rPr>
                <w:color w:val="1A1A1A"/>
                <w:sz w:val="15"/>
              </w:rPr>
              <w:t>B</w:t>
            </w:r>
          </w:p>
        </w:tc>
        <w:tc>
          <w:tcPr>
            <w:tcW w:w="864" w:type="dxa"/>
            <w:shd w:val="clear" w:color="auto" w:fill="F2F2F2"/>
          </w:tcPr>
          <w:p w14:paraId="1528D6B9" w14:textId="77777777" w:rsidR="005E08C3" w:rsidRDefault="00000000">
            <w:pPr>
              <w:spacing w:before="40" w:after="40"/>
            </w:pPr>
            <w:r>
              <w:rPr>
                <w:color w:val="1A1A1A"/>
                <w:sz w:val="15"/>
              </w:rPr>
              <w:t>310%</w:t>
            </w:r>
          </w:p>
        </w:tc>
        <w:tc>
          <w:tcPr>
            <w:tcW w:w="864" w:type="dxa"/>
            <w:shd w:val="clear" w:color="auto" w:fill="F2F2F2"/>
          </w:tcPr>
          <w:p w14:paraId="5AC246C8" w14:textId="77777777" w:rsidR="005E08C3" w:rsidRDefault="00000000">
            <w:pPr>
              <w:spacing w:before="40" w:after="40"/>
            </w:pPr>
            <w:r>
              <w:rPr>
                <w:color w:val="1A1A1A"/>
                <w:sz w:val="15"/>
              </w:rPr>
              <w:t>340%</w:t>
            </w:r>
          </w:p>
        </w:tc>
        <w:tc>
          <w:tcPr>
            <w:tcW w:w="893" w:type="dxa"/>
            <w:shd w:val="clear" w:color="auto" w:fill="F2F2F2"/>
          </w:tcPr>
          <w:p w14:paraId="6A223CBF" w14:textId="77777777" w:rsidR="005E08C3" w:rsidRDefault="00000000">
            <w:pPr>
              <w:spacing w:before="40" w:after="40"/>
            </w:pPr>
            <w:r>
              <w:rPr>
                <w:color w:val="1A1A1A"/>
                <w:sz w:val="15"/>
              </w:rPr>
              <w:t>1050%</w:t>
            </w:r>
          </w:p>
        </w:tc>
        <w:tc>
          <w:tcPr>
            <w:tcW w:w="893" w:type="dxa"/>
            <w:shd w:val="clear" w:color="auto" w:fill="F2F2F2"/>
          </w:tcPr>
          <w:p w14:paraId="3E816046" w14:textId="77777777" w:rsidR="005E08C3" w:rsidRDefault="00000000">
            <w:pPr>
              <w:spacing w:before="40" w:after="40"/>
            </w:pPr>
            <w:r>
              <w:rPr>
                <w:color w:val="1A1A1A"/>
                <w:sz w:val="15"/>
              </w:rPr>
              <w:t>1050%</w:t>
            </w:r>
          </w:p>
        </w:tc>
      </w:tr>
      <w:tr w:rsidR="005E08C3" w14:paraId="50F611B3" w14:textId="77777777">
        <w:trPr>
          <w:jc w:val="center"/>
        </w:trPr>
        <w:tc>
          <w:tcPr>
            <w:tcW w:w="893" w:type="dxa"/>
            <w:shd w:val="clear" w:color="auto" w:fill="FFFFFF"/>
          </w:tcPr>
          <w:p w14:paraId="23010BF2" w14:textId="77777777" w:rsidR="005E08C3" w:rsidRDefault="00000000">
            <w:pPr>
              <w:spacing w:before="40" w:after="40"/>
            </w:pPr>
            <w:r>
              <w:rPr>
                <w:color w:val="1A1A1A"/>
                <w:sz w:val="15"/>
              </w:rPr>
              <w:t>BBB</w:t>
            </w:r>
          </w:p>
        </w:tc>
        <w:tc>
          <w:tcPr>
            <w:tcW w:w="864" w:type="dxa"/>
            <w:shd w:val="clear" w:color="auto" w:fill="FFFFFF"/>
          </w:tcPr>
          <w:p w14:paraId="7A33FEEE" w14:textId="77777777" w:rsidR="005E08C3" w:rsidRDefault="00000000">
            <w:pPr>
              <w:spacing w:before="40" w:after="40"/>
            </w:pPr>
            <w:r>
              <w:rPr>
                <w:color w:val="1A1A1A"/>
                <w:sz w:val="15"/>
              </w:rPr>
              <w:t>90%</w:t>
            </w:r>
          </w:p>
        </w:tc>
        <w:tc>
          <w:tcPr>
            <w:tcW w:w="864" w:type="dxa"/>
            <w:shd w:val="clear" w:color="auto" w:fill="FFFFFF"/>
          </w:tcPr>
          <w:p w14:paraId="37C7DD42" w14:textId="77777777" w:rsidR="005E08C3" w:rsidRDefault="00000000">
            <w:pPr>
              <w:spacing w:before="40" w:after="40"/>
            </w:pPr>
            <w:r>
              <w:rPr>
                <w:color w:val="1A1A1A"/>
                <w:sz w:val="15"/>
              </w:rPr>
              <w:t>105%</w:t>
            </w:r>
          </w:p>
        </w:tc>
        <w:tc>
          <w:tcPr>
            <w:tcW w:w="893" w:type="dxa"/>
            <w:shd w:val="clear" w:color="auto" w:fill="FFFFFF"/>
          </w:tcPr>
          <w:p w14:paraId="097FFCEE" w14:textId="77777777" w:rsidR="005E08C3" w:rsidRDefault="00000000">
            <w:pPr>
              <w:spacing w:before="40" w:after="40"/>
            </w:pPr>
            <w:r>
              <w:rPr>
                <w:color w:val="1A1A1A"/>
                <w:sz w:val="15"/>
              </w:rPr>
              <w:t>220%</w:t>
            </w:r>
          </w:p>
        </w:tc>
        <w:tc>
          <w:tcPr>
            <w:tcW w:w="893" w:type="dxa"/>
            <w:shd w:val="clear" w:color="auto" w:fill="FFFFFF"/>
          </w:tcPr>
          <w:p w14:paraId="0E16E2AC" w14:textId="77777777" w:rsidR="005E08C3" w:rsidRDefault="00000000">
            <w:pPr>
              <w:spacing w:before="40" w:after="40"/>
            </w:pPr>
            <w:r>
              <w:rPr>
                <w:color w:val="1A1A1A"/>
                <w:sz w:val="15"/>
              </w:rPr>
              <w:t>310%</w:t>
            </w:r>
          </w:p>
        </w:tc>
        <w:tc>
          <w:tcPr>
            <w:tcW w:w="1123" w:type="dxa"/>
            <w:shd w:val="clear" w:color="auto" w:fill="FFFFFF"/>
          </w:tcPr>
          <w:p w14:paraId="1F029A68" w14:textId="77777777" w:rsidR="005E08C3" w:rsidRDefault="00000000">
            <w:pPr>
              <w:spacing w:before="40" w:after="40"/>
            </w:pPr>
            <w:r>
              <w:rPr>
                <w:color w:val="1A1A1A"/>
                <w:sz w:val="15"/>
              </w:rPr>
              <w:t>CCC</w:t>
            </w:r>
          </w:p>
        </w:tc>
        <w:tc>
          <w:tcPr>
            <w:tcW w:w="864" w:type="dxa"/>
            <w:shd w:val="clear" w:color="auto" w:fill="FFFFFF"/>
          </w:tcPr>
          <w:p w14:paraId="41EA4AEB" w14:textId="77777777" w:rsidR="005E08C3" w:rsidRDefault="00000000">
            <w:pPr>
              <w:spacing w:before="40" w:after="40"/>
            </w:pPr>
            <w:r>
              <w:rPr>
                <w:color w:val="1A1A1A"/>
                <w:sz w:val="15"/>
              </w:rPr>
              <w:t>460%</w:t>
            </w:r>
          </w:p>
        </w:tc>
        <w:tc>
          <w:tcPr>
            <w:tcW w:w="864" w:type="dxa"/>
            <w:shd w:val="clear" w:color="auto" w:fill="FFFFFF"/>
          </w:tcPr>
          <w:p w14:paraId="5448E99E" w14:textId="77777777" w:rsidR="005E08C3" w:rsidRDefault="00000000">
            <w:pPr>
              <w:spacing w:before="40" w:after="40"/>
            </w:pPr>
            <w:r>
              <w:rPr>
                <w:color w:val="1A1A1A"/>
                <w:sz w:val="15"/>
              </w:rPr>
              <w:t>505%</w:t>
            </w:r>
          </w:p>
        </w:tc>
        <w:tc>
          <w:tcPr>
            <w:tcW w:w="893" w:type="dxa"/>
            <w:shd w:val="clear" w:color="auto" w:fill="FFFFFF"/>
          </w:tcPr>
          <w:p w14:paraId="0C3740D9" w14:textId="77777777" w:rsidR="005E08C3" w:rsidRDefault="00000000">
            <w:pPr>
              <w:spacing w:before="40" w:after="40"/>
            </w:pPr>
            <w:r>
              <w:rPr>
                <w:color w:val="1A1A1A"/>
                <w:sz w:val="15"/>
              </w:rPr>
              <w:t>1250%</w:t>
            </w:r>
          </w:p>
        </w:tc>
        <w:tc>
          <w:tcPr>
            <w:tcW w:w="893" w:type="dxa"/>
            <w:shd w:val="clear" w:color="auto" w:fill="FFFFFF"/>
          </w:tcPr>
          <w:p w14:paraId="3EBF6E45" w14:textId="77777777" w:rsidR="005E08C3" w:rsidRDefault="00000000">
            <w:pPr>
              <w:spacing w:before="40" w:after="40"/>
            </w:pPr>
            <w:r>
              <w:rPr>
                <w:color w:val="1A1A1A"/>
                <w:sz w:val="15"/>
              </w:rPr>
              <w:t>1250%</w:t>
            </w:r>
          </w:p>
        </w:tc>
      </w:tr>
      <w:tr w:rsidR="005E08C3" w14:paraId="62850D17" w14:textId="77777777">
        <w:trPr>
          <w:jc w:val="center"/>
        </w:trPr>
        <w:tc>
          <w:tcPr>
            <w:tcW w:w="893" w:type="dxa"/>
            <w:shd w:val="clear" w:color="auto" w:fill="F2F2F2"/>
          </w:tcPr>
          <w:p w14:paraId="0B11E88E" w14:textId="77777777" w:rsidR="005E08C3" w:rsidRDefault="00000000">
            <w:pPr>
              <w:spacing w:before="40" w:after="40"/>
            </w:pPr>
            <w:r>
              <w:rPr>
                <w:color w:val="1A1A1A"/>
                <w:sz w:val="15"/>
              </w:rPr>
              <w:t>BBB-</w:t>
            </w:r>
          </w:p>
        </w:tc>
        <w:tc>
          <w:tcPr>
            <w:tcW w:w="864" w:type="dxa"/>
            <w:shd w:val="clear" w:color="auto" w:fill="F2F2F2"/>
          </w:tcPr>
          <w:p w14:paraId="491351F9" w14:textId="77777777" w:rsidR="005E08C3" w:rsidRDefault="00000000">
            <w:pPr>
              <w:spacing w:before="40" w:after="40"/>
            </w:pPr>
            <w:r>
              <w:rPr>
                <w:color w:val="1A1A1A"/>
                <w:sz w:val="15"/>
              </w:rPr>
              <w:t>120%</w:t>
            </w:r>
          </w:p>
        </w:tc>
        <w:tc>
          <w:tcPr>
            <w:tcW w:w="864" w:type="dxa"/>
            <w:shd w:val="clear" w:color="auto" w:fill="F2F2F2"/>
          </w:tcPr>
          <w:p w14:paraId="053C94C1" w14:textId="77777777" w:rsidR="005E08C3" w:rsidRDefault="00000000">
            <w:pPr>
              <w:spacing w:before="40" w:after="40"/>
            </w:pPr>
            <w:r>
              <w:rPr>
                <w:color w:val="1A1A1A"/>
                <w:sz w:val="15"/>
              </w:rPr>
              <w:t>140%</w:t>
            </w:r>
          </w:p>
        </w:tc>
        <w:tc>
          <w:tcPr>
            <w:tcW w:w="893" w:type="dxa"/>
            <w:shd w:val="clear" w:color="auto" w:fill="F2F2F2"/>
          </w:tcPr>
          <w:p w14:paraId="002354AF" w14:textId="77777777" w:rsidR="005E08C3" w:rsidRDefault="00000000">
            <w:pPr>
              <w:spacing w:before="40" w:after="40"/>
            </w:pPr>
            <w:r>
              <w:rPr>
                <w:color w:val="1A1A1A"/>
                <w:sz w:val="15"/>
              </w:rPr>
              <w:t>330%</w:t>
            </w:r>
          </w:p>
        </w:tc>
        <w:tc>
          <w:tcPr>
            <w:tcW w:w="893" w:type="dxa"/>
            <w:shd w:val="clear" w:color="auto" w:fill="F2F2F2"/>
          </w:tcPr>
          <w:p w14:paraId="66746343" w14:textId="77777777" w:rsidR="005E08C3" w:rsidRDefault="00000000">
            <w:pPr>
              <w:spacing w:before="40" w:after="40"/>
            </w:pPr>
            <w:r>
              <w:rPr>
                <w:color w:val="1A1A1A"/>
                <w:sz w:val="15"/>
              </w:rPr>
              <w:t>420%</w:t>
            </w:r>
          </w:p>
        </w:tc>
        <w:tc>
          <w:tcPr>
            <w:tcW w:w="1123" w:type="dxa"/>
            <w:shd w:val="clear" w:color="auto" w:fill="F2F2F2"/>
          </w:tcPr>
          <w:p w14:paraId="1A10E932" w14:textId="77777777" w:rsidR="005E08C3" w:rsidRDefault="00000000">
            <w:pPr>
              <w:spacing w:before="40" w:after="40"/>
            </w:pPr>
            <w:r>
              <w:rPr>
                <w:color w:val="1A1A1A"/>
                <w:sz w:val="15"/>
              </w:rPr>
              <w:t>Below CCC-</w:t>
            </w:r>
          </w:p>
        </w:tc>
        <w:tc>
          <w:tcPr>
            <w:tcW w:w="864" w:type="dxa"/>
            <w:shd w:val="clear" w:color="auto" w:fill="F2F2F2"/>
          </w:tcPr>
          <w:p w14:paraId="15CEDB97" w14:textId="77777777" w:rsidR="005E08C3" w:rsidRDefault="00000000">
            <w:pPr>
              <w:spacing w:before="40" w:after="40"/>
            </w:pPr>
            <w:r>
              <w:rPr>
                <w:color w:val="1A1A1A"/>
                <w:sz w:val="15"/>
              </w:rPr>
              <w:t>1250%</w:t>
            </w:r>
          </w:p>
        </w:tc>
        <w:tc>
          <w:tcPr>
            <w:tcW w:w="864" w:type="dxa"/>
            <w:shd w:val="clear" w:color="auto" w:fill="F2F2F2"/>
          </w:tcPr>
          <w:p w14:paraId="3BCADAB7" w14:textId="77777777" w:rsidR="005E08C3" w:rsidRDefault="00000000">
            <w:pPr>
              <w:spacing w:before="40" w:after="40"/>
            </w:pPr>
            <w:r>
              <w:rPr>
                <w:color w:val="1A1A1A"/>
                <w:sz w:val="15"/>
              </w:rPr>
              <w:t>1250%</w:t>
            </w:r>
          </w:p>
        </w:tc>
        <w:tc>
          <w:tcPr>
            <w:tcW w:w="893" w:type="dxa"/>
            <w:shd w:val="clear" w:color="auto" w:fill="F2F2F2"/>
          </w:tcPr>
          <w:p w14:paraId="7035746C" w14:textId="77777777" w:rsidR="005E08C3" w:rsidRDefault="00000000">
            <w:pPr>
              <w:spacing w:before="40" w:after="40"/>
            </w:pPr>
            <w:r>
              <w:rPr>
                <w:color w:val="1A1A1A"/>
                <w:sz w:val="15"/>
              </w:rPr>
              <w:t>1250%</w:t>
            </w:r>
          </w:p>
        </w:tc>
        <w:tc>
          <w:tcPr>
            <w:tcW w:w="893" w:type="dxa"/>
            <w:shd w:val="clear" w:color="auto" w:fill="F2F2F2"/>
          </w:tcPr>
          <w:p w14:paraId="4DC03A2F" w14:textId="77777777" w:rsidR="005E08C3" w:rsidRDefault="00000000">
            <w:pPr>
              <w:spacing w:before="40" w:after="40"/>
            </w:pPr>
            <w:r>
              <w:rPr>
                <w:color w:val="1A1A1A"/>
                <w:sz w:val="15"/>
              </w:rPr>
              <w:t>1250%</w:t>
            </w:r>
          </w:p>
        </w:tc>
      </w:tr>
    </w:tbl>
    <w:p w14:paraId="25541A67" w14:textId="77777777" w:rsidR="005E08C3" w:rsidRDefault="00000000">
      <w:pPr>
        <w:spacing w:before="60"/>
      </w:pPr>
      <w:r>
        <w:rPr>
          <w:b/>
          <w:color w:val="0E2C4B"/>
          <w:sz w:val="17"/>
        </w:rPr>
        <w:t xml:space="preserve">Exhibit 4.  </w:t>
      </w:r>
      <w:r>
        <w:rPr>
          <w:i/>
          <w:color w:val="555555"/>
          <w:sz w:val="17"/>
        </w:rPr>
        <w:t>SEC-ERBA long-term risk weights (CRE42.4, Table 2 — selected rows). These are RWA risk weights, peaking at 1250%. DRC uses the 1-year column (MAR22.34 sets the maturity parameter to 1). Capital still needs x 8%.</w:t>
      </w:r>
    </w:p>
    <w:p w14:paraId="26859C3D" w14:textId="77777777" w:rsidR="005E08C3" w:rsidRDefault="00000000">
      <w:pPr>
        <w:keepNext/>
        <w:pBdr>
          <w:bottom w:val="single" w:sz="10" w:space="4" w:color="0E2C4B"/>
        </w:pBdr>
        <w:spacing w:before="400" w:after="140"/>
      </w:pPr>
      <w:r>
        <w:rPr>
          <w:b/>
          <w:color w:val="0E2C4B"/>
          <w:sz w:val="32"/>
        </w:rPr>
        <w:t>5.  The 8% bridge and the 1250% ceiling</w:t>
      </w:r>
    </w:p>
    <w:p w14:paraId="6EC79A30" w14:textId="77777777" w:rsidR="005E08C3" w:rsidRDefault="00000000">
      <w:pPr>
        <w:spacing w:before="40" w:after="100" w:line="269" w:lineRule="auto"/>
      </w:pPr>
      <w:r>
        <w:rPr>
          <w:color w:val="1A1A1A"/>
          <w:sz w:val="21"/>
        </w:rPr>
        <w:t xml:space="preserve">The 8% is the Basel minimum capital ratio (RBC20): </w:t>
      </w:r>
      <w:r>
        <w:rPr>
          <w:b/>
          <w:color w:val="1A1A1A"/>
          <w:sz w:val="21"/>
        </w:rPr>
        <w:t>capital = 8% x RWA</w:t>
      </w:r>
      <w:r>
        <w:rPr>
          <w:color w:val="1A1A1A"/>
          <w:sz w:val="21"/>
        </w:rPr>
        <w:t xml:space="preserve">, equivalently </w:t>
      </w:r>
      <w:r>
        <w:rPr>
          <w:b/>
          <w:color w:val="1A1A1A"/>
          <w:sz w:val="21"/>
        </w:rPr>
        <w:t>RWA = capital x 12.5</w:t>
      </w:r>
      <w:r>
        <w:rPr>
          <w:color w:val="1A1A1A"/>
          <w:sz w:val="21"/>
        </w:rPr>
        <w:t>. Every banking-book risk weight obeys it. That single relationship explains the entire securitisation scale:</w:t>
      </w:r>
    </w:p>
    <w:p w14:paraId="7A730EF5" w14:textId="77777777" w:rsidR="005E08C3" w:rsidRDefault="00000000">
      <w:pPr>
        <w:pStyle w:val="ListBullet"/>
        <w:spacing w:before="20" w:after="40" w:line="264" w:lineRule="auto"/>
        <w:ind w:left="403"/>
      </w:pPr>
      <w:r>
        <w:rPr>
          <w:b/>
          <w:sz w:val="21"/>
        </w:rPr>
        <w:t>1250% is the deduction.</w:t>
      </w:r>
      <w:r>
        <w:rPr>
          <w:sz w:val="21"/>
        </w:rPr>
        <w:t xml:space="preserve"> 1250% x 8% = </w:t>
      </w:r>
      <w:r>
        <w:rPr>
          <w:b/>
          <w:sz w:val="21"/>
        </w:rPr>
        <w:t>100%</w:t>
      </w:r>
      <w:r>
        <w:rPr>
          <w:sz w:val="21"/>
        </w:rPr>
        <w:t xml:space="preserve"> of the exposure. The number 1250% exists precisely because it is the risk weight that, after the 8%, deducts the position in full. It is not '12.5 losses' — that is impossible — it is one full loss expressed on the RWA scale.</w:t>
      </w:r>
    </w:p>
    <w:p w14:paraId="2B11C005" w14:textId="77777777" w:rsidR="005E08C3" w:rsidRDefault="00000000">
      <w:pPr>
        <w:pStyle w:val="ListBullet"/>
        <w:spacing w:before="20" w:after="40" w:line="264" w:lineRule="auto"/>
        <w:ind w:left="403"/>
      </w:pPr>
      <w:r>
        <w:rPr>
          <w:b/>
          <w:sz w:val="21"/>
        </w:rPr>
        <w:t>100% (sec) is a normal weight.</w:t>
      </w:r>
      <w:r>
        <w:rPr>
          <w:sz w:val="21"/>
        </w:rPr>
        <w:t xml:space="preserve"> 100% x 8% = </w:t>
      </w:r>
      <w:r>
        <w:rPr>
          <w:b/>
          <w:sz w:val="21"/>
        </w:rPr>
        <w:t>8%</w:t>
      </w:r>
      <w:r>
        <w:rPr>
          <w:sz w:val="21"/>
        </w:rPr>
        <w:t xml:space="preserve"> of the exposure — the weight of an ordinary performing claim. The same '100%' that means *total loss* in the non-securitisation table means *8% capital* in the securitisation framework.</w:t>
      </w:r>
    </w:p>
    <w:p w14:paraId="630052C3" w14:textId="77777777" w:rsidR="005E08C3" w:rsidRDefault="00000000">
      <w:pPr>
        <w:pStyle w:val="ListBullet"/>
        <w:spacing w:before="20" w:after="40" w:line="264" w:lineRule="auto"/>
        <w:ind w:left="403"/>
      </w:pPr>
      <w:r>
        <w:rPr>
          <w:b/>
          <w:sz w:val="21"/>
        </w:rPr>
        <w:t>The DD-failure residual.</w:t>
      </w:r>
      <w:r>
        <w:rPr>
          <w:sz w:val="21"/>
        </w:rPr>
        <w:t xml:space="preserve"> A due-diligence failure forces 1250% (CRE40.41). With the 8%, that is a full deduction (100% of net JTD) — severe but bounded by the exposure. Without the 8%, it would charge </w:t>
      </w:r>
      <w:r>
        <w:rPr>
          <w:b/>
          <w:sz w:val="21"/>
        </w:rPr>
        <w:t>12.5x the exposure</w:t>
      </w:r>
      <w:r>
        <w:rPr>
          <w:sz w:val="21"/>
        </w:rPr>
        <w:t xml:space="preserve"> — a number with no economic meaning.</w:t>
      </w:r>
    </w:p>
    <w:p w14:paraId="1E73DF9A" w14:textId="77777777" w:rsidR="005E08C3" w:rsidRDefault="00000000">
      <w:pPr>
        <w:pBdr>
          <w:left w:val="single" w:sz="18" w:space="4" w:color="2E6B4F"/>
        </w:pBdr>
        <w:shd w:val="clear" w:color="auto" w:fill="E7F0EC"/>
        <w:spacing w:before="120" w:after="120"/>
        <w:ind w:left="72" w:right="72"/>
      </w:pPr>
      <w:r>
        <w:rPr>
          <w:b/>
          <w:color w:val="2E6B4F"/>
          <w:sz w:val="19"/>
        </w:rPr>
        <w:t xml:space="preserve">  ONE LINE TO REMEMBER   </w:t>
      </w:r>
      <w:r>
        <w:rPr>
          <w:b/>
          <w:color w:val="2A2A2A"/>
          <w:sz w:val="19"/>
        </w:rPr>
        <w:t>1250% x 8% = 100%.</w:t>
      </w:r>
      <w:r>
        <w:rPr>
          <w:color w:val="2A2A2A"/>
          <w:sz w:val="19"/>
        </w:rPr>
        <w:t xml:space="preserve">  The securitisation risk weight is RWA; the 8% turns it into capital; and the deepest charge the framework can levy is a full deduction — never a multiple of the position.</w:t>
      </w:r>
    </w:p>
    <w:p w14:paraId="5E55EBD6" w14:textId="251C781E" w:rsidR="005E08C3" w:rsidRDefault="00000000">
      <w:pPr>
        <w:keepNext/>
        <w:pBdr>
          <w:bottom w:val="single" w:sz="10" w:space="4" w:color="0E2C4B"/>
        </w:pBdr>
        <w:spacing w:before="400" w:after="140"/>
      </w:pPr>
      <w:r>
        <w:rPr>
          <w:b/>
          <w:color w:val="0E2C4B"/>
          <w:sz w:val="32"/>
        </w:rPr>
        <w:t xml:space="preserve">6.  The 12.5x error, worked from </w:t>
      </w:r>
      <w:r w:rsidR="00D26544">
        <w:rPr>
          <w:b/>
          <w:color w:val="0E2C4B"/>
          <w:sz w:val="32"/>
        </w:rPr>
        <w:t>portfolio</w:t>
      </w:r>
    </w:p>
    <w:p w14:paraId="2145693B" w14:textId="313C4E12" w:rsidR="005E08C3" w:rsidRDefault="00000000">
      <w:pPr>
        <w:spacing w:before="40" w:after="100" w:line="269" w:lineRule="auto"/>
      </w:pPr>
      <w:r>
        <w:rPr>
          <w:color w:val="1A1A1A"/>
          <w:sz w:val="21"/>
        </w:rPr>
        <w:t xml:space="preserve">Four securitisation positions from the </w:t>
      </w:r>
      <w:r w:rsidR="00D26544">
        <w:rPr>
          <w:color w:val="1A1A1A"/>
          <w:sz w:val="21"/>
        </w:rPr>
        <w:t>portfolio</w:t>
      </w:r>
      <w:r>
        <w:rPr>
          <w:color w:val="1A1A1A"/>
          <w:sz w:val="21"/>
        </w:rPr>
        <w:t xml:space="preserve"> </w:t>
      </w:r>
      <w:proofErr w:type="spellStart"/>
      <w:r>
        <w:rPr>
          <w:color w:val="1A1A1A"/>
          <w:sz w:val="21"/>
        </w:rPr>
        <w:t>portfolio</w:t>
      </w:r>
      <w:proofErr w:type="spellEnd"/>
      <w:r>
        <w:rPr>
          <w:color w:val="1A1A1A"/>
          <w:sz w:val="21"/>
        </w:rPr>
        <w:t xml:space="preserve">, spanning the full risk-weight range, show the trap concretely. 'Correct' applies the 8%; 'naive' forgets it. The overstatement is </w:t>
      </w:r>
      <w:r>
        <w:rPr>
          <w:b/>
          <w:color w:val="1A1A1A"/>
          <w:sz w:val="21"/>
        </w:rPr>
        <w:t>identical — 12.5x — on every one</w:t>
      </w:r>
      <w:r>
        <w:rPr>
          <w:color w:val="1A1A1A"/>
          <w:sz w:val="21"/>
        </w:rPr>
        <w:t>, because the 8% multiplies every position equally.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844"/>
        <w:gridCol w:w="1309"/>
        <w:gridCol w:w="1089"/>
        <w:gridCol w:w="1212"/>
        <w:gridCol w:w="1362"/>
        <w:gridCol w:w="1336"/>
        <w:gridCol w:w="1424"/>
      </w:tblGrid>
      <w:tr w:rsidR="005E08C3" w14:paraId="47910D42" w14:textId="77777777">
        <w:trPr>
          <w:jc w:val="center"/>
        </w:trPr>
        <w:tc>
          <w:tcPr>
            <w:tcW w:w="2232" w:type="dxa"/>
            <w:shd w:val="clear" w:color="auto" w:fill="0E2C4B"/>
          </w:tcPr>
          <w:p w14:paraId="7EE2B2E7" w14:textId="77777777" w:rsidR="005E08C3" w:rsidRDefault="00000000">
            <w:pPr>
              <w:spacing w:before="40" w:after="40"/>
            </w:pPr>
            <w:r>
              <w:rPr>
                <w:b/>
                <w:color w:val="FFFFFF"/>
                <w:sz w:val="17"/>
              </w:rPr>
              <w:t>Position</w:t>
            </w:r>
          </w:p>
        </w:tc>
        <w:tc>
          <w:tcPr>
            <w:tcW w:w="1440" w:type="dxa"/>
            <w:shd w:val="clear" w:color="auto" w:fill="0E2C4B"/>
          </w:tcPr>
          <w:p w14:paraId="59F64A24" w14:textId="77777777" w:rsidR="005E08C3" w:rsidRDefault="00000000">
            <w:pPr>
              <w:spacing w:before="40" w:after="40"/>
            </w:pPr>
            <w:r>
              <w:rPr>
                <w:b/>
                <w:color w:val="FFFFFF"/>
                <w:sz w:val="17"/>
              </w:rPr>
              <w:t>Approach</w:t>
            </w:r>
          </w:p>
        </w:tc>
        <w:tc>
          <w:tcPr>
            <w:tcW w:w="1224" w:type="dxa"/>
            <w:shd w:val="clear" w:color="auto" w:fill="0E2C4B"/>
          </w:tcPr>
          <w:p w14:paraId="58873B97" w14:textId="77777777" w:rsidR="005E08C3" w:rsidRDefault="00000000">
            <w:pPr>
              <w:spacing w:before="40" w:after="40"/>
            </w:pPr>
            <w:r>
              <w:rPr>
                <w:b/>
                <w:color w:val="FFFFFF"/>
                <w:sz w:val="17"/>
              </w:rPr>
              <w:t>Risk weight</w:t>
            </w:r>
          </w:p>
        </w:tc>
        <w:tc>
          <w:tcPr>
            <w:tcW w:w="1368" w:type="dxa"/>
            <w:shd w:val="clear" w:color="auto" w:fill="0E2C4B"/>
          </w:tcPr>
          <w:p w14:paraId="5705FB00" w14:textId="77777777" w:rsidR="005E08C3" w:rsidRDefault="00000000">
            <w:pPr>
              <w:spacing w:before="40" w:after="40"/>
            </w:pPr>
            <w:r>
              <w:rPr>
                <w:b/>
                <w:color w:val="FFFFFF"/>
                <w:sz w:val="17"/>
              </w:rPr>
              <w:t>net JTD (=MV)</w:t>
            </w:r>
          </w:p>
        </w:tc>
        <w:tc>
          <w:tcPr>
            <w:tcW w:w="1512" w:type="dxa"/>
            <w:shd w:val="clear" w:color="auto" w:fill="0E2C4B"/>
          </w:tcPr>
          <w:p w14:paraId="1B7B2577" w14:textId="77777777" w:rsidR="005E08C3" w:rsidRDefault="00000000">
            <w:pPr>
              <w:spacing w:before="40" w:after="40"/>
            </w:pPr>
            <w:r>
              <w:rPr>
                <w:b/>
                <w:color w:val="FFFFFF"/>
                <w:sz w:val="17"/>
              </w:rPr>
              <w:t>Correct</w:t>
            </w:r>
            <w:r>
              <w:rPr>
                <w:b/>
                <w:color w:val="FFFFFF"/>
                <w:sz w:val="17"/>
              </w:rPr>
              <w:br/>
              <w:t>RW x 8% x JTD</w:t>
            </w:r>
          </w:p>
        </w:tc>
        <w:tc>
          <w:tcPr>
            <w:tcW w:w="1440" w:type="dxa"/>
            <w:shd w:val="clear" w:color="auto" w:fill="0E2C4B"/>
          </w:tcPr>
          <w:p w14:paraId="5E590060" w14:textId="77777777" w:rsidR="005E08C3" w:rsidRDefault="00000000">
            <w:pPr>
              <w:spacing w:before="40" w:after="40"/>
            </w:pPr>
            <w:r>
              <w:rPr>
                <w:b/>
                <w:color w:val="FFFFFF"/>
                <w:sz w:val="17"/>
              </w:rPr>
              <w:t>Naive</w:t>
            </w:r>
            <w:r>
              <w:rPr>
                <w:b/>
                <w:color w:val="FFFFFF"/>
                <w:sz w:val="17"/>
              </w:rPr>
              <w:br/>
              <w:t>RW x JTD</w:t>
            </w:r>
          </w:p>
        </w:tc>
        <w:tc>
          <w:tcPr>
            <w:tcW w:w="1440" w:type="dxa"/>
            <w:shd w:val="clear" w:color="auto" w:fill="0E2C4B"/>
          </w:tcPr>
          <w:p w14:paraId="17703AEB" w14:textId="77777777" w:rsidR="005E08C3" w:rsidRDefault="00000000">
            <w:pPr>
              <w:spacing w:before="40" w:after="40"/>
            </w:pPr>
            <w:r>
              <w:rPr>
                <w:b/>
                <w:color w:val="FFFFFF"/>
                <w:sz w:val="17"/>
              </w:rPr>
              <w:t>Overstatement</w:t>
            </w:r>
          </w:p>
        </w:tc>
      </w:tr>
      <w:tr w:rsidR="005E08C3" w14:paraId="39C3C062" w14:textId="77777777">
        <w:trPr>
          <w:jc w:val="center"/>
        </w:trPr>
        <w:tc>
          <w:tcPr>
            <w:tcW w:w="2232" w:type="dxa"/>
            <w:shd w:val="clear" w:color="auto" w:fill="F2F2F2"/>
          </w:tcPr>
          <w:p w14:paraId="22B6662F" w14:textId="77777777" w:rsidR="005E08C3" w:rsidRDefault="00000000">
            <w:pPr>
              <w:spacing w:before="40" w:after="40"/>
            </w:pPr>
            <w:r>
              <w:rPr>
                <w:color w:val="1A1A1A"/>
                <w:sz w:val="16"/>
              </w:rPr>
              <w:t>RMBS senior (ID 37)</w:t>
            </w:r>
          </w:p>
        </w:tc>
        <w:tc>
          <w:tcPr>
            <w:tcW w:w="1440" w:type="dxa"/>
            <w:shd w:val="clear" w:color="auto" w:fill="F2F2F2"/>
          </w:tcPr>
          <w:p w14:paraId="4A7ADE4F" w14:textId="77777777" w:rsidR="005E08C3" w:rsidRDefault="00000000">
            <w:pPr>
              <w:spacing w:before="40" w:after="40"/>
            </w:pPr>
            <w:r>
              <w:rPr>
                <w:color w:val="1A1A1A"/>
                <w:sz w:val="16"/>
              </w:rPr>
              <w:t>SEC-IRBA</w:t>
            </w:r>
          </w:p>
        </w:tc>
        <w:tc>
          <w:tcPr>
            <w:tcW w:w="1224" w:type="dxa"/>
            <w:shd w:val="clear" w:color="auto" w:fill="F2F2F2"/>
          </w:tcPr>
          <w:p w14:paraId="66AF503E" w14:textId="77777777" w:rsidR="005E08C3" w:rsidRDefault="00000000">
            <w:pPr>
              <w:spacing w:before="40" w:after="40"/>
            </w:pPr>
            <w:r>
              <w:rPr>
                <w:color w:val="1A1A1A"/>
                <w:sz w:val="16"/>
              </w:rPr>
              <w:t>15%</w:t>
            </w:r>
          </w:p>
        </w:tc>
        <w:tc>
          <w:tcPr>
            <w:tcW w:w="1368" w:type="dxa"/>
            <w:shd w:val="clear" w:color="auto" w:fill="F2F2F2"/>
          </w:tcPr>
          <w:p w14:paraId="6EA648AA" w14:textId="77777777" w:rsidR="005E08C3" w:rsidRDefault="00000000">
            <w:pPr>
              <w:spacing w:before="40" w:after="40"/>
            </w:pPr>
            <w:r>
              <w:rPr>
                <w:color w:val="1A1A1A"/>
                <w:sz w:val="16"/>
              </w:rPr>
              <w:t>$3.86m</w:t>
            </w:r>
          </w:p>
        </w:tc>
        <w:tc>
          <w:tcPr>
            <w:tcW w:w="1512" w:type="dxa"/>
            <w:shd w:val="clear" w:color="auto" w:fill="F2F2F2"/>
          </w:tcPr>
          <w:p w14:paraId="7C3EA268" w14:textId="77777777" w:rsidR="005E08C3" w:rsidRDefault="00000000">
            <w:pPr>
              <w:spacing w:before="40" w:after="40"/>
            </w:pPr>
            <w:r>
              <w:rPr>
                <w:color w:val="1A1A1A"/>
                <w:sz w:val="16"/>
              </w:rPr>
              <w:t>$46,296</w:t>
            </w:r>
          </w:p>
        </w:tc>
        <w:tc>
          <w:tcPr>
            <w:tcW w:w="1440" w:type="dxa"/>
            <w:shd w:val="clear" w:color="auto" w:fill="F2F2F2"/>
          </w:tcPr>
          <w:p w14:paraId="09E96B57" w14:textId="77777777" w:rsidR="005E08C3" w:rsidRDefault="00000000">
            <w:pPr>
              <w:spacing w:before="40" w:after="40"/>
            </w:pPr>
            <w:r>
              <w:rPr>
                <w:color w:val="1A1A1A"/>
                <w:sz w:val="16"/>
              </w:rPr>
              <w:t>$578,701</w:t>
            </w:r>
          </w:p>
        </w:tc>
        <w:tc>
          <w:tcPr>
            <w:tcW w:w="1440" w:type="dxa"/>
            <w:shd w:val="clear" w:color="auto" w:fill="F2F2F2"/>
          </w:tcPr>
          <w:p w14:paraId="5AC7B04F" w14:textId="77777777" w:rsidR="005E08C3" w:rsidRDefault="00000000">
            <w:pPr>
              <w:spacing w:before="40" w:after="40"/>
            </w:pPr>
            <w:r>
              <w:rPr>
                <w:b/>
                <w:color w:val="C2453C"/>
                <w:sz w:val="16"/>
              </w:rPr>
              <w:t>12.5x</w:t>
            </w:r>
          </w:p>
        </w:tc>
      </w:tr>
      <w:tr w:rsidR="005E08C3" w14:paraId="49BAAB5D" w14:textId="77777777">
        <w:trPr>
          <w:jc w:val="center"/>
        </w:trPr>
        <w:tc>
          <w:tcPr>
            <w:tcW w:w="2232" w:type="dxa"/>
            <w:shd w:val="clear" w:color="auto" w:fill="FFFFFF"/>
          </w:tcPr>
          <w:p w14:paraId="25B848D8" w14:textId="77777777" w:rsidR="005E08C3" w:rsidRDefault="00000000">
            <w:pPr>
              <w:spacing w:before="40" w:after="40"/>
            </w:pPr>
            <w:r>
              <w:rPr>
                <w:color w:val="1A1A1A"/>
                <w:sz w:val="16"/>
              </w:rPr>
              <w:t>AUTO senior (ID 50)</w:t>
            </w:r>
          </w:p>
        </w:tc>
        <w:tc>
          <w:tcPr>
            <w:tcW w:w="1440" w:type="dxa"/>
            <w:shd w:val="clear" w:color="auto" w:fill="FFFFFF"/>
          </w:tcPr>
          <w:p w14:paraId="29CF46C2" w14:textId="77777777" w:rsidR="005E08C3" w:rsidRDefault="00000000">
            <w:pPr>
              <w:spacing w:before="40" w:after="40"/>
            </w:pPr>
            <w:r>
              <w:rPr>
                <w:color w:val="1A1A1A"/>
                <w:sz w:val="16"/>
              </w:rPr>
              <w:t>SEC-ERBA</w:t>
            </w:r>
          </w:p>
        </w:tc>
        <w:tc>
          <w:tcPr>
            <w:tcW w:w="1224" w:type="dxa"/>
            <w:shd w:val="clear" w:color="auto" w:fill="FFFFFF"/>
          </w:tcPr>
          <w:p w14:paraId="0FDA5479" w14:textId="77777777" w:rsidR="005E08C3" w:rsidRDefault="00000000">
            <w:pPr>
              <w:spacing w:before="40" w:after="40"/>
            </w:pPr>
            <w:r>
              <w:rPr>
                <w:color w:val="1A1A1A"/>
                <w:sz w:val="16"/>
              </w:rPr>
              <w:t>10%</w:t>
            </w:r>
          </w:p>
        </w:tc>
        <w:tc>
          <w:tcPr>
            <w:tcW w:w="1368" w:type="dxa"/>
            <w:shd w:val="clear" w:color="auto" w:fill="FFFFFF"/>
          </w:tcPr>
          <w:p w14:paraId="45E7712F" w14:textId="77777777" w:rsidR="005E08C3" w:rsidRDefault="00000000">
            <w:pPr>
              <w:spacing w:before="40" w:after="40"/>
            </w:pPr>
            <w:r>
              <w:rPr>
                <w:color w:val="1A1A1A"/>
                <w:sz w:val="16"/>
              </w:rPr>
              <w:t>$53.12m</w:t>
            </w:r>
          </w:p>
        </w:tc>
        <w:tc>
          <w:tcPr>
            <w:tcW w:w="1512" w:type="dxa"/>
            <w:shd w:val="clear" w:color="auto" w:fill="FFFFFF"/>
          </w:tcPr>
          <w:p w14:paraId="5AEE0000" w14:textId="77777777" w:rsidR="005E08C3" w:rsidRDefault="00000000">
            <w:pPr>
              <w:spacing w:before="40" w:after="40"/>
            </w:pPr>
            <w:r>
              <w:rPr>
                <w:color w:val="1A1A1A"/>
                <w:sz w:val="16"/>
              </w:rPr>
              <w:t>$424,965</w:t>
            </w:r>
          </w:p>
        </w:tc>
        <w:tc>
          <w:tcPr>
            <w:tcW w:w="1440" w:type="dxa"/>
            <w:shd w:val="clear" w:color="auto" w:fill="FFFFFF"/>
          </w:tcPr>
          <w:p w14:paraId="7782D75D" w14:textId="77777777" w:rsidR="005E08C3" w:rsidRDefault="00000000">
            <w:pPr>
              <w:spacing w:before="40" w:after="40"/>
            </w:pPr>
            <w:r>
              <w:rPr>
                <w:color w:val="1A1A1A"/>
                <w:sz w:val="16"/>
              </w:rPr>
              <w:t>$5,312,062</w:t>
            </w:r>
          </w:p>
        </w:tc>
        <w:tc>
          <w:tcPr>
            <w:tcW w:w="1440" w:type="dxa"/>
            <w:shd w:val="clear" w:color="auto" w:fill="FFFFFF"/>
          </w:tcPr>
          <w:p w14:paraId="718D030B" w14:textId="77777777" w:rsidR="005E08C3" w:rsidRDefault="00000000">
            <w:pPr>
              <w:spacing w:before="40" w:after="40"/>
            </w:pPr>
            <w:r>
              <w:rPr>
                <w:b/>
                <w:color w:val="C2453C"/>
                <w:sz w:val="16"/>
              </w:rPr>
              <w:t>12.5x</w:t>
            </w:r>
          </w:p>
        </w:tc>
      </w:tr>
      <w:tr w:rsidR="005E08C3" w14:paraId="748BD289" w14:textId="77777777">
        <w:trPr>
          <w:jc w:val="center"/>
        </w:trPr>
        <w:tc>
          <w:tcPr>
            <w:tcW w:w="2232" w:type="dxa"/>
            <w:shd w:val="clear" w:color="auto" w:fill="F2F2F2"/>
          </w:tcPr>
          <w:p w14:paraId="194CFE0E" w14:textId="77777777" w:rsidR="005E08C3" w:rsidRDefault="00000000">
            <w:pPr>
              <w:spacing w:before="40" w:after="40"/>
            </w:pPr>
            <w:r>
              <w:rPr>
                <w:color w:val="1A1A1A"/>
                <w:sz w:val="16"/>
              </w:rPr>
              <w:t>NPL senior (ID 75)</w:t>
            </w:r>
          </w:p>
        </w:tc>
        <w:tc>
          <w:tcPr>
            <w:tcW w:w="1440" w:type="dxa"/>
            <w:shd w:val="clear" w:color="auto" w:fill="F2F2F2"/>
          </w:tcPr>
          <w:p w14:paraId="39BB2ECF" w14:textId="77777777" w:rsidR="005E08C3" w:rsidRDefault="00000000">
            <w:pPr>
              <w:spacing w:before="40" w:after="40"/>
            </w:pPr>
            <w:r>
              <w:rPr>
                <w:color w:val="1A1A1A"/>
                <w:sz w:val="16"/>
              </w:rPr>
              <w:t>SEC-IRBA</w:t>
            </w:r>
          </w:p>
        </w:tc>
        <w:tc>
          <w:tcPr>
            <w:tcW w:w="1224" w:type="dxa"/>
            <w:shd w:val="clear" w:color="auto" w:fill="F2F2F2"/>
          </w:tcPr>
          <w:p w14:paraId="5CFF9F3A" w14:textId="77777777" w:rsidR="005E08C3" w:rsidRDefault="00000000">
            <w:pPr>
              <w:spacing w:before="40" w:after="40"/>
            </w:pPr>
            <w:r>
              <w:rPr>
                <w:color w:val="1A1A1A"/>
                <w:sz w:val="16"/>
              </w:rPr>
              <w:t>100%</w:t>
            </w:r>
          </w:p>
        </w:tc>
        <w:tc>
          <w:tcPr>
            <w:tcW w:w="1368" w:type="dxa"/>
            <w:shd w:val="clear" w:color="auto" w:fill="F2F2F2"/>
          </w:tcPr>
          <w:p w14:paraId="558C60B7" w14:textId="77777777" w:rsidR="005E08C3" w:rsidRDefault="00000000">
            <w:pPr>
              <w:spacing w:before="40" w:after="40"/>
            </w:pPr>
            <w:r>
              <w:rPr>
                <w:color w:val="1A1A1A"/>
                <w:sz w:val="16"/>
              </w:rPr>
              <w:t>$26.85m</w:t>
            </w:r>
          </w:p>
        </w:tc>
        <w:tc>
          <w:tcPr>
            <w:tcW w:w="1512" w:type="dxa"/>
            <w:shd w:val="clear" w:color="auto" w:fill="F2F2F2"/>
          </w:tcPr>
          <w:p w14:paraId="056734DC" w14:textId="77777777" w:rsidR="005E08C3" w:rsidRDefault="00000000">
            <w:pPr>
              <w:spacing w:before="40" w:after="40"/>
            </w:pPr>
            <w:r>
              <w:rPr>
                <w:color w:val="1A1A1A"/>
                <w:sz w:val="16"/>
              </w:rPr>
              <w:t>$2,147,738</w:t>
            </w:r>
          </w:p>
        </w:tc>
        <w:tc>
          <w:tcPr>
            <w:tcW w:w="1440" w:type="dxa"/>
            <w:shd w:val="clear" w:color="auto" w:fill="F2F2F2"/>
          </w:tcPr>
          <w:p w14:paraId="6363905F" w14:textId="77777777" w:rsidR="005E08C3" w:rsidRDefault="00000000">
            <w:pPr>
              <w:spacing w:before="40" w:after="40"/>
            </w:pPr>
            <w:r>
              <w:rPr>
                <w:color w:val="1A1A1A"/>
                <w:sz w:val="16"/>
              </w:rPr>
              <w:t>$26,846,720</w:t>
            </w:r>
          </w:p>
        </w:tc>
        <w:tc>
          <w:tcPr>
            <w:tcW w:w="1440" w:type="dxa"/>
            <w:shd w:val="clear" w:color="auto" w:fill="F2F2F2"/>
          </w:tcPr>
          <w:p w14:paraId="7DA66C0B" w14:textId="77777777" w:rsidR="005E08C3" w:rsidRDefault="00000000">
            <w:pPr>
              <w:spacing w:before="40" w:after="40"/>
            </w:pPr>
            <w:r>
              <w:rPr>
                <w:b/>
                <w:color w:val="C2453C"/>
                <w:sz w:val="16"/>
              </w:rPr>
              <w:t>12.5x</w:t>
            </w:r>
          </w:p>
        </w:tc>
      </w:tr>
      <w:tr w:rsidR="005E08C3" w14:paraId="3EF68CE7" w14:textId="77777777">
        <w:trPr>
          <w:jc w:val="center"/>
        </w:trPr>
        <w:tc>
          <w:tcPr>
            <w:tcW w:w="2232" w:type="dxa"/>
            <w:shd w:val="clear" w:color="auto" w:fill="FFFFFF"/>
          </w:tcPr>
          <w:p w14:paraId="3318CB61" w14:textId="77777777" w:rsidR="005E08C3" w:rsidRDefault="00000000">
            <w:pPr>
              <w:spacing w:before="40" w:after="40"/>
            </w:pPr>
            <w:r>
              <w:rPr>
                <w:color w:val="1A1A1A"/>
                <w:sz w:val="16"/>
              </w:rPr>
              <w:lastRenderedPageBreak/>
              <w:t>DD-fail CMBS (ID 71)</w:t>
            </w:r>
          </w:p>
        </w:tc>
        <w:tc>
          <w:tcPr>
            <w:tcW w:w="1440" w:type="dxa"/>
            <w:shd w:val="clear" w:color="auto" w:fill="FFFFFF"/>
          </w:tcPr>
          <w:p w14:paraId="593F1A95" w14:textId="77777777" w:rsidR="005E08C3" w:rsidRDefault="00000000">
            <w:pPr>
              <w:spacing w:before="40" w:after="40"/>
            </w:pPr>
            <w:r>
              <w:rPr>
                <w:color w:val="1A1A1A"/>
                <w:sz w:val="16"/>
              </w:rPr>
              <w:t>1250%</w:t>
            </w:r>
          </w:p>
        </w:tc>
        <w:tc>
          <w:tcPr>
            <w:tcW w:w="1224" w:type="dxa"/>
            <w:shd w:val="clear" w:color="auto" w:fill="FFFFFF"/>
          </w:tcPr>
          <w:p w14:paraId="64EBB7DE" w14:textId="77777777" w:rsidR="005E08C3" w:rsidRDefault="00000000">
            <w:pPr>
              <w:spacing w:before="40" w:after="40"/>
            </w:pPr>
            <w:r>
              <w:rPr>
                <w:color w:val="1A1A1A"/>
                <w:sz w:val="16"/>
              </w:rPr>
              <w:t>1250%</w:t>
            </w:r>
          </w:p>
        </w:tc>
        <w:tc>
          <w:tcPr>
            <w:tcW w:w="1368" w:type="dxa"/>
            <w:shd w:val="clear" w:color="auto" w:fill="FFFFFF"/>
          </w:tcPr>
          <w:p w14:paraId="41F9B583" w14:textId="77777777" w:rsidR="005E08C3" w:rsidRDefault="00000000">
            <w:pPr>
              <w:spacing w:before="40" w:after="40"/>
            </w:pPr>
            <w:r>
              <w:rPr>
                <w:color w:val="1A1A1A"/>
                <w:sz w:val="16"/>
              </w:rPr>
              <w:t>$0.90m</w:t>
            </w:r>
          </w:p>
        </w:tc>
        <w:tc>
          <w:tcPr>
            <w:tcW w:w="1512" w:type="dxa"/>
            <w:shd w:val="clear" w:color="auto" w:fill="FFFFFF"/>
          </w:tcPr>
          <w:p w14:paraId="23B531B7" w14:textId="77777777" w:rsidR="005E08C3" w:rsidRDefault="00000000">
            <w:pPr>
              <w:spacing w:before="40" w:after="40"/>
            </w:pPr>
            <w:r>
              <w:rPr>
                <w:color w:val="1A1A1A"/>
                <w:sz w:val="16"/>
              </w:rPr>
              <w:t>$896,980</w:t>
            </w:r>
          </w:p>
        </w:tc>
        <w:tc>
          <w:tcPr>
            <w:tcW w:w="1440" w:type="dxa"/>
            <w:shd w:val="clear" w:color="auto" w:fill="FFFFFF"/>
          </w:tcPr>
          <w:p w14:paraId="79410C20" w14:textId="77777777" w:rsidR="005E08C3" w:rsidRDefault="00000000">
            <w:pPr>
              <w:spacing w:before="40" w:after="40"/>
            </w:pPr>
            <w:r>
              <w:rPr>
                <w:color w:val="1A1A1A"/>
                <w:sz w:val="16"/>
              </w:rPr>
              <w:t>$11,212,255</w:t>
            </w:r>
          </w:p>
        </w:tc>
        <w:tc>
          <w:tcPr>
            <w:tcW w:w="1440" w:type="dxa"/>
            <w:shd w:val="clear" w:color="auto" w:fill="FFFFFF"/>
          </w:tcPr>
          <w:p w14:paraId="4F7B0EE0" w14:textId="77777777" w:rsidR="005E08C3" w:rsidRDefault="00000000">
            <w:pPr>
              <w:spacing w:before="40" w:after="40"/>
            </w:pPr>
            <w:r>
              <w:rPr>
                <w:b/>
                <w:color w:val="C2453C"/>
                <w:sz w:val="16"/>
              </w:rPr>
              <w:t>12.5x</w:t>
            </w:r>
          </w:p>
        </w:tc>
      </w:tr>
    </w:tbl>
    <w:p w14:paraId="1388587B" w14:textId="1AD23EF2" w:rsidR="005E08C3" w:rsidRDefault="00000000">
      <w:pPr>
        <w:spacing w:before="60"/>
      </w:pPr>
      <w:r>
        <w:rPr>
          <w:b/>
          <w:color w:val="0E2C4B"/>
          <w:sz w:val="17"/>
        </w:rPr>
        <w:t xml:space="preserve">Exhibit 5.  </w:t>
      </w:r>
      <w:r>
        <w:rPr>
          <w:i/>
          <w:color w:val="555555"/>
          <w:sz w:val="17"/>
        </w:rPr>
        <w:t xml:space="preserve">The 8% trap on four </w:t>
      </w:r>
      <w:r w:rsidR="00D26544">
        <w:rPr>
          <w:i/>
          <w:color w:val="555555"/>
          <w:sz w:val="17"/>
        </w:rPr>
        <w:t>portfolio</w:t>
      </w:r>
      <w:r>
        <w:rPr>
          <w:i/>
          <w:color w:val="555555"/>
          <w:sz w:val="17"/>
        </w:rPr>
        <w:t xml:space="preserve"> positions. The naive column omits the 8%; the overstatement is exactly 12.5x regardless of the risk weight, approach or seniority.</w:t>
      </w:r>
    </w:p>
    <w:p w14:paraId="70B72300" w14:textId="77777777" w:rsidR="005E08C3" w:rsidRDefault="00000000">
      <w:pPr>
        <w:jc w:val="center"/>
      </w:pPr>
      <w:r>
        <w:rPr>
          <w:noProof/>
        </w:rPr>
        <w:drawing>
          <wp:inline distT="0" distB="0" distL="0" distR="0" wp14:anchorId="1911D9BB" wp14:editId="5CDA9B98">
            <wp:extent cx="5760720" cy="2684496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_rw8_overstat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6844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C6994E" w14:textId="77777777" w:rsidR="005E08C3" w:rsidRDefault="00000000">
      <w:pPr>
        <w:spacing w:before="60"/>
      </w:pPr>
      <w:r>
        <w:rPr>
          <w:b/>
          <w:color w:val="0E2C4B"/>
          <w:sz w:val="17"/>
        </w:rPr>
        <w:t xml:space="preserve">Exhibit 6.  </w:t>
      </w:r>
      <w:r>
        <w:rPr>
          <w:i/>
          <w:color w:val="555555"/>
          <w:sz w:val="17"/>
        </w:rPr>
        <w:t>Correct versus naive capital (log scale) for the four positions. The crimson bar is 12.5x the navy bar in every pair — the constant signature of a missing 8%.</w:t>
      </w:r>
    </w:p>
    <w:p w14:paraId="29F42B2A" w14:textId="77777777" w:rsidR="005E08C3" w:rsidRDefault="00000000">
      <w:pPr>
        <w:spacing w:before="40" w:after="100" w:line="269" w:lineRule="auto"/>
      </w:pPr>
      <w:r>
        <w:rPr>
          <w:color w:val="1A1A1A"/>
          <w:sz w:val="21"/>
        </w:rPr>
        <w:t xml:space="preserve">Note the two cases that most often prompt the question. The </w:t>
      </w:r>
      <w:r>
        <w:rPr>
          <w:b/>
          <w:color w:val="1A1A1A"/>
          <w:sz w:val="21"/>
        </w:rPr>
        <w:t>NPL senior</w:t>
      </w:r>
      <w:r>
        <w:rPr>
          <w:color w:val="1A1A1A"/>
          <w:sz w:val="21"/>
        </w:rPr>
        <w:t xml:space="preserve"> (ID 75) carries a 100% risk weight: with the 8% it is charged $2.15m (8% of its $26.85m JTD); without it, the full $26.85m — treating a performing senior tranche as a total write-off. The </w:t>
      </w:r>
      <w:r>
        <w:rPr>
          <w:b/>
          <w:color w:val="1A1A1A"/>
          <w:sz w:val="21"/>
        </w:rPr>
        <w:t>DD-failure</w:t>
      </w:r>
      <w:r>
        <w:rPr>
          <w:color w:val="1A1A1A"/>
          <w:sz w:val="21"/>
        </w:rPr>
        <w:t xml:space="preserve"> (ID 71) carries 1250%: with the 8% that is a full deduction equal to the exposure; without it, $11.2m on a $0.90m position — capital more than ten times the asset.</w:t>
      </w:r>
    </w:p>
    <w:p w14:paraId="1728BE55" w14:textId="77777777" w:rsidR="005E08C3" w:rsidRDefault="00000000">
      <w:pPr>
        <w:keepNext/>
        <w:pBdr>
          <w:bottom w:val="single" w:sz="10" w:space="4" w:color="0E2C4B"/>
        </w:pBdr>
        <w:spacing w:before="400" w:after="140"/>
      </w:pPr>
      <w:r>
        <w:rPr>
          <w:b/>
          <w:color w:val="0E2C4B"/>
          <w:sz w:val="32"/>
        </w:rPr>
        <w:t>7.  The '100%' trap — one number, two scales</w:t>
      </w:r>
    </w:p>
    <w:p w14:paraId="111A6EB7" w14:textId="77777777" w:rsidR="005E08C3" w:rsidRDefault="00000000">
      <w:pPr>
        <w:spacing w:before="40" w:after="100" w:line="269" w:lineRule="auto"/>
      </w:pPr>
      <w:r>
        <w:rPr>
          <w:color w:val="1A1A1A"/>
          <w:sz w:val="21"/>
        </w:rPr>
        <w:t xml:space="preserve">The clearest way to be caught is the number </w:t>
      </w:r>
      <w:r>
        <w:rPr>
          <w:b/>
          <w:color w:val="1A1A1A"/>
          <w:sz w:val="21"/>
        </w:rPr>
        <w:t>100%</w:t>
      </w:r>
      <w:r>
        <w:rPr>
          <w:color w:val="1A1A1A"/>
          <w:sz w:val="21"/>
        </w:rPr>
        <w:t xml:space="preserve">, because it is legal in both tables and means opposite things. In non-securitisation it is the </w:t>
      </w:r>
      <w:r>
        <w:rPr>
          <w:b/>
          <w:color w:val="1A1A1A"/>
          <w:sz w:val="21"/>
        </w:rPr>
        <w:t>Defaulted</w:t>
      </w:r>
      <w:r>
        <w:rPr>
          <w:color w:val="1A1A1A"/>
          <w:sz w:val="21"/>
        </w:rPr>
        <w:t xml:space="preserve"> loss rate — a full loss. In securitisation it is an ordinary banking-book risk weight — </w:t>
      </w:r>
      <w:r>
        <w:rPr>
          <w:b/>
          <w:color w:val="1A1A1A"/>
          <w:sz w:val="21"/>
        </w:rPr>
        <w:t>8%</w:t>
      </w:r>
      <w:r>
        <w:rPr>
          <w:color w:val="1A1A1A"/>
          <w:sz w:val="21"/>
        </w:rPr>
        <w:t xml:space="preserve"> of the exposure. Same digits, a 12.5x difference in capital.</w:t>
      </w:r>
    </w:p>
    <w:p w14:paraId="3E161FEC" w14:textId="77777777" w:rsidR="005E08C3" w:rsidRDefault="00000000">
      <w:pPr>
        <w:jc w:val="center"/>
      </w:pPr>
      <w:r>
        <w:rPr>
          <w:noProof/>
        </w:rPr>
        <w:drawing>
          <wp:inline distT="0" distB="0" distL="0" distR="0" wp14:anchorId="49900D0E" wp14:editId="3651AF13">
            <wp:extent cx="5303520" cy="2152153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_rw8_100trap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1521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D37879" w14:textId="77777777" w:rsidR="005E08C3" w:rsidRDefault="00000000">
      <w:pPr>
        <w:spacing w:before="60"/>
      </w:pPr>
      <w:r>
        <w:rPr>
          <w:b/>
          <w:color w:val="0E2C4B"/>
          <w:sz w:val="17"/>
        </w:rPr>
        <w:lastRenderedPageBreak/>
        <w:t xml:space="preserve">Exhibit 7.  </w:t>
      </w:r>
      <w:r>
        <w:rPr>
          <w:i/>
          <w:color w:val="555555"/>
          <w:sz w:val="17"/>
        </w:rPr>
        <w:t>A $100 net JTD at '100%'. On the non-securitisation loss-rate scale that is $100 of capital (a full loss); on the securitisation RWA scale it is $8 (after the 8%). The label is identical; the capital differs by 12.5x.</w:t>
      </w:r>
    </w:p>
    <w:p w14:paraId="58C1AEB2" w14:textId="77777777" w:rsidR="005E08C3" w:rsidRDefault="00000000">
      <w:pPr>
        <w:pBdr>
          <w:left w:val="single" w:sz="18" w:space="4" w:color="355574"/>
        </w:pBdr>
        <w:shd w:val="clear" w:color="auto" w:fill="F4F1EA"/>
        <w:spacing w:before="120" w:after="120"/>
        <w:ind w:left="72" w:right="72"/>
      </w:pPr>
      <w:r>
        <w:rPr>
          <w:b/>
          <w:color w:val="355574"/>
          <w:sz w:val="19"/>
        </w:rPr>
        <w:t xml:space="preserve">  PRACTITIONER'S RULE   </w:t>
      </w:r>
      <w:r>
        <w:rPr>
          <w:color w:val="2A2A2A"/>
          <w:sz w:val="19"/>
        </w:rPr>
        <w:t xml:space="preserve">Before applying any risk weight, ask </w:t>
      </w:r>
      <w:r>
        <w:rPr>
          <w:b/>
          <w:color w:val="2A2A2A"/>
          <w:sz w:val="19"/>
        </w:rPr>
        <w:t>which scale am I on?</w:t>
      </w:r>
      <w:r>
        <w:rPr>
          <w:color w:val="2A2A2A"/>
          <w:sz w:val="19"/>
        </w:rPr>
        <w:t xml:space="preserve"> If the table can reach 1250% (any securitisation approach — ERBA, IRBA, SA, IAA, or the 1250% residual), it is RWA — </w:t>
      </w:r>
      <w:r>
        <w:rPr>
          <w:b/>
          <w:color w:val="2A2A2A"/>
          <w:sz w:val="19"/>
        </w:rPr>
        <w:t>multiply by 8%</w:t>
      </w:r>
      <w:r>
        <w:rPr>
          <w:color w:val="2A2A2A"/>
          <w:sz w:val="19"/>
        </w:rPr>
        <w:t xml:space="preserve">. If the table stops at 100% (non-securitisation, MAR22.24), it is already capital — </w:t>
      </w:r>
      <w:r>
        <w:rPr>
          <w:b/>
          <w:color w:val="2A2A2A"/>
          <w:sz w:val="19"/>
        </w:rPr>
        <w:t>do not</w:t>
      </w:r>
      <w:r>
        <w:rPr>
          <w:color w:val="2A2A2A"/>
          <w:sz w:val="19"/>
        </w:rPr>
        <w:t>.</w:t>
      </w:r>
    </w:p>
    <w:p w14:paraId="1957BC81" w14:textId="77777777" w:rsidR="005E08C3" w:rsidRDefault="00000000">
      <w:pPr>
        <w:keepNext/>
        <w:pBdr>
          <w:bottom w:val="single" w:sz="10" w:space="4" w:color="0E2C4B"/>
        </w:pBdr>
        <w:spacing w:before="400" w:after="140"/>
      </w:pPr>
      <w:r>
        <w:rPr>
          <w:b/>
          <w:color w:val="0E2C4B"/>
          <w:sz w:val="32"/>
        </w:rPr>
        <w:t>8.  Why it matters &amp; how the engine gets it right</w:t>
      </w:r>
    </w:p>
    <w:p w14:paraId="55E77289" w14:textId="48D87D77" w:rsidR="005E08C3" w:rsidRDefault="00000000">
      <w:pPr>
        <w:spacing w:before="40" w:after="100" w:line="269" w:lineRule="auto"/>
      </w:pPr>
      <w:r>
        <w:rPr>
          <w:color w:val="1A1A1A"/>
          <w:sz w:val="21"/>
        </w:rPr>
        <w:t xml:space="preserve">This is not a rounding issue. A forgotten 8% on the securitisation branch multiplies its entire default-risk charge by 12.5 — turning the </w:t>
      </w:r>
      <w:r w:rsidR="00D26544">
        <w:rPr>
          <w:color w:val="1A1A1A"/>
          <w:sz w:val="21"/>
        </w:rPr>
        <w:t>portfolio</w:t>
      </w:r>
      <w:r>
        <w:rPr>
          <w:color w:val="1A1A1A"/>
          <w:sz w:val="21"/>
        </w:rPr>
        <w:t xml:space="preserve"> figure of $27.4m into $342.4m, a number larger than the securitisation book itself. The reverse error — applying 8% on the non-securitisation branch — would </w:t>
      </w:r>
      <w:r>
        <w:rPr>
          <w:b/>
          <w:color w:val="1A1A1A"/>
          <w:sz w:val="21"/>
        </w:rPr>
        <w:t>under</w:t>
      </w:r>
      <w:r>
        <w:rPr>
          <w:color w:val="1A1A1A"/>
          <w:sz w:val="21"/>
        </w:rPr>
        <w:t>-capitalise a defaulted name 12.5-fold, charging 8% where a full loss is due. Both are catastrophic, and both come from treating 'risk weight' as one thing.</w:t>
      </w:r>
    </w:p>
    <w:p w14:paraId="2B21CB29" w14:textId="77777777" w:rsidR="005E08C3" w:rsidRDefault="00000000">
      <w:pPr>
        <w:spacing w:before="40" w:after="100" w:line="269" w:lineRule="auto"/>
      </w:pPr>
      <w:r>
        <w:rPr>
          <w:color w:val="1A1A1A"/>
          <w:sz w:val="21"/>
        </w:rPr>
        <w:t>The engine encodes the distinction structurally:</w:t>
      </w:r>
    </w:p>
    <w:p w14:paraId="4A7BB21F" w14:textId="77777777" w:rsidR="005E08C3" w:rsidRDefault="00000000">
      <w:pPr>
        <w:pStyle w:val="ListBullet"/>
        <w:spacing w:before="20" w:after="40" w:line="264" w:lineRule="auto"/>
        <w:ind w:left="403"/>
      </w:pPr>
      <w:r>
        <w:rPr>
          <w:b/>
          <w:sz w:val="21"/>
        </w:rPr>
        <w:t>Securitisation branch</w:t>
      </w:r>
      <w:r>
        <w:rPr>
          <w:sz w:val="21"/>
        </w:rPr>
        <w:t xml:space="preserve"> — the 8% factor (`rw_factor_to_capital = 0.08`) is applied once, where the risk weight meets net JTD in the bucket DRC step: capital = RW x 8% x net JTD. The residual and 1250%-table values therefore deduct in full, never beyond.</w:t>
      </w:r>
    </w:p>
    <w:p w14:paraId="066D1B05" w14:textId="77777777" w:rsidR="005E08C3" w:rsidRDefault="00000000">
      <w:pPr>
        <w:pStyle w:val="ListBullet"/>
        <w:spacing w:before="20" w:after="40" w:line="264" w:lineRule="auto"/>
        <w:ind w:left="403"/>
      </w:pPr>
      <w:r>
        <w:rPr>
          <w:b/>
          <w:sz w:val="21"/>
        </w:rPr>
        <w:t>Non-securitisation branch</w:t>
      </w:r>
      <w:r>
        <w:rPr>
          <w:sz w:val="21"/>
        </w:rPr>
        <w:t xml:space="preserve"> — the MAR22.24 loss rates are applied directly to net JTD, with </w:t>
      </w:r>
      <w:r>
        <w:rPr>
          <w:b/>
          <w:sz w:val="21"/>
        </w:rPr>
        <w:t>no</w:t>
      </w:r>
      <w:r>
        <w:rPr>
          <w:sz w:val="21"/>
        </w:rPr>
        <w:t xml:space="preserve"> 8%. A defaulted name is charged its full JTD.</w:t>
      </w:r>
    </w:p>
    <w:p w14:paraId="22B2346F" w14:textId="77777777" w:rsidR="005E08C3" w:rsidRDefault="00000000">
      <w:pPr>
        <w:pStyle w:val="ListBullet"/>
        <w:spacing w:before="20" w:after="40" w:line="264" w:lineRule="auto"/>
        <w:ind w:left="403"/>
      </w:pPr>
      <w:r>
        <w:rPr>
          <w:b/>
          <w:sz w:val="21"/>
        </w:rPr>
        <w:t>Guardrail.</w:t>
      </w:r>
      <w:r>
        <w:rPr>
          <w:sz w:val="21"/>
        </w:rPr>
        <w:t xml:space="preserve"> A fingerprint check is available: if a securitisation position's capital exceeds its own fair value (other than at the 1250% deduction boundary, where they are equal), the 8% has been dropped. The MAR22.34(3) fair-value cap makes that boundary explicit.</w:t>
      </w:r>
    </w:p>
    <w:p w14:paraId="299240D8" w14:textId="77777777" w:rsidR="005E08C3" w:rsidRDefault="00000000">
      <w:pPr>
        <w:pBdr>
          <w:left w:val="single" w:sz="18" w:space="4" w:color="C2453C"/>
        </w:pBdr>
        <w:shd w:val="clear" w:color="auto" w:fill="F7E9E7"/>
        <w:spacing w:before="120" w:after="120"/>
        <w:ind w:left="72" w:right="72"/>
      </w:pPr>
      <w:r>
        <w:rPr>
          <w:b/>
          <w:color w:val="C2453C"/>
          <w:sz w:val="19"/>
        </w:rPr>
        <w:t xml:space="preserve">  BOTTOM LINE   </w:t>
      </w:r>
      <w:r>
        <w:rPr>
          <w:color w:val="2A2A2A"/>
          <w:sz w:val="19"/>
        </w:rPr>
        <w:t xml:space="preserve">A securitisation risk weight is </w:t>
      </w:r>
      <w:r>
        <w:rPr>
          <w:b/>
          <w:color w:val="2A2A2A"/>
          <w:sz w:val="19"/>
        </w:rPr>
        <w:t>RWA</w:t>
      </w:r>
      <w:r>
        <w:rPr>
          <w:color w:val="2A2A2A"/>
          <w:sz w:val="19"/>
        </w:rPr>
        <w:t xml:space="preserve"> (peak 1250%, = K x 12.5); a non-securitisation risk weight is a </w:t>
      </w:r>
      <w:r>
        <w:rPr>
          <w:b/>
          <w:color w:val="2A2A2A"/>
          <w:sz w:val="19"/>
        </w:rPr>
        <w:t>loss rate</w:t>
      </w:r>
      <w:r>
        <w:rPr>
          <w:color w:val="2A2A2A"/>
          <w:sz w:val="19"/>
        </w:rPr>
        <w:t xml:space="preserve"> (peak 100%). The 8% Cooke factor converts the former to capital and must </w:t>
      </w:r>
      <w:r>
        <w:rPr>
          <w:b/>
          <w:color w:val="2A2A2A"/>
          <w:sz w:val="19"/>
        </w:rPr>
        <w:t>never</w:t>
      </w:r>
      <w:r>
        <w:rPr>
          <w:color w:val="2A2A2A"/>
          <w:sz w:val="19"/>
        </w:rPr>
        <w:t xml:space="preserve"> touch the latter. Get the scale wrong and the capital is wrong by exactly 12.5x — in one direction a charge bigger than the book, in the other a defaulted name held at eight cents on the dollar.</w:t>
      </w:r>
    </w:p>
    <w:p w14:paraId="6ACE72FC" w14:textId="77777777" w:rsidR="005E08C3" w:rsidRDefault="00000000">
      <w:r>
        <w:br w:type="page"/>
      </w:r>
    </w:p>
    <w:p w14:paraId="0D1E298E" w14:textId="77777777" w:rsidR="005E08C3" w:rsidRDefault="00000000">
      <w:pPr>
        <w:keepNext/>
        <w:pBdr>
          <w:bottom w:val="single" w:sz="10" w:space="4" w:color="0E2C4B"/>
        </w:pBdr>
        <w:spacing w:before="400" w:after="140"/>
      </w:pPr>
      <w:r>
        <w:rPr>
          <w:b/>
          <w:color w:val="0E2C4B"/>
          <w:sz w:val="32"/>
        </w:rPr>
        <w:lastRenderedPageBreak/>
        <w:t>Appendix A — Capital reconciliation (four positions)</w:t>
      </w:r>
    </w:p>
    <w:p w14:paraId="592CF7BD" w14:textId="77777777" w:rsidR="005E08C3" w:rsidRDefault="00000000">
      <w:pPr>
        <w:spacing w:before="40" w:after="100" w:line="269" w:lineRule="auto"/>
      </w:pPr>
      <w:r>
        <w:rPr>
          <w:color w:val="1A1A1A"/>
          <w:sz w:val="21"/>
        </w:rPr>
        <w:t>Full arithmetic for the four worked positions, so every figure in Section 6 is auditable. For securitisations, capital = risk weight x 8% x |net JTD|, with net JTD = signed market value (MAR22.27) and the maturity parameter set to 1 (MAR22.34(1)). The 'naive' column drops the x 8%.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755"/>
        <w:gridCol w:w="1703"/>
        <w:gridCol w:w="1706"/>
        <w:gridCol w:w="1706"/>
        <w:gridCol w:w="1706"/>
      </w:tblGrid>
      <w:tr w:rsidR="005E08C3" w14:paraId="6D2F1A9D" w14:textId="77777777">
        <w:trPr>
          <w:jc w:val="center"/>
        </w:trPr>
        <w:tc>
          <w:tcPr>
            <w:tcW w:w="2808" w:type="dxa"/>
            <w:shd w:val="clear" w:color="auto" w:fill="0E2C4B"/>
          </w:tcPr>
          <w:p w14:paraId="2D28EE9E" w14:textId="77777777" w:rsidR="005E08C3" w:rsidRDefault="00000000">
            <w:pPr>
              <w:spacing w:before="40" w:after="40"/>
            </w:pPr>
            <w:r>
              <w:rPr>
                <w:b/>
                <w:color w:val="FFFFFF"/>
                <w:sz w:val="17"/>
              </w:rPr>
              <w:t>Step</w:t>
            </w:r>
          </w:p>
        </w:tc>
        <w:tc>
          <w:tcPr>
            <w:tcW w:w="1728" w:type="dxa"/>
            <w:shd w:val="clear" w:color="auto" w:fill="0E2C4B"/>
          </w:tcPr>
          <w:p w14:paraId="1656FEE4" w14:textId="77777777" w:rsidR="005E08C3" w:rsidRDefault="00000000">
            <w:pPr>
              <w:spacing w:before="40" w:after="40"/>
            </w:pPr>
            <w:r>
              <w:rPr>
                <w:b/>
                <w:color w:val="FFFFFF"/>
                <w:sz w:val="17"/>
              </w:rPr>
              <w:t>ID 37 RMBS sr</w:t>
            </w:r>
          </w:p>
        </w:tc>
        <w:tc>
          <w:tcPr>
            <w:tcW w:w="1728" w:type="dxa"/>
            <w:shd w:val="clear" w:color="auto" w:fill="0E2C4B"/>
          </w:tcPr>
          <w:p w14:paraId="227D1BFD" w14:textId="77777777" w:rsidR="005E08C3" w:rsidRDefault="00000000">
            <w:pPr>
              <w:spacing w:before="40" w:after="40"/>
            </w:pPr>
            <w:r>
              <w:rPr>
                <w:b/>
                <w:color w:val="FFFFFF"/>
                <w:sz w:val="17"/>
              </w:rPr>
              <w:t>ID 50 AUTO sr</w:t>
            </w:r>
          </w:p>
        </w:tc>
        <w:tc>
          <w:tcPr>
            <w:tcW w:w="1728" w:type="dxa"/>
            <w:shd w:val="clear" w:color="auto" w:fill="0E2C4B"/>
          </w:tcPr>
          <w:p w14:paraId="34A7845D" w14:textId="77777777" w:rsidR="005E08C3" w:rsidRDefault="00000000">
            <w:pPr>
              <w:spacing w:before="40" w:after="40"/>
            </w:pPr>
            <w:r>
              <w:rPr>
                <w:b/>
                <w:color w:val="FFFFFF"/>
                <w:sz w:val="17"/>
              </w:rPr>
              <w:t>ID 75 NPL sr</w:t>
            </w:r>
          </w:p>
        </w:tc>
        <w:tc>
          <w:tcPr>
            <w:tcW w:w="1728" w:type="dxa"/>
            <w:shd w:val="clear" w:color="auto" w:fill="0E2C4B"/>
          </w:tcPr>
          <w:p w14:paraId="198DBA41" w14:textId="77777777" w:rsidR="005E08C3" w:rsidRDefault="00000000">
            <w:pPr>
              <w:spacing w:before="40" w:after="40"/>
            </w:pPr>
            <w:r>
              <w:rPr>
                <w:b/>
                <w:color w:val="FFFFFF"/>
                <w:sz w:val="17"/>
              </w:rPr>
              <w:t>ID 71 DD-fail</w:t>
            </w:r>
          </w:p>
        </w:tc>
      </w:tr>
      <w:tr w:rsidR="005E08C3" w14:paraId="6E53B5FD" w14:textId="77777777">
        <w:trPr>
          <w:jc w:val="center"/>
        </w:trPr>
        <w:tc>
          <w:tcPr>
            <w:tcW w:w="2808" w:type="dxa"/>
            <w:shd w:val="clear" w:color="auto" w:fill="F2F2F2"/>
          </w:tcPr>
          <w:p w14:paraId="431CF26B" w14:textId="77777777" w:rsidR="005E08C3" w:rsidRDefault="00000000">
            <w:pPr>
              <w:spacing w:before="40" w:after="40"/>
            </w:pPr>
            <w:r>
              <w:rPr>
                <w:color w:val="1A1A1A"/>
                <w:sz w:val="16"/>
              </w:rPr>
              <w:t>Approach</w:t>
            </w:r>
          </w:p>
        </w:tc>
        <w:tc>
          <w:tcPr>
            <w:tcW w:w="1728" w:type="dxa"/>
            <w:shd w:val="clear" w:color="auto" w:fill="F2F2F2"/>
          </w:tcPr>
          <w:p w14:paraId="488CD69A" w14:textId="77777777" w:rsidR="005E08C3" w:rsidRDefault="00000000">
            <w:pPr>
              <w:spacing w:before="40" w:after="40"/>
            </w:pPr>
            <w:r>
              <w:rPr>
                <w:color w:val="1A1A1A"/>
                <w:sz w:val="16"/>
              </w:rPr>
              <w:t>SEC-IRBA</w:t>
            </w:r>
          </w:p>
        </w:tc>
        <w:tc>
          <w:tcPr>
            <w:tcW w:w="1728" w:type="dxa"/>
            <w:shd w:val="clear" w:color="auto" w:fill="F2F2F2"/>
          </w:tcPr>
          <w:p w14:paraId="5E11A2B7" w14:textId="77777777" w:rsidR="005E08C3" w:rsidRDefault="00000000">
            <w:pPr>
              <w:spacing w:before="40" w:after="40"/>
            </w:pPr>
            <w:r>
              <w:rPr>
                <w:color w:val="1A1A1A"/>
                <w:sz w:val="16"/>
              </w:rPr>
              <w:t>SEC-ERBA</w:t>
            </w:r>
          </w:p>
        </w:tc>
        <w:tc>
          <w:tcPr>
            <w:tcW w:w="1728" w:type="dxa"/>
            <w:shd w:val="clear" w:color="auto" w:fill="F2F2F2"/>
          </w:tcPr>
          <w:p w14:paraId="659C3F56" w14:textId="77777777" w:rsidR="005E08C3" w:rsidRDefault="00000000">
            <w:pPr>
              <w:spacing w:before="40" w:after="40"/>
            </w:pPr>
            <w:r>
              <w:rPr>
                <w:color w:val="1A1A1A"/>
                <w:sz w:val="16"/>
              </w:rPr>
              <w:t>SEC-IRBA</w:t>
            </w:r>
          </w:p>
        </w:tc>
        <w:tc>
          <w:tcPr>
            <w:tcW w:w="1728" w:type="dxa"/>
            <w:shd w:val="clear" w:color="auto" w:fill="F2F2F2"/>
          </w:tcPr>
          <w:p w14:paraId="3636C5EC" w14:textId="77777777" w:rsidR="005E08C3" w:rsidRDefault="00000000">
            <w:pPr>
              <w:spacing w:before="40" w:after="40"/>
            </w:pPr>
            <w:r>
              <w:rPr>
                <w:color w:val="1A1A1A"/>
                <w:sz w:val="16"/>
              </w:rPr>
              <w:t>1250% residual</w:t>
            </w:r>
          </w:p>
        </w:tc>
      </w:tr>
      <w:tr w:rsidR="005E08C3" w14:paraId="303D2310" w14:textId="77777777">
        <w:trPr>
          <w:jc w:val="center"/>
        </w:trPr>
        <w:tc>
          <w:tcPr>
            <w:tcW w:w="2808" w:type="dxa"/>
            <w:shd w:val="clear" w:color="auto" w:fill="FFFFFF"/>
          </w:tcPr>
          <w:p w14:paraId="1C79A126" w14:textId="77777777" w:rsidR="005E08C3" w:rsidRDefault="00000000">
            <w:pPr>
              <w:spacing w:before="40" w:after="40"/>
            </w:pPr>
            <w:r>
              <w:rPr>
                <w:color w:val="1A1A1A"/>
                <w:sz w:val="16"/>
              </w:rPr>
              <w:t>Risk weight (RWA scale)</w:t>
            </w:r>
          </w:p>
        </w:tc>
        <w:tc>
          <w:tcPr>
            <w:tcW w:w="1728" w:type="dxa"/>
            <w:shd w:val="clear" w:color="auto" w:fill="FFFFFF"/>
          </w:tcPr>
          <w:p w14:paraId="0127FA90" w14:textId="77777777" w:rsidR="005E08C3" w:rsidRDefault="00000000">
            <w:pPr>
              <w:spacing w:before="40" w:after="40"/>
            </w:pPr>
            <w:r>
              <w:rPr>
                <w:color w:val="1A1A1A"/>
                <w:sz w:val="16"/>
              </w:rPr>
              <w:t>15%</w:t>
            </w:r>
          </w:p>
        </w:tc>
        <w:tc>
          <w:tcPr>
            <w:tcW w:w="1728" w:type="dxa"/>
            <w:shd w:val="clear" w:color="auto" w:fill="FFFFFF"/>
          </w:tcPr>
          <w:p w14:paraId="75C40BEC" w14:textId="77777777" w:rsidR="005E08C3" w:rsidRDefault="00000000">
            <w:pPr>
              <w:spacing w:before="40" w:after="40"/>
            </w:pPr>
            <w:r>
              <w:rPr>
                <w:color w:val="1A1A1A"/>
                <w:sz w:val="16"/>
              </w:rPr>
              <w:t>10%</w:t>
            </w:r>
          </w:p>
        </w:tc>
        <w:tc>
          <w:tcPr>
            <w:tcW w:w="1728" w:type="dxa"/>
            <w:shd w:val="clear" w:color="auto" w:fill="FFFFFF"/>
          </w:tcPr>
          <w:p w14:paraId="7D0A63FA" w14:textId="77777777" w:rsidR="005E08C3" w:rsidRDefault="00000000">
            <w:pPr>
              <w:spacing w:before="40" w:after="40"/>
            </w:pPr>
            <w:r>
              <w:rPr>
                <w:color w:val="1A1A1A"/>
                <w:sz w:val="16"/>
              </w:rPr>
              <w:t>100%</w:t>
            </w:r>
          </w:p>
        </w:tc>
        <w:tc>
          <w:tcPr>
            <w:tcW w:w="1728" w:type="dxa"/>
            <w:shd w:val="clear" w:color="auto" w:fill="FFFFFF"/>
          </w:tcPr>
          <w:p w14:paraId="12AA7452" w14:textId="77777777" w:rsidR="005E08C3" w:rsidRDefault="00000000">
            <w:pPr>
              <w:spacing w:before="40" w:after="40"/>
            </w:pPr>
            <w:r>
              <w:rPr>
                <w:color w:val="1A1A1A"/>
                <w:sz w:val="16"/>
              </w:rPr>
              <w:t>1250%</w:t>
            </w:r>
          </w:p>
        </w:tc>
      </w:tr>
      <w:tr w:rsidR="005E08C3" w14:paraId="0F1B6B78" w14:textId="77777777">
        <w:trPr>
          <w:jc w:val="center"/>
        </w:trPr>
        <w:tc>
          <w:tcPr>
            <w:tcW w:w="2808" w:type="dxa"/>
            <w:shd w:val="clear" w:color="auto" w:fill="F2F2F2"/>
          </w:tcPr>
          <w:p w14:paraId="3476FC46" w14:textId="77777777" w:rsidR="005E08C3" w:rsidRDefault="00000000">
            <w:pPr>
              <w:spacing w:before="40" w:after="40"/>
            </w:pPr>
            <w:r>
              <w:rPr>
                <w:color w:val="1A1A1A"/>
                <w:sz w:val="16"/>
              </w:rPr>
              <w:t>x 8% -&gt; capital ratio</w:t>
            </w:r>
          </w:p>
        </w:tc>
        <w:tc>
          <w:tcPr>
            <w:tcW w:w="1728" w:type="dxa"/>
            <w:shd w:val="clear" w:color="auto" w:fill="F2F2F2"/>
          </w:tcPr>
          <w:p w14:paraId="53B8CCA4" w14:textId="77777777" w:rsidR="005E08C3" w:rsidRDefault="00000000">
            <w:pPr>
              <w:spacing w:before="40" w:after="40"/>
            </w:pPr>
            <w:r>
              <w:rPr>
                <w:color w:val="1A1A1A"/>
                <w:sz w:val="16"/>
              </w:rPr>
              <w:t>1.2%</w:t>
            </w:r>
          </w:p>
        </w:tc>
        <w:tc>
          <w:tcPr>
            <w:tcW w:w="1728" w:type="dxa"/>
            <w:shd w:val="clear" w:color="auto" w:fill="F2F2F2"/>
          </w:tcPr>
          <w:p w14:paraId="738F86CB" w14:textId="77777777" w:rsidR="005E08C3" w:rsidRDefault="00000000">
            <w:pPr>
              <w:spacing w:before="40" w:after="40"/>
            </w:pPr>
            <w:r>
              <w:rPr>
                <w:color w:val="1A1A1A"/>
                <w:sz w:val="16"/>
              </w:rPr>
              <w:t>0.8%</w:t>
            </w:r>
          </w:p>
        </w:tc>
        <w:tc>
          <w:tcPr>
            <w:tcW w:w="1728" w:type="dxa"/>
            <w:shd w:val="clear" w:color="auto" w:fill="F2F2F2"/>
          </w:tcPr>
          <w:p w14:paraId="64330411" w14:textId="77777777" w:rsidR="005E08C3" w:rsidRDefault="00000000">
            <w:pPr>
              <w:spacing w:before="40" w:after="40"/>
            </w:pPr>
            <w:r>
              <w:rPr>
                <w:color w:val="1A1A1A"/>
                <w:sz w:val="16"/>
              </w:rPr>
              <w:t>8.0%</w:t>
            </w:r>
          </w:p>
        </w:tc>
        <w:tc>
          <w:tcPr>
            <w:tcW w:w="1728" w:type="dxa"/>
            <w:shd w:val="clear" w:color="auto" w:fill="F2F2F2"/>
          </w:tcPr>
          <w:p w14:paraId="142FF6CA" w14:textId="77777777" w:rsidR="005E08C3" w:rsidRDefault="00000000">
            <w:pPr>
              <w:spacing w:before="40" w:after="40"/>
            </w:pPr>
            <w:r>
              <w:rPr>
                <w:color w:val="1A1A1A"/>
                <w:sz w:val="16"/>
              </w:rPr>
              <w:t>100.0%</w:t>
            </w:r>
          </w:p>
        </w:tc>
      </w:tr>
      <w:tr w:rsidR="005E08C3" w14:paraId="71F0F80A" w14:textId="77777777">
        <w:trPr>
          <w:jc w:val="center"/>
        </w:trPr>
        <w:tc>
          <w:tcPr>
            <w:tcW w:w="2808" w:type="dxa"/>
            <w:shd w:val="clear" w:color="auto" w:fill="FFFFFF"/>
          </w:tcPr>
          <w:p w14:paraId="29F68408" w14:textId="77777777" w:rsidR="005E08C3" w:rsidRDefault="00000000">
            <w:pPr>
              <w:spacing w:before="40" w:after="40"/>
            </w:pPr>
            <w:r>
              <w:rPr>
                <w:color w:val="1A1A1A"/>
                <w:sz w:val="16"/>
              </w:rPr>
              <w:t>|net JTD| (= |MV|)</w:t>
            </w:r>
          </w:p>
        </w:tc>
        <w:tc>
          <w:tcPr>
            <w:tcW w:w="1728" w:type="dxa"/>
            <w:shd w:val="clear" w:color="auto" w:fill="FFFFFF"/>
          </w:tcPr>
          <w:p w14:paraId="7133EB8A" w14:textId="77777777" w:rsidR="005E08C3" w:rsidRDefault="00000000">
            <w:pPr>
              <w:spacing w:before="40" w:after="40"/>
            </w:pPr>
            <w:r>
              <w:rPr>
                <w:color w:val="1A1A1A"/>
                <w:sz w:val="16"/>
              </w:rPr>
              <w:t>$3,858,005</w:t>
            </w:r>
          </w:p>
        </w:tc>
        <w:tc>
          <w:tcPr>
            <w:tcW w:w="1728" w:type="dxa"/>
            <w:shd w:val="clear" w:color="auto" w:fill="FFFFFF"/>
          </w:tcPr>
          <w:p w14:paraId="6FDFF5A8" w14:textId="77777777" w:rsidR="005E08C3" w:rsidRDefault="00000000">
            <w:pPr>
              <w:spacing w:before="40" w:after="40"/>
            </w:pPr>
            <w:r>
              <w:rPr>
                <w:color w:val="1A1A1A"/>
                <w:sz w:val="16"/>
              </w:rPr>
              <w:t>$53,120,620</w:t>
            </w:r>
          </w:p>
        </w:tc>
        <w:tc>
          <w:tcPr>
            <w:tcW w:w="1728" w:type="dxa"/>
            <w:shd w:val="clear" w:color="auto" w:fill="FFFFFF"/>
          </w:tcPr>
          <w:p w14:paraId="7DE016DA" w14:textId="77777777" w:rsidR="005E08C3" w:rsidRDefault="00000000">
            <w:pPr>
              <w:spacing w:before="40" w:after="40"/>
            </w:pPr>
            <w:r>
              <w:rPr>
                <w:color w:val="1A1A1A"/>
                <w:sz w:val="16"/>
              </w:rPr>
              <w:t>$26,846,720</w:t>
            </w:r>
          </w:p>
        </w:tc>
        <w:tc>
          <w:tcPr>
            <w:tcW w:w="1728" w:type="dxa"/>
            <w:shd w:val="clear" w:color="auto" w:fill="FFFFFF"/>
          </w:tcPr>
          <w:p w14:paraId="18D9ADE5" w14:textId="77777777" w:rsidR="005E08C3" w:rsidRDefault="00000000">
            <w:pPr>
              <w:spacing w:before="40" w:after="40"/>
            </w:pPr>
            <w:r>
              <w:rPr>
                <w:color w:val="1A1A1A"/>
                <w:sz w:val="16"/>
              </w:rPr>
              <w:t>$896,980</w:t>
            </w:r>
          </w:p>
        </w:tc>
      </w:tr>
      <w:tr w:rsidR="005E08C3" w14:paraId="14A436B5" w14:textId="77777777">
        <w:trPr>
          <w:jc w:val="center"/>
        </w:trPr>
        <w:tc>
          <w:tcPr>
            <w:tcW w:w="2808" w:type="dxa"/>
            <w:shd w:val="clear" w:color="auto" w:fill="F2F2F2"/>
          </w:tcPr>
          <w:p w14:paraId="44688D45" w14:textId="77777777" w:rsidR="005E08C3" w:rsidRDefault="00000000">
            <w:pPr>
              <w:spacing w:before="40" w:after="40"/>
            </w:pPr>
            <w:r>
              <w:rPr>
                <w:color w:val="1A1A1A"/>
                <w:sz w:val="16"/>
              </w:rPr>
              <w:t>Correct capital</w:t>
            </w:r>
          </w:p>
        </w:tc>
        <w:tc>
          <w:tcPr>
            <w:tcW w:w="1728" w:type="dxa"/>
            <w:shd w:val="clear" w:color="auto" w:fill="F2F2F2"/>
          </w:tcPr>
          <w:p w14:paraId="7A0070CC" w14:textId="77777777" w:rsidR="005E08C3" w:rsidRDefault="00000000">
            <w:pPr>
              <w:spacing w:before="40" w:after="40"/>
            </w:pPr>
            <w:r>
              <w:rPr>
                <w:color w:val="1A1A1A"/>
                <w:sz w:val="16"/>
              </w:rPr>
              <w:t>$46,296</w:t>
            </w:r>
          </w:p>
        </w:tc>
        <w:tc>
          <w:tcPr>
            <w:tcW w:w="1728" w:type="dxa"/>
            <w:shd w:val="clear" w:color="auto" w:fill="F2F2F2"/>
          </w:tcPr>
          <w:p w14:paraId="7DF42F0D" w14:textId="77777777" w:rsidR="005E08C3" w:rsidRDefault="00000000">
            <w:pPr>
              <w:spacing w:before="40" w:after="40"/>
            </w:pPr>
            <w:r>
              <w:rPr>
                <w:color w:val="1A1A1A"/>
                <w:sz w:val="16"/>
              </w:rPr>
              <w:t>$424,965</w:t>
            </w:r>
          </w:p>
        </w:tc>
        <w:tc>
          <w:tcPr>
            <w:tcW w:w="1728" w:type="dxa"/>
            <w:shd w:val="clear" w:color="auto" w:fill="F2F2F2"/>
          </w:tcPr>
          <w:p w14:paraId="1BBE0A20" w14:textId="77777777" w:rsidR="005E08C3" w:rsidRDefault="00000000">
            <w:pPr>
              <w:spacing w:before="40" w:after="40"/>
            </w:pPr>
            <w:r>
              <w:rPr>
                <w:color w:val="1A1A1A"/>
                <w:sz w:val="16"/>
              </w:rPr>
              <w:t>$2,147,738</w:t>
            </w:r>
          </w:p>
        </w:tc>
        <w:tc>
          <w:tcPr>
            <w:tcW w:w="1728" w:type="dxa"/>
            <w:shd w:val="clear" w:color="auto" w:fill="F2F2F2"/>
          </w:tcPr>
          <w:p w14:paraId="64971F9A" w14:textId="77777777" w:rsidR="005E08C3" w:rsidRDefault="00000000">
            <w:pPr>
              <w:spacing w:before="40" w:after="40"/>
            </w:pPr>
            <w:r>
              <w:rPr>
                <w:color w:val="1A1A1A"/>
                <w:sz w:val="16"/>
              </w:rPr>
              <w:t>$896,980</w:t>
            </w:r>
          </w:p>
        </w:tc>
      </w:tr>
      <w:tr w:rsidR="005E08C3" w14:paraId="17536828" w14:textId="77777777">
        <w:trPr>
          <w:jc w:val="center"/>
        </w:trPr>
        <w:tc>
          <w:tcPr>
            <w:tcW w:w="2808" w:type="dxa"/>
            <w:shd w:val="clear" w:color="auto" w:fill="FFFFFF"/>
          </w:tcPr>
          <w:p w14:paraId="7AD37679" w14:textId="77777777" w:rsidR="005E08C3" w:rsidRDefault="00000000">
            <w:pPr>
              <w:spacing w:before="40" w:after="40"/>
            </w:pPr>
            <w:r>
              <w:rPr>
                <w:color w:val="1A1A1A"/>
                <w:sz w:val="16"/>
              </w:rPr>
              <w:t>Naive capital (no 8%)</w:t>
            </w:r>
          </w:p>
        </w:tc>
        <w:tc>
          <w:tcPr>
            <w:tcW w:w="1728" w:type="dxa"/>
            <w:shd w:val="clear" w:color="auto" w:fill="FFFFFF"/>
          </w:tcPr>
          <w:p w14:paraId="1D74ED0E" w14:textId="77777777" w:rsidR="005E08C3" w:rsidRDefault="00000000">
            <w:pPr>
              <w:spacing w:before="40" w:after="40"/>
            </w:pPr>
            <w:r>
              <w:rPr>
                <w:color w:val="1A1A1A"/>
                <w:sz w:val="16"/>
              </w:rPr>
              <w:t>$578,701</w:t>
            </w:r>
          </w:p>
        </w:tc>
        <w:tc>
          <w:tcPr>
            <w:tcW w:w="1728" w:type="dxa"/>
            <w:shd w:val="clear" w:color="auto" w:fill="FFFFFF"/>
          </w:tcPr>
          <w:p w14:paraId="29B6F78C" w14:textId="77777777" w:rsidR="005E08C3" w:rsidRDefault="00000000">
            <w:pPr>
              <w:spacing w:before="40" w:after="40"/>
            </w:pPr>
            <w:r>
              <w:rPr>
                <w:color w:val="1A1A1A"/>
                <w:sz w:val="16"/>
              </w:rPr>
              <w:t>$5,312,062</w:t>
            </w:r>
          </w:p>
        </w:tc>
        <w:tc>
          <w:tcPr>
            <w:tcW w:w="1728" w:type="dxa"/>
            <w:shd w:val="clear" w:color="auto" w:fill="FFFFFF"/>
          </w:tcPr>
          <w:p w14:paraId="6B4377F2" w14:textId="77777777" w:rsidR="005E08C3" w:rsidRDefault="00000000">
            <w:pPr>
              <w:spacing w:before="40" w:after="40"/>
            </w:pPr>
            <w:r>
              <w:rPr>
                <w:color w:val="1A1A1A"/>
                <w:sz w:val="16"/>
              </w:rPr>
              <w:t>$26,846,720</w:t>
            </w:r>
          </w:p>
        </w:tc>
        <w:tc>
          <w:tcPr>
            <w:tcW w:w="1728" w:type="dxa"/>
            <w:shd w:val="clear" w:color="auto" w:fill="FFFFFF"/>
          </w:tcPr>
          <w:p w14:paraId="165D60B3" w14:textId="77777777" w:rsidR="005E08C3" w:rsidRDefault="00000000">
            <w:pPr>
              <w:spacing w:before="40" w:after="40"/>
            </w:pPr>
            <w:r>
              <w:rPr>
                <w:color w:val="1A1A1A"/>
                <w:sz w:val="16"/>
              </w:rPr>
              <w:t>$11,212,255</w:t>
            </w:r>
          </w:p>
        </w:tc>
      </w:tr>
      <w:tr w:rsidR="005E08C3" w14:paraId="5A5AAE85" w14:textId="77777777">
        <w:trPr>
          <w:jc w:val="center"/>
        </w:trPr>
        <w:tc>
          <w:tcPr>
            <w:tcW w:w="2808" w:type="dxa"/>
            <w:shd w:val="clear" w:color="auto" w:fill="F2F2F2"/>
          </w:tcPr>
          <w:p w14:paraId="75CF71B0" w14:textId="77777777" w:rsidR="005E08C3" w:rsidRDefault="00000000">
            <w:pPr>
              <w:spacing w:before="40" w:after="40"/>
            </w:pPr>
            <w:r>
              <w:rPr>
                <w:color w:val="1A1A1A"/>
                <w:sz w:val="16"/>
              </w:rPr>
              <w:t>Overstatement</w:t>
            </w:r>
          </w:p>
        </w:tc>
        <w:tc>
          <w:tcPr>
            <w:tcW w:w="1728" w:type="dxa"/>
            <w:shd w:val="clear" w:color="auto" w:fill="F2F2F2"/>
          </w:tcPr>
          <w:p w14:paraId="32495EC1" w14:textId="77777777" w:rsidR="005E08C3" w:rsidRDefault="00000000">
            <w:pPr>
              <w:spacing w:before="40" w:after="40"/>
            </w:pPr>
            <w:r>
              <w:rPr>
                <w:color w:val="1A1A1A"/>
                <w:sz w:val="16"/>
              </w:rPr>
              <w:t>12.5x</w:t>
            </w:r>
          </w:p>
        </w:tc>
        <w:tc>
          <w:tcPr>
            <w:tcW w:w="1728" w:type="dxa"/>
            <w:shd w:val="clear" w:color="auto" w:fill="F2F2F2"/>
          </w:tcPr>
          <w:p w14:paraId="43C4E8A8" w14:textId="77777777" w:rsidR="005E08C3" w:rsidRDefault="00000000">
            <w:pPr>
              <w:spacing w:before="40" w:after="40"/>
            </w:pPr>
            <w:r>
              <w:rPr>
                <w:color w:val="1A1A1A"/>
                <w:sz w:val="16"/>
              </w:rPr>
              <w:t>12.5x</w:t>
            </w:r>
          </w:p>
        </w:tc>
        <w:tc>
          <w:tcPr>
            <w:tcW w:w="1728" w:type="dxa"/>
            <w:shd w:val="clear" w:color="auto" w:fill="F2F2F2"/>
          </w:tcPr>
          <w:p w14:paraId="741E4700" w14:textId="77777777" w:rsidR="005E08C3" w:rsidRDefault="00000000">
            <w:pPr>
              <w:spacing w:before="40" w:after="40"/>
            </w:pPr>
            <w:r>
              <w:rPr>
                <w:color w:val="1A1A1A"/>
                <w:sz w:val="16"/>
              </w:rPr>
              <w:t>12.5x</w:t>
            </w:r>
          </w:p>
        </w:tc>
        <w:tc>
          <w:tcPr>
            <w:tcW w:w="1728" w:type="dxa"/>
            <w:shd w:val="clear" w:color="auto" w:fill="F2F2F2"/>
          </w:tcPr>
          <w:p w14:paraId="4896C043" w14:textId="77777777" w:rsidR="005E08C3" w:rsidRDefault="00000000">
            <w:pPr>
              <w:spacing w:before="40" w:after="40"/>
            </w:pPr>
            <w:r>
              <w:rPr>
                <w:color w:val="1A1A1A"/>
                <w:sz w:val="16"/>
              </w:rPr>
              <w:t>12.5x</w:t>
            </w:r>
          </w:p>
        </w:tc>
      </w:tr>
    </w:tbl>
    <w:p w14:paraId="63E5F889" w14:textId="77777777" w:rsidR="005E08C3" w:rsidRDefault="00000000">
      <w:pPr>
        <w:spacing w:before="60"/>
      </w:pPr>
      <w:r>
        <w:rPr>
          <w:b/>
          <w:color w:val="0E2C4B"/>
          <w:sz w:val="17"/>
        </w:rPr>
        <w:t xml:space="preserve">Exhibit 8.  </w:t>
      </w:r>
      <w:r>
        <w:rPr>
          <w:i/>
          <w:color w:val="555555"/>
          <w:sz w:val="17"/>
        </w:rPr>
        <w:t>Position-level reconciliation. Row 3 (RW x 8%) is the capital ratio actually held; note it never exceeds 100%, the full-deduction boundary reached only by the 1250% residual.</w:t>
      </w:r>
    </w:p>
    <w:p w14:paraId="087C7FE8" w14:textId="77777777" w:rsidR="005E08C3" w:rsidRDefault="00000000">
      <w:pPr>
        <w:spacing w:before="40" w:after="100" w:line="269" w:lineRule="auto"/>
      </w:pPr>
      <w:r>
        <w:rPr>
          <w:color w:val="1A1A1A"/>
          <w:sz w:val="21"/>
        </w:rPr>
        <w:t>The third row is the intuition in one line: after the 8%, a 1250% risk weight is a 100% capital ratio (full deduction), a 100% risk weight is 8% capital, and a 10-15% senior weight is roughly 1% capital. None can exceed 100%. Drop the 8% and every one of these ratios is multiplied by 12.5, breaching the 100% economic ceiling for all but the lowest weights.</w:t>
      </w:r>
    </w:p>
    <w:p w14:paraId="2B439C7B" w14:textId="77777777" w:rsidR="005E08C3" w:rsidRDefault="00000000">
      <w:r>
        <w:br w:type="page"/>
      </w:r>
    </w:p>
    <w:p w14:paraId="5BD6F32C" w14:textId="77777777" w:rsidR="005E08C3" w:rsidRDefault="00000000">
      <w:pPr>
        <w:keepNext/>
        <w:pBdr>
          <w:bottom w:val="single" w:sz="10" w:space="4" w:color="0E2C4B"/>
        </w:pBdr>
        <w:spacing w:before="400" w:after="140"/>
      </w:pPr>
      <w:r>
        <w:rPr>
          <w:b/>
          <w:color w:val="0E2C4B"/>
          <w:sz w:val="32"/>
        </w:rPr>
        <w:lastRenderedPageBreak/>
        <w:t>References</w:t>
      </w:r>
    </w:p>
    <w:p w14:paraId="603BCCAE" w14:textId="77777777" w:rsidR="005E08C3" w:rsidRDefault="00000000">
      <w:pPr>
        <w:spacing w:before="40" w:after="100" w:line="269" w:lineRule="auto"/>
      </w:pPr>
      <w:r>
        <w:rPr>
          <w:i/>
          <w:color w:val="555555"/>
          <w:sz w:val="19"/>
        </w:rPr>
        <w:t>Sources are consolidated here so the body reads as a continuous argument. The Basel consolidated framework texts (MAR and CRE chapters) and the risk-based-capital standards are the authoritative sources; the internal workbook and engine implement them and are cited for traceability of the figures, not as independent authority.</w:t>
      </w:r>
    </w:p>
    <w:p w14:paraId="7128060D" w14:textId="77777777" w:rsidR="005E08C3" w:rsidRDefault="00000000">
      <w:pPr>
        <w:keepNext/>
        <w:spacing w:before="260" w:after="60"/>
      </w:pPr>
      <w:r>
        <w:rPr>
          <w:b/>
          <w:color w:val="355574"/>
          <w:sz w:val="24"/>
        </w:rPr>
        <w:t>Primary standards — Basel consolidated framework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3600"/>
        <w:gridCol w:w="3528"/>
      </w:tblGrid>
      <w:tr w:rsidR="005E08C3" w14:paraId="51331A55" w14:textId="77777777">
        <w:trPr>
          <w:jc w:val="center"/>
        </w:trPr>
        <w:tc>
          <w:tcPr>
            <w:tcW w:w="2160" w:type="dxa"/>
            <w:shd w:val="clear" w:color="auto" w:fill="0E2C4B"/>
          </w:tcPr>
          <w:p w14:paraId="277D0E92" w14:textId="77777777" w:rsidR="005E08C3" w:rsidRDefault="00000000">
            <w:pPr>
              <w:spacing w:before="40" w:after="40"/>
            </w:pPr>
            <w:r>
              <w:rPr>
                <w:b/>
                <w:color w:val="FFFFFF"/>
                <w:sz w:val="17"/>
              </w:rPr>
              <w:t>Reference</w:t>
            </w:r>
          </w:p>
        </w:tc>
        <w:tc>
          <w:tcPr>
            <w:tcW w:w="3600" w:type="dxa"/>
            <w:shd w:val="clear" w:color="auto" w:fill="0E2C4B"/>
          </w:tcPr>
          <w:p w14:paraId="03A4B59C" w14:textId="77777777" w:rsidR="005E08C3" w:rsidRDefault="00000000">
            <w:pPr>
              <w:spacing w:before="40" w:after="40"/>
            </w:pPr>
            <w:r>
              <w:rPr>
                <w:b/>
                <w:color w:val="FFFFFF"/>
                <w:sz w:val="17"/>
              </w:rPr>
              <w:t>Title / provision</w:t>
            </w:r>
          </w:p>
        </w:tc>
        <w:tc>
          <w:tcPr>
            <w:tcW w:w="3528" w:type="dxa"/>
            <w:shd w:val="clear" w:color="auto" w:fill="0E2C4B"/>
          </w:tcPr>
          <w:p w14:paraId="60D7C87C" w14:textId="77777777" w:rsidR="005E08C3" w:rsidRDefault="00000000">
            <w:pPr>
              <w:spacing w:before="40" w:after="40"/>
            </w:pPr>
            <w:r>
              <w:rPr>
                <w:b/>
                <w:color w:val="FFFFFF"/>
                <w:sz w:val="17"/>
              </w:rPr>
              <w:t>What it governs in this note</w:t>
            </w:r>
          </w:p>
        </w:tc>
      </w:tr>
      <w:tr w:rsidR="005E08C3" w14:paraId="400605FF" w14:textId="77777777">
        <w:trPr>
          <w:jc w:val="center"/>
        </w:trPr>
        <w:tc>
          <w:tcPr>
            <w:tcW w:w="2160" w:type="dxa"/>
            <w:shd w:val="clear" w:color="auto" w:fill="F2F2F2"/>
          </w:tcPr>
          <w:p w14:paraId="30860E30" w14:textId="77777777" w:rsidR="005E08C3" w:rsidRDefault="00000000">
            <w:pPr>
              <w:spacing w:before="40" w:after="40"/>
            </w:pPr>
            <w:r>
              <w:rPr>
                <w:color w:val="1A1A1A"/>
                <w:sz w:val="16"/>
              </w:rPr>
              <w:t>MAR22.24</w:t>
            </w:r>
          </w:p>
        </w:tc>
        <w:tc>
          <w:tcPr>
            <w:tcW w:w="3600" w:type="dxa"/>
            <w:shd w:val="clear" w:color="auto" w:fill="F2F2F2"/>
          </w:tcPr>
          <w:p w14:paraId="21DB2314" w14:textId="77777777" w:rsidR="005E08C3" w:rsidRDefault="00000000">
            <w:pPr>
              <w:spacing w:before="40" w:after="40"/>
            </w:pPr>
            <w:r>
              <w:rPr>
                <w:color w:val="1A1A1A"/>
                <w:sz w:val="16"/>
              </w:rPr>
              <w:t>Default risk weights for non-securitisations (Table 2).</w:t>
            </w:r>
          </w:p>
        </w:tc>
        <w:tc>
          <w:tcPr>
            <w:tcW w:w="3528" w:type="dxa"/>
            <w:shd w:val="clear" w:color="auto" w:fill="F2F2F2"/>
          </w:tcPr>
          <w:p w14:paraId="6EDD6F5C" w14:textId="77777777" w:rsidR="005E08C3" w:rsidRDefault="00000000">
            <w:pPr>
              <w:spacing w:before="40" w:after="40"/>
            </w:pPr>
            <w:r>
              <w:rPr>
                <w:color w:val="1A1A1A"/>
                <w:sz w:val="16"/>
              </w:rPr>
              <w:t>The non-securitisation loss-rate scale (0.5%-100%) applied directly, no 8% — Sections 1, 3, 7.</w:t>
            </w:r>
          </w:p>
        </w:tc>
      </w:tr>
      <w:tr w:rsidR="005E08C3" w14:paraId="70644C17" w14:textId="77777777">
        <w:trPr>
          <w:jc w:val="center"/>
        </w:trPr>
        <w:tc>
          <w:tcPr>
            <w:tcW w:w="2160" w:type="dxa"/>
            <w:shd w:val="clear" w:color="auto" w:fill="FFFFFF"/>
          </w:tcPr>
          <w:p w14:paraId="4220DEEE" w14:textId="77777777" w:rsidR="005E08C3" w:rsidRDefault="00000000">
            <w:pPr>
              <w:spacing w:before="40" w:after="40"/>
            </w:pPr>
            <w:r>
              <w:rPr>
                <w:color w:val="1A1A1A"/>
                <w:sz w:val="16"/>
              </w:rPr>
              <w:t>MAR22.25</w:t>
            </w:r>
          </w:p>
        </w:tc>
        <w:tc>
          <w:tcPr>
            <w:tcW w:w="3600" w:type="dxa"/>
            <w:shd w:val="clear" w:color="auto" w:fill="FFFFFF"/>
          </w:tcPr>
          <w:p w14:paraId="02151B65" w14:textId="77777777" w:rsidR="005E08C3" w:rsidRDefault="00000000">
            <w:pPr>
              <w:spacing w:before="40" w:after="40"/>
            </w:pPr>
            <w:r>
              <w:rPr>
                <w:color w:val="1A1A1A"/>
                <w:sz w:val="16"/>
              </w:rPr>
              <w:t>Bucket-level DRC formula (risk-weighted net JTD with HBR).</w:t>
            </w:r>
          </w:p>
        </w:tc>
        <w:tc>
          <w:tcPr>
            <w:tcW w:w="3528" w:type="dxa"/>
            <w:shd w:val="clear" w:color="auto" w:fill="FFFFFF"/>
          </w:tcPr>
          <w:p w14:paraId="7EC89760" w14:textId="77777777" w:rsidR="005E08C3" w:rsidRDefault="00000000">
            <w:pPr>
              <w:spacing w:before="40" w:after="40"/>
            </w:pPr>
            <w:r>
              <w:rPr>
                <w:color w:val="1A1A1A"/>
                <w:sz w:val="16"/>
              </w:rPr>
              <w:t>How the risk weight meets net JTD; the point at which the 8% enters on the securitisation branch — Sections 3, 4, 6.</w:t>
            </w:r>
          </w:p>
        </w:tc>
      </w:tr>
      <w:tr w:rsidR="005E08C3" w14:paraId="21394360" w14:textId="77777777">
        <w:trPr>
          <w:jc w:val="center"/>
        </w:trPr>
        <w:tc>
          <w:tcPr>
            <w:tcW w:w="2160" w:type="dxa"/>
            <w:shd w:val="clear" w:color="auto" w:fill="F2F2F2"/>
          </w:tcPr>
          <w:p w14:paraId="52C7F5D5" w14:textId="77777777" w:rsidR="005E08C3" w:rsidRDefault="00000000">
            <w:pPr>
              <w:spacing w:before="40" w:after="40"/>
            </w:pPr>
            <w:r>
              <w:rPr>
                <w:color w:val="1A1A1A"/>
                <w:sz w:val="16"/>
              </w:rPr>
              <w:t>MAR22.34(1), (3)</w:t>
            </w:r>
          </w:p>
        </w:tc>
        <w:tc>
          <w:tcPr>
            <w:tcW w:w="3600" w:type="dxa"/>
            <w:shd w:val="clear" w:color="auto" w:fill="F2F2F2"/>
          </w:tcPr>
          <w:p w14:paraId="5C2EC05F" w14:textId="77777777" w:rsidR="005E08C3" w:rsidRDefault="00000000">
            <w:pPr>
              <w:spacing w:before="40" w:after="40"/>
            </w:pPr>
            <w:r>
              <w:rPr>
                <w:color w:val="1A1A1A"/>
                <w:sz w:val="16"/>
              </w:rPr>
              <w:t>DRC securitisation (non-CTP): import of CRE40-44 risk weights with the 1-year maturity override; the fair-value cap.</w:t>
            </w:r>
          </w:p>
        </w:tc>
        <w:tc>
          <w:tcPr>
            <w:tcW w:w="3528" w:type="dxa"/>
            <w:shd w:val="clear" w:color="auto" w:fill="F2F2F2"/>
          </w:tcPr>
          <w:p w14:paraId="0896EE1B" w14:textId="77777777" w:rsidR="005E08C3" w:rsidRDefault="00000000">
            <w:pPr>
              <w:spacing w:before="40" w:after="40"/>
            </w:pPr>
            <w:r>
              <w:rPr>
                <w:color w:val="1A1A1A"/>
                <w:sz w:val="16"/>
              </w:rPr>
              <w:t>Why securitisation DRC uses banking-book RWA weights; the deduction boundary — Sections 4, 5, 8.</w:t>
            </w:r>
          </w:p>
        </w:tc>
      </w:tr>
      <w:tr w:rsidR="005E08C3" w14:paraId="483757AB" w14:textId="77777777">
        <w:trPr>
          <w:jc w:val="center"/>
        </w:trPr>
        <w:tc>
          <w:tcPr>
            <w:tcW w:w="2160" w:type="dxa"/>
            <w:shd w:val="clear" w:color="auto" w:fill="FFFFFF"/>
          </w:tcPr>
          <w:p w14:paraId="2CDA6AE1" w14:textId="77777777" w:rsidR="005E08C3" w:rsidRDefault="00000000">
            <w:pPr>
              <w:spacing w:before="40" w:after="40"/>
            </w:pPr>
            <w:r>
              <w:rPr>
                <w:color w:val="1A1A1A"/>
                <w:sz w:val="16"/>
              </w:rPr>
              <w:t>CRE44.24(2) / CRE41.10(2)</w:t>
            </w:r>
          </w:p>
        </w:tc>
        <w:tc>
          <w:tcPr>
            <w:tcW w:w="3600" w:type="dxa"/>
            <w:shd w:val="clear" w:color="auto" w:fill="FFFFFF"/>
          </w:tcPr>
          <w:p w14:paraId="52430BA2" w14:textId="77777777" w:rsidR="005E08C3" w:rsidRDefault="00000000">
            <w:pPr>
              <w:spacing w:before="40" w:after="40"/>
            </w:pPr>
            <w:r>
              <w:rPr>
                <w:color w:val="1A1A1A"/>
                <w:sz w:val="16"/>
              </w:rPr>
              <w:t>SEC-IRBA / SEC-SA risk weight = K x 12.5.</w:t>
            </w:r>
          </w:p>
        </w:tc>
        <w:tc>
          <w:tcPr>
            <w:tcW w:w="3528" w:type="dxa"/>
            <w:shd w:val="clear" w:color="auto" w:fill="FFFFFF"/>
          </w:tcPr>
          <w:p w14:paraId="71223425" w14:textId="77777777" w:rsidR="005E08C3" w:rsidRDefault="00000000">
            <w:pPr>
              <w:spacing w:before="40" w:after="40"/>
            </w:pPr>
            <w:r>
              <w:rPr>
                <w:color w:val="1A1A1A"/>
                <w:sz w:val="16"/>
              </w:rPr>
              <w:t>The explicit definition that makes the securitisation risk weight an RWA weight requiring x 8% — Sections 4, 5.</w:t>
            </w:r>
          </w:p>
        </w:tc>
      </w:tr>
      <w:tr w:rsidR="005E08C3" w14:paraId="5CE0F187" w14:textId="77777777">
        <w:trPr>
          <w:jc w:val="center"/>
        </w:trPr>
        <w:tc>
          <w:tcPr>
            <w:tcW w:w="2160" w:type="dxa"/>
            <w:shd w:val="clear" w:color="auto" w:fill="F2F2F2"/>
          </w:tcPr>
          <w:p w14:paraId="0E2B0813" w14:textId="77777777" w:rsidR="005E08C3" w:rsidRDefault="00000000">
            <w:pPr>
              <w:spacing w:before="40" w:after="40"/>
            </w:pPr>
            <w:r>
              <w:rPr>
                <w:color w:val="1A1A1A"/>
                <w:sz w:val="16"/>
              </w:rPr>
              <w:t>CRE42.4 (Table 2)</w:t>
            </w:r>
          </w:p>
        </w:tc>
        <w:tc>
          <w:tcPr>
            <w:tcW w:w="3600" w:type="dxa"/>
            <w:shd w:val="clear" w:color="auto" w:fill="F2F2F2"/>
          </w:tcPr>
          <w:p w14:paraId="23E18949" w14:textId="77777777" w:rsidR="005E08C3" w:rsidRDefault="00000000">
            <w:pPr>
              <w:spacing w:before="40" w:after="40"/>
            </w:pPr>
            <w:r>
              <w:rPr>
                <w:color w:val="1A1A1A"/>
                <w:sz w:val="16"/>
              </w:rPr>
              <w:t>SEC-ERBA long-term risk-weight table.</w:t>
            </w:r>
          </w:p>
        </w:tc>
        <w:tc>
          <w:tcPr>
            <w:tcW w:w="3528" w:type="dxa"/>
            <w:shd w:val="clear" w:color="auto" w:fill="F2F2F2"/>
          </w:tcPr>
          <w:p w14:paraId="1E5C7AD5" w14:textId="77777777" w:rsidR="005E08C3" w:rsidRDefault="00000000">
            <w:pPr>
              <w:spacing w:before="40" w:after="40"/>
            </w:pPr>
            <w:r>
              <w:rPr>
                <w:color w:val="1A1A1A"/>
                <w:sz w:val="16"/>
              </w:rPr>
              <w:t>The ratings-based RWA risk weights (peak 1250%) shown in Section 4.</w:t>
            </w:r>
          </w:p>
        </w:tc>
      </w:tr>
      <w:tr w:rsidR="005E08C3" w14:paraId="4168A0D0" w14:textId="77777777">
        <w:trPr>
          <w:jc w:val="center"/>
        </w:trPr>
        <w:tc>
          <w:tcPr>
            <w:tcW w:w="2160" w:type="dxa"/>
            <w:shd w:val="clear" w:color="auto" w:fill="FFFFFF"/>
          </w:tcPr>
          <w:p w14:paraId="3C9EB211" w14:textId="77777777" w:rsidR="005E08C3" w:rsidRDefault="00000000">
            <w:pPr>
              <w:spacing w:before="40" w:after="40"/>
            </w:pPr>
            <w:r>
              <w:rPr>
                <w:color w:val="1A1A1A"/>
                <w:sz w:val="16"/>
              </w:rPr>
              <w:t>CRE40.41</w:t>
            </w:r>
          </w:p>
        </w:tc>
        <w:tc>
          <w:tcPr>
            <w:tcW w:w="3600" w:type="dxa"/>
            <w:shd w:val="clear" w:color="auto" w:fill="FFFFFF"/>
          </w:tcPr>
          <w:p w14:paraId="2F2210D7" w14:textId="77777777" w:rsidR="005E08C3" w:rsidRDefault="00000000">
            <w:pPr>
              <w:spacing w:before="40" w:after="40"/>
            </w:pPr>
            <w:r>
              <w:rPr>
                <w:color w:val="1A1A1A"/>
                <w:sz w:val="16"/>
              </w:rPr>
              <w:t>1250% residual risk weight (due-diligence / no-approach).</w:t>
            </w:r>
          </w:p>
        </w:tc>
        <w:tc>
          <w:tcPr>
            <w:tcW w:w="3528" w:type="dxa"/>
            <w:shd w:val="clear" w:color="auto" w:fill="FFFFFF"/>
          </w:tcPr>
          <w:p w14:paraId="48ECD9B4" w14:textId="77777777" w:rsidR="005E08C3" w:rsidRDefault="00000000">
            <w:pPr>
              <w:spacing w:before="40" w:after="40"/>
            </w:pPr>
            <w:r>
              <w:rPr>
                <w:color w:val="1A1A1A"/>
                <w:sz w:val="16"/>
              </w:rPr>
              <w:t>The deduction-equivalent weight; the DD-failure example (ID 71) — Sections 5, 6.</w:t>
            </w:r>
          </w:p>
        </w:tc>
      </w:tr>
      <w:tr w:rsidR="005E08C3" w14:paraId="3F221A69" w14:textId="77777777">
        <w:trPr>
          <w:jc w:val="center"/>
        </w:trPr>
        <w:tc>
          <w:tcPr>
            <w:tcW w:w="2160" w:type="dxa"/>
            <w:shd w:val="clear" w:color="auto" w:fill="F2F2F2"/>
          </w:tcPr>
          <w:p w14:paraId="65EE1DE8" w14:textId="77777777" w:rsidR="005E08C3" w:rsidRDefault="00000000">
            <w:pPr>
              <w:spacing w:before="40" w:after="40"/>
            </w:pPr>
            <w:r>
              <w:rPr>
                <w:color w:val="1A1A1A"/>
                <w:sz w:val="16"/>
              </w:rPr>
              <w:t>RBC20</w:t>
            </w:r>
          </w:p>
        </w:tc>
        <w:tc>
          <w:tcPr>
            <w:tcW w:w="3600" w:type="dxa"/>
            <w:shd w:val="clear" w:color="auto" w:fill="F2F2F2"/>
          </w:tcPr>
          <w:p w14:paraId="7AFE3F05" w14:textId="77777777" w:rsidR="005E08C3" w:rsidRDefault="00000000">
            <w:pPr>
              <w:spacing w:before="40" w:after="40"/>
            </w:pPr>
            <w:r>
              <w:rPr>
                <w:color w:val="1A1A1A"/>
                <w:sz w:val="16"/>
              </w:rPr>
              <w:t>Calculation of minimum risk-based capital requirements (the 8% ratio).</w:t>
            </w:r>
          </w:p>
        </w:tc>
        <w:tc>
          <w:tcPr>
            <w:tcW w:w="3528" w:type="dxa"/>
            <w:shd w:val="clear" w:color="auto" w:fill="F2F2F2"/>
          </w:tcPr>
          <w:p w14:paraId="06C498AF" w14:textId="77777777" w:rsidR="005E08C3" w:rsidRDefault="00000000">
            <w:pPr>
              <w:spacing w:before="40" w:after="40"/>
            </w:pPr>
            <w:r>
              <w:rPr>
                <w:color w:val="1A1A1A"/>
                <w:sz w:val="16"/>
              </w:rPr>
              <w:t>The source of the 8% factor and the 12.5 reciprocal — Sections 1, 5, 8.</w:t>
            </w:r>
          </w:p>
        </w:tc>
      </w:tr>
    </w:tbl>
    <w:p w14:paraId="1A5C07C3" w14:textId="77777777" w:rsidR="005E08C3" w:rsidRDefault="00000000">
      <w:pPr>
        <w:keepNext/>
        <w:spacing w:before="260" w:after="60"/>
      </w:pPr>
      <w:r>
        <w:rPr>
          <w:b/>
          <w:color w:val="355574"/>
          <w:sz w:val="24"/>
        </w:rPr>
        <w:t>Internal sources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3600"/>
        <w:gridCol w:w="3528"/>
      </w:tblGrid>
      <w:tr w:rsidR="005E08C3" w14:paraId="364AB153" w14:textId="77777777">
        <w:trPr>
          <w:jc w:val="center"/>
        </w:trPr>
        <w:tc>
          <w:tcPr>
            <w:tcW w:w="2160" w:type="dxa"/>
            <w:shd w:val="clear" w:color="auto" w:fill="0E2C4B"/>
          </w:tcPr>
          <w:p w14:paraId="57A2809B" w14:textId="77777777" w:rsidR="005E08C3" w:rsidRDefault="00000000">
            <w:pPr>
              <w:spacing w:before="40" w:after="40"/>
            </w:pPr>
            <w:r>
              <w:rPr>
                <w:b/>
                <w:color w:val="FFFFFF"/>
                <w:sz w:val="17"/>
              </w:rPr>
              <w:t>Reference</w:t>
            </w:r>
          </w:p>
        </w:tc>
        <w:tc>
          <w:tcPr>
            <w:tcW w:w="3600" w:type="dxa"/>
            <w:shd w:val="clear" w:color="auto" w:fill="0E2C4B"/>
          </w:tcPr>
          <w:p w14:paraId="102CA011" w14:textId="77777777" w:rsidR="005E08C3" w:rsidRDefault="00000000">
            <w:pPr>
              <w:spacing w:before="40" w:after="40"/>
            </w:pPr>
            <w:r>
              <w:rPr>
                <w:b/>
                <w:color w:val="FFFFFF"/>
                <w:sz w:val="17"/>
              </w:rPr>
              <w:t>Source</w:t>
            </w:r>
          </w:p>
        </w:tc>
        <w:tc>
          <w:tcPr>
            <w:tcW w:w="3528" w:type="dxa"/>
            <w:shd w:val="clear" w:color="auto" w:fill="0E2C4B"/>
          </w:tcPr>
          <w:p w14:paraId="1B0552EB" w14:textId="77777777" w:rsidR="005E08C3" w:rsidRDefault="00000000">
            <w:pPr>
              <w:spacing w:before="40" w:after="40"/>
            </w:pPr>
            <w:r>
              <w:rPr>
                <w:b/>
                <w:color w:val="FFFFFF"/>
                <w:sz w:val="17"/>
              </w:rPr>
              <w:t>What it provides</w:t>
            </w:r>
          </w:p>
        </w:tc>
      </w:tr>
      <w:tr w:rsidR="005E08C3" w14:paraId="2A2DB884" w14:textId="77777777">
        <w:trPr>
          <w:jc w:val="center"/>
        </w:trPr>
        <w:tc>
          <w:tcPr>
            <w:tcW w:w="2160" w:type="dxa"/>
            <w:shd w:val="clear" w:color="auto" w:fill="F2F2F2"/>
          </w:tcPr>
          <w:p w14:paraId="6A81A094" w14:textId="77777777" w:rsidR="005E08C3" w:rsidRDefault="00000000">
            <w:pPr>
              <w:spacing w:before="40" w:after="40"/>
            </w:pPr>
            <w:r>
              <w:rPr>
                <w:color w:val="1A1A1A"/>
                <w:sz w:val="16"/>
              </w:rPr>
              <w:t>FRTB_Sec_Config.xlsx</w:t>
            </w:r>
          </w:p>
        </w:tc>
        <w:tc>
          <w:tcPr>
            <w:tcW w:w="3600" w:type="dxa"/>
            <w:shd w:val="clear" w:color="auto" w:fill="F2F2F2"/>
          </w:tcPr>
          <w:p w14:paraId="09FA4F65" w14:textId="77777777" w:rsidR="005E08C3" w:rsidRDefault="00000000">
            <w:pPr>
              <w:spacing w:before="40" w:after="40"/>
            </w:pPr>
            <w:r>
              <w:rPr>
                <w:color w:val="1A1A1A"/>
                <w:sz w:val="16"/>
              </w:rPr>
              <w:t>Securitisation configuration workbook (SEC_Constants, SEC-ERBA tables, Deal_Master).</w:t>
            </w:r>
          </w:p>
        </w:tc>
        <w:tc>
          <w:tcPr>
            <w:tcW w:w="3528" w:type="dxa"/>
            <w:shd w:val="clear" w:color="auto" w:fill="F2F2F2"/>
          </w:tcPr>
          <w:p w14:paraId="62C4924E" w14:textId="77777777" w:rsidR="005E08C3" w:rsidRDefault="00000000">
            <w:pPr>
              <w:spacing w:before="40" w:after="40"/>
            </w:pPr>
            <w:r>
              <w:rPr>
                <w:color w:val="1A1A1A"/>
                <w:sz w:val="16"/>
              </w:rPr>
              <w:t>rw_factor_to_capital = 0.08 (the 8% factor); the SEC-ERBA risk-weight table; the deal data behind IDs 37/50/71/75.</w:t>
            </w:r>
          </w:p>
        </w:tc>
      </w:tr>
      <w:tr w:rsidR="005E08C3" w14:paraId="49006879" w14:textId="77777777">
        <w:trPr>
          <w:jc w:val="center"/>
        </w:trPr>
        <w:tc>
          <w:tcPr>
            <w:tcW w:w="2160" w:type="dxa"/>
            <w:shd w:val="clear" w:color="auto" w:fill="FFFFFF"/>
          </w:tcPr>
          <w:p w14:paraId="370C754C" w14:textId="77777777" w:rsidR="005E08C3" w:rsidRDefault="00000000">
            <w:pPr>
              <w:spacing w:before="40" w:after="40"/>
            </w:pPr>
            <w:r>
              <w:rPr>
                <w:color w:val="1A1A1A"/>
                <w:sz w:val="16"/>
              </w:rPr>
              <w:t>drc_securitisation engine</w:t>
            </w:r>
          </w:p>
        </w:tc>
        <w:tc>
          <w:tcPr>
            <w:tcW w:w="3600" w:type="dxa"/>
            <w:shd w:val="clear" w:color="auto" w:fill="FFFFFF"/>
          </w:tcPr>
          <w:p w14:paraId="73FCBA2D" w14:textId="77777777" w:rsidR="005E08C3" w:rsidRDefault="00000000">
            <w:pPr>
              <w:spacing w:before="40" w:after="40"/>
            </w:pPr>
            <w:r>
              <w:rPr>
                <w:color w:val="1A1A1A"/>
                <w:sz w:val="16"/>
              </w:rPr>
              <w:t>FRTB DRC securitisation pipeline (sec_loader, sec_erba/irba/sa, sec_engine step_10_bucket_hbr).</w:t>
            </w:r>
          </w:p>
        </w:tc>
        <w:tc>
          <w:tcPr>
            <w:tcW w:w="3528" w:type="dxa"/>
            <w:shd w:val="clear" w:color="auto" w:fill="FFFFFF"/>
          </w:tcPr>
          <w:p w14:paraId="417F3AD2" w14:textId="4E83246A" w:rsidR="005E08C3" w:rsidRDefault="00000000">
            <w:pPr>
              <w:spacing w:before="40" w:after="40"/>
            </w:pPr>
            <w:r>
              <w:rPr>
                <w:color w:val="1A1A1A"/>
                <w:sz w:val="16"/>
              </w:rPr>
              <w:t xml:space="preserve">The capital = RW x 8% x net JTD computation; the </w:t>
            </w:r>
            <w:r w:rsidR="00D26544">
              <w:rPr>
                <w:color w:val="1A1A1A"/>
                <w:sz w:val="16"/>
              </w:rPr>
              <w:t>portfolio</w:t>
            </w:r>
            <w:r>
              <w:rPr>
                <w:color w:val="1A1A1A"/>
                <w:sz w:val="16"/>
              </w:rPr>
              <w:t xml:space="preserve"> totals ($27.4m correct; $342.4m if the 8% is dropped).</w:t>
            </w:r>
          </w:p>
        </w:tc>
      </w:tr>
      <w:tr w:rsidR="005E08C3" w14:paraId="0F00200B" w14:textId="77777777">
        <w:trPr>
          <w:jc w:val="center"/>
        </w:trPr>
        <w:tc>
          <w:tcPr>
            <w:tcW w:w="2160" w:type="dxa"/>
            <w:shd w:val="clear" w:color="auto" w:fill="F2F2F2"/>
          </w:tcPr>
          <w:p w14:paraId="2FB4D029" w14:textId="1818D8E4" w:rsidR="005E08C3" w:rsidRDefault="00000000">
            <w:pPr>
              <w:spacing w:before="40" w:after="40"/>
            </w:pPr>
            <w:r>
              <w:rPr>
                <w:color w:val="1A1A1A"/>
                <w:sz w:val="16"/>
              </w:rPr>
              <w:t>reference portfolio</w:t>
            </w:r>
          </w:p>
        </w:tc>
        <w:tc>
          <w:tcPr>
            <w:tcW w:w="3600" w:type="dxa"/>
            <w:shd w:val="clear" w:color="auto" w:fill="F2F2F2"/>
          </w:tcPr>
          <w:p w14:paraId="46A28571" w14:textId="77777777" w:rsidR="005E08C3" w:rsidRDefault="00000000">
            <w:pPr>
              <w:spacing w:before="40" w:after="40"/>
            </w:pPr>
            <w:r>
              <w:rPr>
                <w:color w:val="1A1A1A"/>
                <w:sz w:val="16"/>
              </w:rPr>
              <w:t>FRTB_Combined_Portfolio_v5.xlsx — Combined Holdings.</w:t>
            </w:r>
          </w:p>
        </w:tc>
        <w:tc>
          <w:tcPr>
            <w:tcW w:w="3528" w:type="dxa"/>
            <w:shd w:val="clear" w:color="auto" w:fill="F2F2F2"/>
          </w:tcPr>
          <w:p w14:paraId="63E62401" w14:textId="77777777" w:rsidR="005E08C3" w:rsidRDefault="00000000">
            <w:pPr>
              <w:spacing w:before="40" w:after="40"/>
            </w:pPr>
            <w:r>
              <w:rPr>
                <w:color w:val="1A1A1A"/>
                <w:sz w:val="16"/>
              </w:rPr>
              <w:t>The four worked positions (IDs 37, 50, 71, 75) and their model-priced market values.</w:t>
            </w:r>
          </w:p>
        </w:tc>
      </w:tr>
    </w:tbl>
    <w:p w14:paraId="12DA0C22" w14:textId="77777777" w:rsidR="00AB1AED" w:rsidRDefault="00AB1AED"/>
    <w:sectPr w:rsidR="00AB1AED" w:rsidSect="00034616">
      <w:footerReference w:type="default" r:id="rId12"/>
      <w:pgSz w:w="12240" w:h="15840"/>
      <w:pgMar w:top="1296" w:right="1440" w:bottom="1296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A3AC1E" w14:textId="77777777" w:rsidR="00AE723D" w:rsidRDefault="00AE723D">
      <w:pPr>
        <w:spacing w:after="0" w:line="240" w:lineRule="auto"/>
      </w:pPr>
      <w:r>
        <w:separator/>
      </w:r>
    </w:p>
  </w:endnote>
  <w:endnote w:type="continuationSeparator" w:id="0">
    <w:p w14:paraId="24C49429" w14:textId="77777777" w:rsidR="00AE723D" w:rsidRDefault="00AE72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890D39" w14:textId="131A7084" w:rsidR="005E08C3" w:rsidRDefault="00000000">
    <w:pPr>
      <w:pStyle w:val="Footer"/>
      <w:pBdr>
        <w:top w:val="single" w:sz="4" w:space="4" w:color="CCCCCC"/>
      </w:pBdr>
    </w:pPr>
    <w:r>
      <w:rPr>
        <w:color w:val="555555"/>
        <w:sz w:val="15"/>
      </w:rPr>
      <w:t xml:space="preserve">Market Risk · FRTB </w:t>
    </w:r>
    <w:proofErr w:type="spellStart"/>
    <w:r>
      <w:rPr>
        <w:color w:val="555555"/>
        <w:sz w:val="15"/>
      </w:rPr>
      <w:t>Programme</w:t>
    </w:r>
    <w:proofErr w:type="spellEnd"/>
    <w:r>
      <w:rPr>
        <w:color w:val="555555"/>
        <w:sz w:val="15"/>
      </w:rPr>
      <w:t xml:space="preserve">   |   The 8% Factor in DRC   |   </w:t>
    </w:r>
    <w:r w:rsidR="00D776AE">
      <w:rPr>
        <w:color w:val="555555"/>
        <w:sz w:val="15"/>
      </w:rPr>
      <w:t xml:space="preserve">                       </w:t>
    </w:r>
    <w:r>
      <w:rPr>
        <w:color w:val="555555"/>
        <w:sz w:val="15"/>
      </w:rPr>
      <w:tab/>
    </w:r>
    <w:r>
      <w:rPr>
        <w:color w:val="555555"/>
        <w:sz w:val="16"/>
      </w:rPr>
      <w:t xml:space="preserve">Page </w:t>
    </w:r>
    <w:r>
      <w:rPr>
        <w:color w:val="555555"/>
        <w:sz w:val="16"/>
      </w:rPr>
      <w:fldChar w:fldCharType="begin"/>
    </w:r>
    <w:r>
      <w:rPr>
        <w:color w:val="555555"/>
        <w:sz w:val="16"/>
      </w:rPr>
      <w:instrText>PAGE</w:instrText>
    </w:r>
    <w:r>
      <w:rPr>
        <w:color w:val="555555"/>
        <w:sz w:val="16"/>
      </w:rPr>
      <w:fldChar w:fldCharType="separate"/>
    </w:r>
    <w:r w:rsidR="00D776AE">
      <w:rPr>
        <w:noProof/>
        <w:color w:val="555555"/>
        <w:sz w:val="16"/>
      </w:rPr>
      <w:t>1</w:t>
    </w:r>
    <w:r>
      <w:rPr>
        <w:color w:val="555555"/>
        <w:sz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2D720E" w14:textId="77777777" w:rsidR="00AE723D" w:rsidRDefault="00AE723D">
      <w:pPr>
        <w:spacing w:after="0" w:line="240" w:lineRule="auto"/>
      </w:pPr>
      <w:r>
        <w:separator/>
      </w:r>
    </w:p>
  </w:footnote>
  <w:footnote w:type="continuationSeparator" w:id="0">
    <w:p w14:paraId="10EFC6F2" w14:textId="77777777" w:rsidR="00AE723D" w:rsidRDefault="00AE723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21558892">
    <w:abstractNumId w:val="8"/>
  </w:num>
  <w:num w:numId="2" w16cid:durableId="532959460">
    <w:abstractNumId w:val="6"/>
  </w:num>
  <w:num w:numId="3" w16cid:durableId="1181699910">
    <w:abstractNumId w:val="5"/>
  </w:num>
  <w:num w:numId="4" w16cid:durableId="1697274113">
    <w:abstractNumId w:val="4"/>
  </w:num>
  <w:num w:numId="5" w16cid:durableId="1960525805">
    <w:abstractNumId w:val="7"/>
  </w:num>
  <w:num w:numId="6" w16cid:durableId="945621828">
    <w:abstractNumId w:val="3"/>
  </w:num>
  <w:num w:numId="7" w16cid:durableId="1834025655">
    <w:abstractNumId w:val="2"/>
  </w:num>
  <w:num w:numId="8" w16cid:durableId="1393694445">
    <w:abstractNumId w:val="1"/>
  </w:num>
  <w:num w:numId="9" w16cid:durableId="10768275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E08C3"/>
    <w:rsid w:val="00AA1D8D"/>
    <w:rsid w:val="00AB1AED"/>
    <w:rsid w:val="00AE723D"/>
    <w:rsid w:val="00B47730"/>
    <w:rsid w:val="00CB0664"/>
    <w:rsid w:val="00D014B0"/>
    <w:rsid w:val="00D26544"/>
    <w:rsid w:val="00D776AE"/>
    <w:rsid w:val="00E0337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6F8633E"/>
  <w14:defaultImageDpi w14:val="300"/>
  <w15:docId w15:val="{C6678E0F-92CB-4F3E-A191-93A97B0347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2315</Words>
  <Characters>13197</Characters>
  <Application>Microsoft Office Word</Application>
  <DocSecurity>0</DocSecurity>
  <Lines>109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15482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Weight or Loss Rate? The 8% That Prevents a 12.5x Capital Error</dc:title>
  <dc:subject>FRTB Default Risk Charge — the 8% factor in sec vs non-sec</dc:subject>
  <dc:creator>Market Risk — FRTB Programme</dc:creator>
  <cp:keywords/>
  <dc:description>generated by python-docx</dc:description>
  <cp:lastModifiedBy>Office</cp:lastModifiedBy>
  <cp:revision>4</cp:revision>
  <dcterms:created xsi:type="dcterms:W3CDTF">2013-12-23T23:15:00Z</dcterms:created>
  <dcterms:modified xsi:type="dcterms:W3CDTF">2026-06-04T19:50:00Z</dcterms:modified>
  <cp:category/>
</cp:coreProperties>
</file>