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787C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30pt;margin-top:19.8pt;width:104.4pt;height:22.8pt;z-index:251668480" fillcolor="#8db3e2 [1311]">
            <v:textbox style="mso-next-textbox:#_x0000_s1038">
              <w:txbxContent>
                <w:p w:rsidR="00B90B09" w:rsidRDefault="00787CF7" w:rsidP="00B90B09">
                  <w:r>
                    <w:t>Upload Prescription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39" type="#_x0000_t202" style="position:absolute;margin-left:445.2pt;margin-top:19.8pt;width:79.8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787CF7" w:rsidP="00D21DA6">
                  <w:r>
                    <w:t>DOCTOR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 w:rsidR="00FB5ACE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 w:rsidR="00FB5ACE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 w:rsidR="00FB5ACE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 w:rsidR="00FB5ACE"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 w:rsidR="00FB5ACE"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 w:rsidR="00FB5ACE"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 w:rsidR="00FB5ACE"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787CF7" w:rsidP="000E0598">
                  <w:r>
                    <w:t>Modify prescription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proofErr w:type="gramEnd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787CF7" w:rsidP="00BB6F10">
                  <w:r>
                    <w:t>Consultation</w:t>
                  </w:r>
                  <w:r w:rsidR="00DA1C69">
                    <w:t xml:space="preserve"> request status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all </w:t>
                  </w:r>
                  <w:r w:rsidR="00787CF7">
                    <w:rPr>
                      <w:b/>
                      <w:color w:val="4F81BD" w:themeColor="accent1"/>
                      <w:sz w:val="18"/>
                      <w:szCs w:val="18"/>
                    </w:rPr>
                    <w:t>consultation</w:t>
                  </w:r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request status</w:t>
                  </w: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 w:rsidR="00FB5ACE"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787CF7" w:rsidP="000E0598">
                  <w:r>
                    <w:t>Test consultation</w:t>
                  </w:r>
                  <w:r w:rsidR="00DA1C69">
                    <w:t xml:space="preserve"> queue</w:t>
                  </w:r>
                </w:p>
                <w:p w:rsidR="00020A51" w:rsidRPr="00020A51" w:rsidRDefault="00787CF7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See new and pending consultation</w:t>
                  </w:r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r w:rsidR="00C059FA">
                    <w:rPr>
                      <w:b/>
                      <w:color w:val="4F81BD" w:themeColor="accent1"/>
                      <w:sz w:val="18"/>
                      <w:szCs w:val="18"/>
                    </w:rPr>
                    <w:t>request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FB5ACE"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 w:rsidR="00FB5AC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 w:rsidR="00FB5ACE"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 w:rsidR="00FB5ACE"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 w:rsidR="00FB5ACE">
        <w:rPr>
          <w:noProof/>
        </w:rPr>
        <w:pict>
          <v:rect id="_x0000_s1026" style="position:absolute;margin-left:-57pt;margin-top:4.2pt;width:588pt;height:352.8pt;z-index:251658240"/>
        </w:pict>
      </w:r>
      <w:r w:rsidR="00FB5ACE"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E059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787CF7"/>
    <w:rsid w:val="00923C52"/>
    <w:rsid w:val="009C15C9"/>
    <w:rsid w:val="00A019D0"/>
    <w:rsid w:val="00A26E95"/>
    <w:rsid w:val="00B90B09"/>
    <w:rsid w:val="00BA286F"/>
    <w:rsid w:val="00BB6F10"/>
    <w:rsid w:val="00BE59B9"/>
    <w:rsid w:val="00C059FA"/>
    <w:rsid w:val="00CC268E"/>
    <w:rsid w:val="00D21DA6"/>
    <w:rsid w:val="00D86F83"/>
    <w:rsid w:val="00DA1C69"/>
    <w:rsid w:val="00EB3204"/>
    <w:rsid w:val="00FB5ACE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11]"/>
    </o:shapedefaults>
    <o:shapelayout v:ext="edit">
      <o:idmap v:ext="edit" data="1"/>
      <o:rules v:ext="edit">
        <o:r id="V:Rule5" type="connector" idref="#_x0000_s1031"/>
        <o:r id="V:Rule6" type="connector" idref="#_x0000_s1034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2021-09-28T18:23:00Z</dcterms:created>
  <dcterms:modified xsi:type="dcterms:W3CDTF">2021-09-28T20:12:00Z</dcterms:modified>
</cp:coreProperties>
</file>