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9C9C" w14:textId="77777777" w:rsidR="00D9532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AMIT MANKAR</w:t>
      </w:r>
    </w:p>
    <w:p w14:paraId="1EB2EB75" w14:textId="77777777" w:rsidR="00D95324" w:rsidRDefault="00000000">
      <w:pPr>
        <w:pBdr>
          <w:bottom w:val="single" w:sz="6" w:space="8" w:color="1F3864"/>
        </w:pBdr>
        <w:spacing w:after="200"/>
        <w:jc w:val="center"/>
      </w:pPr>
      <w:r>
        <w:rPr>
          <w:rFonts w:ascii="Calibri" w:eastAsia="Calibri" w:hAnsi="Calibri" w:cs="Calibri"/>
          <w:color w:val="404040"/>
          <w:sz w:val="19"/>
          <w:szCs w:val="19"/>
        </w:rPr>
        <w:t xml:space="preserve">Pune, </w:t>
      </w:r>
      <w:proofErr w:type="gramStart"/>
      <w:r>
        <w:rPr>
          <w:rFonts w:ascii="Calibri" w:eastAsia="Calibri" w:hAnsi="Calibri" w:cs="Calibri"/>
          <w:color w:val="404040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404040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404040"/>
          <w:sz w:val="19"/>
          <w:szCs w:val="19"/>
        </w:rPr>
        <w:t>9922080307  |</w:t>
      </w:r>
      <w:proofErr w:type="gramEnd"/>
      <w:r>
        <w:rPr>
          <w:rFonts w:ascii="Calibri" w:eastAsia="Calibri" w:hAnsi="Calibri" w:cs="Calibri"/>
          <w:color w:val="404040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404040"/>
          <w:sz w:val="19"/>
          <w:szCs w:val="19"/>
        </w:rPr>
        <w:t>avmankar001@gmail.com  |</w:t>
      </w:r>
      <w:proofErr w:type="gramEnd"/>
      <w:r>
        <w:rPr>
          <w:rFonts w:ascii="Calibri" w:eastAsia="Calibri" w:hAnsi="Calibri" w:cs="Calibri"/>
          <w:color w:val="404040"/>
          <w:sz w:val="19"/>
          <w:szCs w:val="19"/>
        </w:rPr>
        <w:t xml:space="preserve">  linkedin.com/in/amit-mankar5</w:t>
      </w:r>
    </w:p>
    <w:p w14:paraId="50FFB8BA" w14:textId="77777777" w:rsidR="00D95324" w:rsidRDefault="00000000">
      <w:pPr>
        <w:pBdr>
          <w:bottom w:val="single" w:sz="4" w:space="2" w:color="1F3864"/>
        </w:pBdr>
        <w:spacing w:before="110" w:after="6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EE581F4" w14:textId="72653422" w:rsidR="00101890" w:rsidRDefault="00101890">
      <w:pPr>
        <w:pBdr>
          <w:bottom w:val="single" w:sz="4" w:space="2" w:color="1F3864"/>
        </w:pBdr>
        <w:spacing w:before="110" w:after="60"/>
      </w:pPr>
      <w:r w:rsidRPr="00101890">
        <w:t>Banking and Cash Management Services (CMS) specialist with 2 years of core banking operations experience, specializing in corporate collections, digital clearing rails (RTGS/NEFT/IMPS), and Host-to-Host (H2H)/API banking integrations. Proven track record in transaction reconciliation, mandate management, and designing double-entry virtual account infrastructure that captures corporate CASA float while ensuring compliance with RBI nodal escrow and statutory tax directives.</w:t>
      </w:r>
    </w:p>
    <w:p w14:paraId="2F67C18B" w14:textId="3E32FE10" w:rsidR="00D95324" w:rsidRDefault="00000000">
      <w:pPr>
        <w:pBdr>
          <w:bottom w:val="single" w:sz="4" w:space="2" w:color="1F3864"/>
        </w:pBdr>
        <w:spacing w:before="11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 w14:paraId="3A78BB27" w14:textId="4B61A02E" w:rsidR="00D95324" w:rsidRPr="00CD31A3" w:rsidRDefault="00CD31A3">
      <w:pPr>
        <w:spacing w:after="50"/>
      </w:pPr>
      <w:r w:rsidRPr="00CD31A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Product &amp; Domain: </w:t>
      </w:r>
      <w:r w:rsidRPr="00CD31A3">
        <w:rPr>
          <w:rFonts w:ascii="Calibri" w:eastAsia="Calibri" w:hAnsi="Calibri" w:cs="Calibri"/>
          <w:color w:val="000000"/>
          <w:sz w:val="19"/>
          <w:szCs w:val="19"/>
        </w:rPr>
        <w:t>Payments Infrastructure, Cash Management Services (CMS), Nodal &amp; Escrow Structuring, Virtual Accounts, Double-Entry Bookkeeping, RBI PA/PG Directives, Account Aggregator (AA) Rails.</w:t>
      </w:r>
    </w:p>
    <w:p w14:paraId="44B08FD9" w14:textId="77777777" w:rsidR="00D95324" w:rsidRDefault="00000000">
      <w:pPr>
        <w:spacing w:after="5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Client Engagement &amp; Relationship Management: </w:t>
      </w:r>
      <w:r>
        <w:rPr>
          <w:rFonts w:ascii="Calibri" w:eastAsia="Calibri" w:hAnsi="Calibri" w:cs="Calibri"/>
          <w:color w:val="404040"/>
          <w:sz w:val="19"/>
          <w:szCs w:val="19"/>
        </w:rPr>
        <w:t>Client Onboarding &amp; Activation, Cross-Selling, Product Adoption Workshops, Stakeholder Collaboration (Ops/IT/Legal/Compliance/Sales), Transactional Query Resolution</w:t>
      </w:r>
    </w:p>
    <w:p w14:paraId="448B5904" w14:textId="77777777" w:rsidR="00D95324" w:rsidRDefault="00000000">
      <w:pPr>
        <w:spacing w:after="5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Digital Payments &amp; Product Strategy: </w:t>
      </w:r>
      <w:r>
        <w:rPr>
          <w:rFonts w:ascii="Calibri" w:eastAsia="Calibri" w:hAnsi="Calibri" w:cs="Calibri"/>
          <w:color w:val="404040"/>
          <w:sz w:val="19"/>
          <w:szCs w:val="19"/>
        </w:rPr>
        <w:t>UPI (Static/Dynamic QR, VPAs, Autopay), BBPS (AI &amp; BOU), PSP/TSP/Switch Frameworks, NPCI Protocols, API Banking, ERP Integration (SAP, Tally)</w:t>
      </w:r>
    </w:p>
    <w:p w14:paraId="30E2B87C" w14:textId="77777777" w:rsidR="00D95324" w:rsidRDefault="00000000">
      <w:pPr>
        <w:spacing w:after="5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Compliance, Market Intelligence &amp; Tools: </w:t>
      </w:r>
      <w:r>
        <w:rPr>
          <w:rFonts w:ascii="Calibri" w:eastAsia="Calibri" w:hAnsi="Calibri" w:cs="Calibri"/>
          <w:color w:val="404040"/>
          <w:sz w:val="19"/>
          <w:szCs w:val="19"/>
        </w:rPr>
        <w:t>RBI Master Directions, Regulatory &amp; Audit Compliance, Competitor Benchmarking, Power BI, Excel, Notion, Figma</w:t>
      </w:r>
    </w:p>
    <w:p w14:paraId="04CC3236" w14:textId="6F547098" w:rsidR="00D95324" w:rsidRDefault="00101890">
      <w:pPr>
        <w:pBdr>
          <w:bottom w:val="single" w:sz="4" w:space="2" w:color="1F3864"/>
        </w:pBdr>
        <w:spacing w:before="110" w:after="60"/>
      </w:pPr>
      <w:r w:rsidRPr="00101890">
        <w:rPr>
          <w:rFonts w:ascii="Calibri" w:eastAsia="Calibri" w:hAnsi="Calibri" w:cs="Calibri"/>
          <w:b/>
          <w:bCs/>
          <w:color w:val="1F3864"/>
          <w:sz w:val="22"/>
          <w:szCs w:val="22"/>
        </w:rPr>
        <w:t>TRANSACTION BANKING PROTOTYPES &amp; PROJECTS</w:t>
      </w:r>
    </w:p>
    <w:p w14:paraId="626FFD4D" w14:textId="77777777" w:rsidR="00101890" w:rsidRDefault="00101890" w:rsidP="00CD31A3">
      <w:pPr>
        <w:tabs>
          <w:tab w:val="right" w:pos="9026"/>
        </w:tabs>
        <w:spacing w:before="100" w:after="1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proofErr w:type="spellStart"/>
      <w:r w:rsidRPr="00101890">
        <w:rPr>
          <w:rFonts w:ascii="Calibri" w:eastAsia="Calibri" w:hAnsi="Calibri" w:cs="Calibri"/>
          <w:b/>
          <w:bCs/>
          <w:color w:val="000000"/>
          <w:sz w:val="21"/>
          <w:szCs w:val="21"/>
        </w:rPr>
        <w:t>BharatRails</w:t>
      </w:r>
      <w:proofErr w:type="spellEnd"/>
      <w:r w:rsidRPr="0010189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– Enterprise DPI &amp; Wholesale CMS Control Plane | </w:t>
      </w:r>
      <w:r w:rsidRPr="00101890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Live on Render</w:t>
      </w:r>
    </w:p>
    <w:p w14:paraId="73B422E2" w14:textId="024D16CA" w:rsidR="00CD31A3" w:rsidRDefault="00CD31A3" w:rsidP="00CD31A3">
      <w:pPr>
        <w:tabs>
          <w:tab w:val="right" w:pos="9026"/>
        </w:tabs>
        <w:spacing w:before="100" w:after="10"/>
      </w:pPr>
      <w:r w:rsidRPr="00CD31A3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Link: </w:t>
      </w:r>
      <w:hyperlink r:id="rId6" w:tgtFrame="_blank" w:history="1">
        <w:r w:rsidRPr="00CD31A3">
          <w:rPr>
            <w:rStyle w:val="Hyperlink"/>
            <w:rFonts w:ascii="Calibri" w:eastAsia="Calibri" w:hAnsi="Calibri" w:cs="Calibri"/>
            <w:b/>
            <w:bCs/>
            <w:i/>
            <w:iCs/>
            <w:sz w:val="21"/>
            <w:szCs w:val="21"/>
          </w:rPr>
          <w:t>https://institutional-fintech-suite.onrender.com</w:t>
        </w:r>
      </w:hyperlink>
    </w:p>
    <w:p w14:paraId="761E9F50" w14:textId="77777777" w:rsidR="00101890" w:rsidRPr="00101890" w:rsidRDefault="00101890" w:rsidP="00101890">
      <w:pPr>
        <w:numPr>
          <w:ilvl w:val="0"/>
          <w:numId w:val="4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b/>
          <w:bCs/>
          <w:color w:val="000000"/>
          <w:sz w:val="19"/>
          <w:szCs w:val="19"/>
        </w:rPr>
        <w:t>API &amp; H2H ERP Ingress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>: Engineered an automated transaction switch handling M2M webhook payloads from enterprise ERPs (Frappe/</w:t>
      </w:r>
      <w:proofErr w:type="spellStart"/>
      <w:r w:rsidRPr="00101890">
        <w:rPr>
          <w:rFonts w:ascii="Calibri" w:eastAsia="Calibri" w:hAnsi="Calibri" w:cs="Calibri"/>
          <w:color w:val="000000"/>
          <w:sz w:val="19"/>
          <w:szCs w:val="19"/>
        </w:rPr>
        <w:t>ERPNext</w:t>
      </w:r>
      <w:proofErr w:type="spellEnd"/>
      <w:r w:rsidRPr="00101890">
        <w:rPr>
          <w:rFonts w:ascii="Calibri" w:eastAsia="Calibri" w:hAnsi="Calibri" w:cs="Calibri"/>
          <w:color w:val="000000"/>
          <w:sz w:val="19"/>
          <w:szCs w:val="19"/>
        </w:rPr>
        <w:t>) into bank virtual account collection ledgers, enabling real-time straight-through reconciliation.</w:t>
      </w:r>
    </w:p>
    <w:p w14:paraId="0FD2BD45" w14:textId="77777777" w:rsidR="00101890" w:rsidRPr="00101890" w:rsidRDefault="00101890" w:rsidP="00101890">
      <w:pPr>
        <w:numPr>
          <w:ilvl w:val="0"/>
          <w:numId w:val="4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b/>
          <w:bCs/>
          <w:color w:val="000000"/>
          <w:sz w:val="19"/>
          <w:szCs w:val="19"/>
        </w:rPr>
        <w:t>Statutory Tax &amp; Escrow Isolation: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 xml:space="preserve"> Implemented an atomic double-entry ledger engine to eliminate corporate co-mingling risks by automatically sequestering 18% GST liabilities (ACC-GST-ESCROW) from commercial vendor payouts (ACC-SUPPLIER-PAYABLE) under RBI PA/PG norms.</w:t>
      </w:r>
    </w:p>
    <w:p w14:paraId="22B3C7A0" w14:textId="027451CD" w:rsidR="00101890" w:rsidRPr="00101890" w:rsidRDefault="00101890" w:rsidP="00101890">
      <w:pPr>
        <w:numPr>
          <w:ilvl w:val="0"/>
          <w:numId w:val="4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b/>
          <w:bCs/>
          <w:color w:val="000000"/>
          <w:sz w:val="19"/>
          <w:szCs w:val="19"/>
        </w:rPr>
        <w:t>CASA Float &amp; Liquidity Architecture: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 xml:space="preserve"> Designed institutional product specifications 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>modelling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 xml:space="preserve"> corporate Current Account Daily Average Balance (DAB) growth, treasury float capture on sequestered tax balances, and basis-point transaction revenue.</w:t>
      </w:r>
    </w:p>
    <w:p w14:paraId="65FE0A82" w14:textId="77777777" w:rsidR="00101890" w:rsidRPr="00101890" w:rsidRDefault="00101890" w:rsidP="00101890">
      <w:pPr>
        <w:numPr>
          <w:ilvl w:val="0"/>
          <w:numId w:val="4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b/>
          <w:bCs/>
          <w:color w:val="000000"/>
          <w:sz w:val="19"/>
          <w:szCs w:val="19"/>
        </w:rPr>
        <w:t>Account Aggregator &amp; Credit Rails:</w:t>
      </w:r>
      <w:r w:rsidRPr="00101890">
        <w:rPr>
          <w:rFonts w:ascii="Calibri" w:eastAsia="Calibri" w:hAnsi="Calibri" w:cs="Calibri"/>
          <w:color w:val="000000"/>
          <w:sz w:val="19"/>
          <w:szCs w:val="19"/>
        </w:rPr>
        <w:t xml:space="preserve"> Integrated Setu Account Aggregator consent flows to evaluate 180-day corporate cash flows for dynamic working capital credit line underwriting.</w:t>
      </w:r>
    </w:p>
    <w:p w14:paraId="5DE5FEB5" w14:textId="77777777" w:rsidR="00101890" w:rsidRPr="00101890" w:rsidRDefault="00101890" w:rsidP="00101890">
      <w:pPr>
        <w:tabs>
          <w:tab w:val="right" w:pos="9026"/>
        </w:tabs>
        <w:spacing w:before="100" w:after="10"/>
        <w:rPr>
          <w:rFonts w:ascii="Calibri" w:eastAsia="Calibri" w:hAnsi="Calibri" w:cs="Calibri"/>
          <w:b/>
          <w:bCs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b/>
          <w:bCs/>
          <w:color w:val="000000"/>
          <w:sz w:val="19"/>
          <w:szCs w:val="19"/>
        </w:rPr>
        <w:t>B2B Virtual Account Clearing &amp; Settlement Simulator</w:t>
      </w:r>
    </w:p>
    <w:p w14:paraId="5B694BA8" w14:textId="77777777" w:rsidR="00101890" w:rsidRPr="00101890" w:rsidRDefault="00101890" w:rsidP="00101890">
      <w:pPr>
        <w:numPr>
          <w:ilvl w:val="0"/>
          <w:numId w:val="5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color w:val="000000"/>
          <w:sz w:val="19"/>
          <w:szCs w:val="19"/>
        </w:rPr>
        <w:t>Built a stateful double-entry ledger engine utilizing Python and SQL to simulate institutional clearing cycles, automated chargebacks, and multi-party payout splits.</w:t>
      </w:r>
    </w:p>
    <w:p w14:paraId="75CF2737" w14:textId="39F3DE30" w:rsidR="00101890" w:rsidRPr="00101890" w:rsidRDefault="00101890" w:rsidP="00CD31A3">
      <w:pPr>
        <w:numPr>
          <w:ilvl w:val="0"/>
          <w:numId w:val="5"/>
        </w:numPr>
        <w:tabs>
          <w:tab w:val="right" w:pos="9026"/>
        </w:tabs>
        <w:spacing w:before="100" w:after="10"/>
        <w:rPr>
          <w:rFonts w:ascii="Calibri" w:eastAsia="Calibri" w:hAnsi="Calibri" w:cs="Calibri"/>
          <w:color w:val="000000"/>
          <w:sz w:val="19"/>
          <w:szCs w:val="19"/>
        </w:rPr>
      </w:pPr>
      <w:r w:rsidRPr="00101890">
        <w:rPr>
          <w:rFonts w:ascii="Calibri" w:eastAsia="Calibri" w:hAnsi="Calibri" w:cs="Calibri"/>
          <w:color w:val="000000"/>
          <w:sz w:val="19"/>
          <w:szCs w:val="19"/>
        </w:rPr>
        <w:t>Automated exception-handling routines for failed batch settlements, reducing simulated transaction discrepancy rates to zero.</w:t>
      </w:r>
    </w:p>
    <w:p w14:paraId="4DC4C4CE" w14:textId="2AEFDE83" w:rsidR="00101890" w:rsidRPr="00101890" w:rsidRDefault="00101890" w:rsidP="00101890">
      <w:pPr>
        <w:pBdr>
          <w:bottom w:val="single" w:sz="4" w:space="2" w:color="1F3864"/>
        </w:pBdr>
        <w:spacing w:before="110" w:after="60"/>
      </w:pPr>
      <w:r w:rsidRPr="00101890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2C1620FD" w14:textId="63965C02" w:rsidR="00D95324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Associate Partner </w:t>
      </w: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ab/>
        <w:t>Sep 2024 – Jan 2025</w:t>
      </w:r>
    </w:p>
    <w:p w14:paraId="67FC464D" w14:textId="77777777" w:rsidR="00D95324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Aditya Birla Sun Life Insurance, Nagpur</w:t>
      </w:r>
    </w:p>
    <w:p w14:paraId="2C2F7547" w14:textId="5F40C38C" w:rsidR="00101890" w:rsidRPr="00101890" w:rsidRDefault="00101890" w:rsidP="00101890">
      <w:pPr>
        <w:pBdr>
          <w:bottom w:val="single" w:sz="4" w:space="2" w:color="1F3864"/>
        </w:pBdr>
        <w:spacing w:before="110" w:after="60"/>
        <w:rPr>
          <w:rFonts w:ascii="Calibri" w:eastAsia="Calibri" w:hAnsi="Calibri" w:cs="Calibri"/>
          <w:color w:val="404040"/>
          <w:sz w:val="19"/>
          <w:szCs w:val="19"/>
        </w:rPr>
      </w:pPr>
      <w:r w:rsidRPr="00101890">
        <w:rPr>
          <w:rFonts w:ascii="Calibri" w:eastAsia="Calibri" w:hAnsi="Calibri" w:cs="Calibri"/>
          <w:color w:val="404040"/>
          <w:sz w:val="19"/>
          <w:szCs w:val="19"/>
        </w:rPr>
        <w:t>Managed end-to-end clearing and settlement workflows across high-value RTGS, NEFT, and IMPS rails, reconciling corporate collections against core banking ledgers.</w:t>
      </w:r>
    </w:p>
    <w:p w14:paraId="733E9146" w14:textId="529AAFBE" w:rsidR="00101890" w:rsidRPr="00101890" w:rsidRDefault="00101890" w:rsidP="00101890">
      <w:pPr>
        <w:pBdr>
          <w:bottom w:val="single" w:sz="4" w:space="2" w:color="1F3864"/>
        </w:pBdr>
        <w:spacing w:before="110" w:after="60"/>
        <w:rPr>
          <w:rFonts w:ascii="Calibri" w:eastAsia="Calibri" w:hAnsi="Calibri" w:cs="Calibri"/>
          <w:color w:val="404040"/>
          <w:sz w:val="19"/>
          <w:szCs w:val="19"/>
        </w:rPr>
      </w:pPr>
      <w:r w:rsidRPr="00101890">
        <w:rPr>
          <w:rFonts w:ascii="Calibri" w:eastAsia="Calibri" w:hAnsi="Calibri" w:cs="Calibri"/>
          <w:color w:val="404040"/>
          <w:sz w:val="19"/>
          <w:szCs w:val="19"/>
        </w:rPr>
        <w:t>Partnered with corporate client integration and IT support desks to resolve Host-to-Host (H2H) SFTP batch processing failures and API transaction mismatches, driving higher Straight-Through Processing (STP) rates.</w:t>
      </w:r>
    </w:p>
    <w:p w14:paraId="48E7575D" w14:textId="1354FCB8" w:rsidR="00101890" w:rsidRPr="00101890" w:rsidRDefault="00101890" w:rsidP="00101890">
      <w:pPr>
        <w:pBdr>
          <w:bottom w:val="single" w:sz="4" w:space="2" w:color="1F3864"/>
        </w:pBdr>
        <w:spacing w:before="110" w:after="60"/>
        <w:rPr>
          <w:rFonts w:ascii="Calibri" w:eastAsia="Calibri" w:hAnsi="Calibri" w:cs="Calibri"/>
          <w:color w:val="404040"/>
          <w:sz w:val="19"/>
          <w:szCs w:val="19"/>
        </w:rPr>
      </w:pPr>
      <w:r w:rsidRPr="00101890">
        <w:rPr>
          <w:rFonts w:ascii="Calibri" w:eastAsia="Calibri" w:hAnsi="Calibri" w:cs="Calibri"/>
          <w:color w:val="404040"/>
          <w:sz w:val="19"/>
          <w:szCs w:val="19"/>
        </w:rPr>
        <w:t>Coordinated mandate management operations, virtual account allocations, and liquidity sweeps to maintain client Daily Average Balance (DAB) requirements.</w:t>
      </w:r>
    </w:p>
    <w:p w14:paraId="63F8590B" w14:textId="77777777" w:rsidR="00101890" w:rsidRDefault="00101890" w:rsidP="00101890">
      <w:pPr>
        <w:pBdr>
          <w:bottom w:val="single" w:sz="4" w:space="2" w:color="1F3864"/>
        </w:pBdr>
        <w:spacing w:before="110" w:after="60"/>
        <w:rPr>
          <w:rFonts w:ascii="Calibri" w:eastAsia="Calibri" w:hAnsi="Calibri" w:cs="Calibri"/>
          <w:color w:val="404040"/>
          <w:sz w:val="19"/>
          <w:szCs w:val="19"/>
        </w:rPr>
      </w:pPr>
      <w:r w:rsidRPr="00101890">
        <w:rPr>
          <w:rFonts w:ascii="Calibri" w:eastAsia="Calibri" w:hAnsi="Calibri" w:cs="Calibri"/>
          <w:color w:val="404040"/>
          <w:sz w:val="19"/>
          <w:szCs w:val="19"/>
        </w:rPr>
        <w:t>Monitored transaction exceptions and discrepancies, maintaining strict alignment with internal audit standards, AML rules, and regulatory statutory payment deadlines.</w:t>
      </w:r>
    </w:p>
    <w:p w14:paraId="1C682298" w14:textId="77777777" w:rsidR="00D95324" w:rsidRDefault="00000000">
      <w:pPr>
        <w:pBdr>
          <w:bottom w:val="single" w:sz="4" w:space="2" w:color="1F3864"/>
        </w:pBdr>
        <w:spacing w:before="11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 &amp; CERTIFICATIONS</w:t>
      </w:r>
    </w:p>
    <w:p w14:paraId="6203D12C" w14:textId="77777777" w:rsidR="00D95324" w:rsidRDefault="00000000">
      <w:pPr>
        <w:spacing w:after="60"/>
      </w:pPr>
      <w:r>
        <w:rPr>
          <w:rFonts w:ascii="Calibri" w:eastAsia="Calibri" w:hAnsi="Calibri" w:cs="Calibri"/>
          <w:color w:val="404040"/>
          <w:sz w:val="19"/>
          <w:szCs w:val="19"/>
        </w:rPr>
        <w:t>MBA in Marketing — University of Mumbai | 2020–2022 | CGPA: 9.37</w:t>
      </w:r>
    </w:p>
    <w:p w14:paraId="477C686A" w14:textId="77777777" w:rsidR="00D95324" w:rsidRDefault="00000000">
      <w:pPr>
        <w:spacing w:after="60"/>
      </w:pPr>
      <w:proofErr w:type="spellStart"/>
      <w:proofErr w:type="gramStart"/>
      <w:r>
        <w:rPr>
          <w:rFonts w:ascii="Calibri" w:eastAsia="Calibri" w:hAnsi="Calibri" w:cs="Calibri"/>
          <w:color w:val="404040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404040"/>
          <w:sz w:val="19"/>
          <w:szCs w:val="19"/>
        </w:rPr>
        <w:t xml:space="preserve"> in Chemical Engineering — Amravati University | 2014–2018 | CGPA: 7.07</w:t>
      </w:r>
    </w:p>
    <w:p w14:paraId="0ABE85C6" w14:textId="77777777" w:rsidR="00D95324" w:rsidRDefault="00000000">
      <w:pPr>
        <w:spacing w:after="60"/>
      </w:pPr>
      <w:r>
        <w:rPr>
          <w:rFonts w:ascii="Calibri" w:eastAsia="Calibri" w:hAnsi="Calibri" w:cs="Calibri"/>
          <w:color w:val="404040"/>
          <w:sz w:val="19"/>
          <w:szCs w:val="19"/>
        </w:rPr>
        <w:t>Certifications: Salesforce Admin (2026), Power BI Advanced Analytics (2022), AWS Cloud &amp; Machine Learning Foundations (2023)</w:t>
      </w:r>
    </w:p>
    <w:sectPr w:rsidR="00D95324">
      <w:pgSz w:w="11906" w:h="16838"/>
      <w:pgMar w:top="504" w:right="1080" w:bottom="50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8AA"/>
    <w:multiLevelType w:val="multilevel"/>
    <w:tmpl w:val="250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7901"/>
    <w:multiLevelType w:val="multilevel"/>
    <w:tmpl w:val="E9A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25928"/>
    <w:multiLevelType w:val="hybridMultilevel"/>
    <w:tmpl w:val="9392C842"/>
    <w:lvl w:ilvl="0" w:tplc="2F486A9C">
      <w:start w:val="1"/>
      <w:numFmt w:val="bullet"/>
      <w:lvlText w:val="●"/>
      <w:lvlJc w:val="left"/>
      <w:pPr>
        <w:ind w:left="720" w:hanging="360"/>
      </w:pPr>
    </w:lvl>
    <w:lvl w:ilvl="1" w:tplc="56EE73CA">
      <w:start w:val="1"/>
      <w:numFmt w:val="bullet"/>
      <w:lvlText w:val="○"/>
      <w:lvlJc w:val="left"/>
      <w:pPr>
        <w:ind w:left="1440" w:hanging="360"/>
      </w:pPr>
    </w:lvl>
    <w:lvl w:ilvl="2" w:tplc="6CD2260A">
      <w:start w:val="1"/>
      <w:numFmt w:val="bullet"/>
      <w:lvlText w:val="■"/>
      <w:lvlJc w:val="left"/>
      <w:pPr>
        <w:ind w:left="2160" w:hanging="360"/>
      </w:pPr>
    </w:lvl>
    <w:lvl w:ilvl="3" w:tplc="BB88DD74">
      <w:start w:val="1"/>
      <w:numFmt w:val="bullet"/>
      <w:lvlText w:val="●"/>
      <w:lvlJc w:val="left"/>
      <w:pPr>
        <w:ind w:left="2880" w:hanging="360"/>
      </w:pPr>
    </w:lvl>
    <w:lvl w:ilvl="4" w:tplc="2BEA25E0">
      <w:start w:val="1"/>
      <w:numFmt w:val="bullet"/>
      <w:lvlText w:val="○"/>
      <w:lvlJc w:val="left"/>
      <w:pPr>
        <w:ind w:left="3600" w:hanging="360"/>
      </w:pPr>
    </w:lvl>
    <w:lvl w:ilvl="5" w:tplc="4AF28BDA">
      <w:start w:val="1"/>
      <w:numFmt w:val="bullet"/>
      <w:lvlText w:val="■"/>
      <w:lvlJc w:val="left"/>
      <w:pPr>
        <w:ind w:left="4320" w:hanging="360"/>
      </w:pPr>
    </w:lvl>
    <w:lvl w:ilvl="6" w:tplc="A60245D8">
      <w:start w:val="1"/>
      <w:numFmt w:val="bullet"/>
      <w:lvlText w:val="●"/>
      <w:lvlJc w:val="left"/>
      <w:pPr>
        <w:ind w:left="5040" w:hanging="360"/>
      </w:pPr>
    </w:lvl>
    <w:lvl w:ilvl="7" w:tplc="BC86147C">
      <w:start w:val="1"/>
      <w:numFmt w:val="bullet"/>
      <w:lvlText w:val="●"/>
      <w:lvlJc w:val="left"/>
      <w:pPr>
        <w:ind w:left="5760" w:hanging="360"/>
      </w:pPr>
    </w:lvl>
    <w:lvl w:ilvl="8" w:tplc="56F0B6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497F93"/>
    <w:multiLevelType w:val="multilevel"/>
    <w:tmpl w:val="EC9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C2DAB"/>
    <w:multiLevelType w:val="hybridMultilevel"/>
    <w:tmpl w:val="5970B9C2"/>
    <w:lvl w:ilvl="0" w:tplc="E07EC082">
      <w:start w:val="1"/>
      <w:numFmt w:val="bullet"/>
      <w:lvlText w:val="•"/>
      <w:lvlJc w:val="left"/>
      <w:pPr>
        <w:ind w:left="360" w:hanging="215"/>
      </w:pPr>
    </w:lvl>
    <w:lvl w:ilvl="1" w:tplc="C020228C">
      <w:numFmt w:val="decimal"/>
      <w:lvlText w:val=""/>
      <w:lvlJc w:val="left"/>
    </w:lvl>
    <w:lvl w:ilvl="2" w:tplc="B4D86E60">
      <w:numFmt w:val="decimal"/>
      <w:lvlText w:val=""/>
      <w:lvlJc w:val="left"/>
    </w:lvl>
    <w:lvl w:ilvl="3" w:tplc="E75661B0">
      <w:numFmt w:val="decimal"/>
      <w:lvlText w:val=""/>
      <w:lvlJc w:val="left"/>
    </w:lvl>
    <w:lvl w:ilvl="4" w:tplc="F9DAB04C">
      <w:numFmt w:val="decimal"/>
      <w:lvlText w:val=""/>
      <w:lvlJc w:val="left"/>
    </w:lvl>
    <w:lvl w:ilvl="5" w:tplc="F0C65B36">
      <w:numFmt w:val="decimal"/>
      <w:lvlText w:val=""/>
      <w:lvlJc w:val="left"/>
    </w:lvl>
    <w:lvl w:ilvl="6" w:tplc="8D8A5628">
      <w:numFmt w:val="decimal"/>
      <w:lvlText w:val=""/>
      <w:lvlJc w:val="left"/>
    </w:lvl>
    <w:lvl w:ilvl="7" w:tplc="C610EA80">
      <w:numFmt w:val="decimal"/>
      <w:lvlText w:val=""/>
      <w:lvlJc w:val="left"/>
    </w:lvl>
    <w:lvl w:ilvl="8" w:tplc="EF9CFD7E">
      <w:numFmt w:val="decimal"/>
      <w:lvlText w:val=""/>
      <w:lvlJc w:val="left"/>
    </w:lvl>
  </w:abstractNum>
  <w:num w:numId="1" w16cid:durableId="891693017">
    <w:abstractNumId w:val="2"/>
    <w:lvlOverride w:ilvl="0">
      <w:startOverride w:val="1"/>
    </w:lvlOverride>
  </w:num>
  <w:num w:numId="2" w16cid:durableId="982659309">
    <w:abstractNumId w:val="4"/>
    <w:lvlOverride w:ilvl="0">
      <w:startOverride w:val="1"/>
    </w:lvlOverride>
  </w:num>
  <w:num w:numId="3" w16cid:durableId="1126850469">
    <w:abstractNumId w:val="0"/>
  </w:num>
  <w:num w:numId="4" w16cid:durableId="1063213081">
    <w:abstractNumId w:val="3"/>
  </w:num>
  <w:num w:numId="5" w16cid:durableId="183070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324"/>
    <w:rsid w:val="00101890"/>
    <w:rsid w:val="00282722"/>
    <w:rsid w:val="00CD31A3"/>
    <w:rsid w:val="00D95324"/>
    <w:rsid w:val="00E9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87DF"/>
  <w15:docId w15:val="{2C9795B8-D84C-45B7-8B1C-DEE8476A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3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institutional-fintech-suite.onrend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F3CCF-1973-4EF2-8933-955A72E5B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Mankar</cp:lastModifiedBy>
  <cp:revision>3</cp:revision>
  <dcterms:created xsi:type="dcterms:W3CDTF">2026-08-04T08:44:00Z</dcterms:created>
  <dcterms:modified xsi:type="dcterms:W3CDTF">2026-09-16T16:12:00Z</dcterms:modified>
</cp:coreProperties>
</file>