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A365D"/>
          <w:sz w:val="48"/>
        </w:rPr>
        <w:t>مشروع التخرج والتوثيق المرجعي الشامل</w:t>
        <w:br/>
        <w:t>تطبيق SpeakFlow</w:t>
      </w:r>
    </w:p>
    <w:p>
      <w:pPr>
        <w:jc w:val="center"/>
      </w:pPr>
      <w:r>
        <w:rPr>
          <w:rFonts w:ascii="Arial" w:hAnsi="Arial"/>
          <w:i/>
          <w:color w:val="4A5568"/>
          <w:sz w:val="28"/>
        </w:rPr>
        <w:t>تطبيق تعليمي ذكي مخصص للناطقين باللغة العربية قائم على المعالجة الصوتية والتكيّف الشخصي المستمر</w:t>
        <w:br/>
        <w:t>(وفق متطلبات الاستمارة الثانية وتقرير مشروع التخرج)</w:t>
      </w:r>
    </w:p>
    <w:p>
      <w:pPr>
        <w:spacing w:after="400"/>
      </w:pPr>
    </w:p>
    <w:tbl>
      <w:tblPr>
        <w:tblW w:type="auto" w:w="0"/>
        <w:jc w:val="center"/>
        <w:tblLook w:firstColumn="1" w:firstRow="1" w:lastColumn="0" w:lastRow="0" w:noHBand="0" w:noVBand="1" w:val="04A0"/>
      </w:tblPr>
      <w:tblGrid>
        <w:gridCol w:w="9360"/>
      </w:tblGrid>
      <w:tr>
        <w:tc>
          <w:tcPr>
            <w:tcW w:type="dxa" w:w="9360"/>
            <w:shd w:fill="F0F4F8"/>
          </w:tcPr>
          <w:p>
            <w:pPr>
              <w:jc w:val="right"/>
            </w:pPr>
            <w:r>
              <w:rPr>
                <w:b/>
                <w:color w:val="1A365D"/>
                <w:sz w:val="24"/>
              </w:rPr>
              <w:t>ملخص وثيقة المشروع:</w:t>
              <w:br/>
            </w:r>
            <w:r>
              <w:rPr>
                <w:sz w:val="21"/>
              </w:rPr>
              <w:t>تم إعداد هذه الوثيقة التفصيلية بناءً على المعايير والمتطلبات المحددة في مرجع مشاريع التخرج (الاستمارة الثانية ودليل التقرير النهائي). تغطي الوثيقة كافة الجوانب التحليلية والتصميمية والتنفيذية والاختبارية لمنظومة SpeakFlow، مع دمج نتائج التقييم العملي على مجموعة معطيات L2-ARCTIC للناطقين بالعربية، وتوثيق دقيق لكافة الميزات والمتطلبات الوظيفية المنفذة، بالإضافة إلى إفراد قسم خاص لبيان الميزات والمتطلبات غير المنفذة في الإصدار الحالي بشفافية هنسية كاملة.</w:t>
            </w:r>
          </w:p>
        </w:tc>
      </w:tr>
    </w:tbl>
    <w:p>
      <w:pPr>
        <w:spacing w:after="400"/>
      </w:pPr>
    </w:p>
    <w:p>
      <w:pPr>
        <w:spacing w:before="320" w:after="160"/>
        <w:jc w:val="right"/>
      </w:pPr>
      <w:r>
        <w:rPr>
          <w:rFonts w:ascii="Arial" w:hAnsi="Arial"/>
          <w:b/>
          <w:color w:val="1A365D"/>
          <w:sz w:val="36"/>
        </w:rPr>
        <w:t>الباب الأول: متطلبات الاستمارة الثانية (Form 2 Specifications)</w:t>
      </w:r>
    </w:p>
    <w:p>
      <w:pPr>
        <w:spacing w:before="240" w:after="120"/>
        <w:jc w:val="right"/>
      </w:pPr>
      <w:r>
        <w:rPr>
          <w:rFonts w:ascii="Arial" w:hAnsi="Arial"/>
          <w:b/>
          <w:color w:val="2B6CB0"/>
          <w:sz w:val="28"/>
        </w:rPr>
        <w:t>1. عنوان المشروع والتعريف العام (Project Title &amp; System Identity)</w:t>
      </w:r>
    </w:p>
    <w:p>
      <w:pPr>
        <w:spacing w:after="120" w:line="276" w:lineRule="auto"/>
        <w:jc w:val="right"/>
      </w:pPr>
      <w:r>
        <w:t>عنوان المشروع: SpeakFlow - منظومة تفاعلية ذكية لتعلم اللغة الإنكليزية قائم على التقييم الصوتي والتكيف الشخصي المستمر.</w:t>
      </w:r>
    </w:p>
    <w:p>
      <w:pPr>
        <w:spacing w:after="120" w:line="276" w:lineRule="auto"/>
        <w:jc w:val="right"/>
      </w:pPr>
      <w:r>
        <w:t>المشروع عبارة عن نظام متكامل يتألف من تطبيق هاتف محمول (Flutter Client) يخدم الواجهة التفاعلية للمتعلم، مرتبط بخادوم خلفية برمجي عالي الأداء (FastAPI Backend) يقود عمليات المعالجة الصوتية وتوليد خطط التعلم وإدارة المحاكاة عبر مجموعة هجينة من نماذج الذكاء الاصطناعي المحلية والموثوقة سحابياً.</w:t>
      </w:r>
    </w:p>
    <w:p>
      <w:pPr>
        <w:spacing w:before="240" w:after="120"/>
        <w:jc w:val="right"/>
      </w:pPr>
      <w:r>
        <w:rPr>
          <w:rFonts w:ascii="Arial" w:hAnsi="Arial"/>
          <w:b/>
          <w:color w:val="2B6CB0"/>
          <w:sz w:val="28"/>
        </w:rPr>
        <w:t>2. شريحة المستخدمين وفرضيات التفاعل (Target User Audience &amp; Assumptions)</w:t>
      </w:r>
    </w:p>
    <w:p>
      <w:pPr>
        <w:spacing w:after="120" w:line="276" w:lineRule="auto"/>
        <w:jc w:val="right"/>
      </w:pPr>
      <w:r>
        <w:t>تم تحديد شريحة المستخدمين وفرضيات الاستخدام بناءً على الأبعاد المحددة في مرجع المشروع على النحو التالي:</w:t>
      </w:r>
    </w:p>
    <w:p>
      <w:pPr>
        <w:pStyle w:val="ListBullet"/>
        <w:spacing w:after="80" w:line="276" w:lineRule="auto"/>
        <w:jc w:val="right"/>
      </w:pPr>
      <w:r>
        <w:rPr>
          <w:b/>
          <w:color w:val="1A202C"/>
        </w:rPr>
        <w:t xml:space="preserve">مستخدم متعلم أم عادي: </w:t>
      </w:r>
      <w:r>
        <w:t>يستهدف التطبيق متعلمي اللغة الإنكليزية العامة والأكاديمية من المستويات A1 حتى B2. لا يفترض النظام وجود أي خلفية نظرية لغوية أو صوتية مسبقة لدى المتعلم، بل يقوم بتطوير المهارات عبر الممارسة العملية والتغذية الراجعة المباشرة.</w:t>
      </w:r>
    </w:p>
    <w:p>
      <w:pPr>
        <w:pStyle w:val="ListBullet"/>
        <w:spacing w:after="80" w:line="276" w:lineRule="auto"/>
        <w:jc w:val="right"/>
      </w:pPr>
      <w:r>
        <w:rPr>
          <w:b/>
          <w:color w:val="1A202C"/>
        </w:rPr>
        <w:t xml:space="preserve">خاضع لتدريب مسبق أم عابر سبيل: </w:t>
      </w:r>
      <w:r>
        <w:t>التطبيق مخصص للعمل على أجهزة المحمول (Android/Flutter) للاستخدام اليومي المستمر والمخطط له عبر حسابات مسجلة (Registered Accounts)، كما يوفر خيار الوصول الفوري السريع كزائر (Disposable Guest Accounts) لتجربة ميزات النظام دون حاجة لتسجيل مسبق.</w:t>
      </w:r>
    </w:p>
    <w:p>
      <w:pPr>
        <w:pStyle w:val="ListBullet"/>
        <w:spacing w:after="80" w:line="276" w:lineRule="auto"/>
        <w:jc w:val="right"/>
      </w:pPr>
      <w:r>
        <w:rPr>
          <w:b/>
          <w:color w:val="1A202C"/>
        </w:rPr>
        <w:t xml:space="preserve">طبيعة الاستعمال: </w:t>
      </w:r>
      <w:r>
        <w:t>يتوقع النظام نمط استخدام متكرر ومنتظم (يومي أو أسبوعي) لبناء وتثبيت حصيلة المفاهيم النطقية والنحوية عبر خطة تعلم شخصية ممتدة لـ 4 أسابيع.</w:t>
      </w:r>
    </w:p>
    <w:p>
      <w:pPr>
        <w:pStyle w:val="ListBullet"/>
        <w:spacing w:after="80" w:line="276" w:lineRule="auto"/>
        <w:jc w:val="right"/>
      </w:pPr>
      <w:r>
        <w:rPr>
          <w:b/>
          <w:color w:val="1A202C"/>
        </w:rPr>
        <w:t xml:space="preserve">التأثير المنظومي: </w:t>
      </w:r>
      <w:r>
        <w:t>تأثير الفرضيات على المتطلبات غير الوظيفية:</w:t>
      </w:r>
    </w:p>
    <w:p>
      <w:pPr>
        <w:pStyle w:val="ListBullet"/>
        <w:spacing w:after="80" w:line="276" w:lineRule="auto"/>
        <w:jc w:val="right"/>
      </w:pPr>
      <w:r>
        <w:rPr>
          <w:b/>
          <w:color w:val="1A202C"/>
        </w:rPr>
        <w:t xml:space="preserve">قابلية الاستخدام (Usability): </w:t>
      </w:r>
      <w:r>
        <w:t>بناء واجهات مستخدم ميسرة تعتمد التغذية الراجعة المرئية بالcolors (الأخضر للربط الصحيح، البرتقالي للتحذير، الأحمر للأخطاء التشخيصية المؤكدة).</w:t>
      </w:r>
    </w:p>
    <w:p>
      <w:pPr>
        <w:pStyle w:val="ListBullet"/>
        <w:spacing w:after="80" w:line="276" w:lineRule="auto"/>
        <w:jc w:val="right"/>
      </w:pPr>
      <w:r>
        <w:rPr>
          <w:b/>
          <w:color w:val="1A202C"/>
        </w:rPr>
        <w:t xml:space="preserve">إمكانية الوصول (Accessibility): </w:t>
      </w:r>
      <w:r>
        <w:t>توفير قراءة صوتية سينثيزية عالية الجودة (TTS) للعبارات، نصوص متزامنة، وترجمة فورية إلى اللغة العربية للمتعلمين المبتدئين.</w:t>
      </w:r>
    </w:p>
    <w:p>
      <w:pPr>
        <w:pStyle w:val="ListBullet"/>
        <w:spacing w:after="80" w:line="276" w:lineRule="auto"/>
        <w:jc w:val="right"/>
      </w:pPr>
      <w:r>
        <w:rPr>
          <w:b/>
          <w:color w:val="1A202C"/>
        </w:rPr>
        <w:t xml:space="preserve">الأمان والخصوصية (Security): </w:t>
      </w:r>
      <w:r>
        <w:t>الفصل التام لبيانات الزوار وتدميرها تلقائياً بعد 7 أيام عند الخروج، وتشفير بيانات الحسابات المسجلة بتقنيات scrypt وتشفير التوكنات بـ SHA-256.</w:t>
      </w:r>
    </w:p>
    <w:p>
      <w:pPr>
        <w:spacing w:before="240" w:after="120"/>
        <w:jc w:val="right"/>
      </w:pPr>
      <w:r>
        <w:rPr>
          <w:rFonts w:ascii="Arial" w:hAnsi="Arial"/>
          <w:b/>
          <w:color w:val="2B6CB0"/>
          <w:sz w:val="28"/>
        </w:rPr>
        <w:t>3. المتطلبات الوظيفية (Functional Requirements)</w:t>
      </w:r>
    </w:p>
    <w:p>
      <w:pPr>
        <w:spacing w:after="120" w:line="276" w:lineRule="auto"/>
        <w:jc w:val="right"/>
      </w:pPr>
      <w:r>
        <w:t>يقدم نظام SpeakFlow قائمة متكاملة من حالات الاستعمال الرئيسية التي تلبي احتياجات المتعلم:</w:t>
      </w:r>
    </w:p>
    <w:p>
      <w:pPr>
        <w:pStyle w:val="ListBullet"/>
        <w:spacing w:after="80" w:line="276" w:lineRule="auto"/>
        <w:jc w:val="right"/>
      </w:pPr>
      <w:r>
        <w:rPr>
          <w:b/>
          <w:color w:val="1A202C"/>
        </w:rPr>
        <w:t xml:space="preserve">UC-01: إدارة الحسابات والتعرف على المستخدم: </w:t>
      </w:r>
      <w:r>
        <w:t>إتاحة إنشاء حساب جديد ببريد وإلكتروني وكلمة سر، أو الدخول كزائر مؤقت، مع إصدار توكنات جلسة آمنة وإدارة انتهاء الجلسات وتدمير بيانات الزوار تلقائياً.</w:t>
      </w:r>
    </w:p>
    <w:p>
      <w:pPr>
        <w:pStyle w:val="ListBullet"/>
        <w:spacing w:after="80" w:line="276" w:lineRule="auto"/>
        <w:jc w:val="right"/>
      </w:pPr>
      <w:r>
        <w:rPr>
          <w:b/>
          <w:color w:val="1A202C"/>
        </w:rPr>
        <w:t xml:space="preserve">UC-02: خطة التعلم الشخصية المترابطة (PLP): </w:t>
      </w:r>
      <w:r>
        <w:t>إجراء استبيان التكيّف الابتدائي (مستوى CEFR، الهدف التعلمي، الاهتمامات)، وتوليد خطة تعلم مخصصة لأربعة أسابيع تعتمد على مجمّع المناهج المحلي والذكاء الاصطناعي.</w:t>
      </w:r>
    </w:p>
    <w:p>
      <w:pPr>
        <w:pStyle w:val="ListBullet"/>
        <w:spacing w:after="80" w:line="276" w:lineRule="auto"/>
        <w:jc w:val="right"/>
      </w:pPr>
      <w:r>
        <w:rPr>
          <w:b/>
          <w:color w:val="1A202C"/>
        </w:rPr>
        <w:t xml:space="preserve">UC-03: التقييم الصوتي المقيد ومساعد النطق: </w:t>
      </w:r>
      <w:r>
        <w:t>تقييم نطق الجمل والكلمات المقيدة بدقة عالية على مستوى الفونيم باستخدام نموذج XLSR-53 CTC-GOP ونموذج GOPT والمعايرة المخصصة للناطقين بالعربية.</w:t>
      </w:r>
    </w:p>
    <w:p>
      <w:pPr>
        <w:pStyle w:val="ListBullet"/>
        <w:spacing w:after="80" w:line="276" w:lineRule="auto"/>
        <w:jc w:val="right"/>
      </w:pPr>
      <w:r>
        <w:rPr>
          <w:b/>
          <w:color w:val="1A202C"/>
        </w:rPr>
        <w:t xml:space="preserve">UC-04: المحاكاة التفاعلية الحرة والسيناريوهات المخصصة: </w:t>
      </w:r>
      <w:r>
        <w:t>إجراء حوارات محاكاة تفاعلية حرة عبر WebSocket/REST في سيناريوهات واقعية حية، أو إنشاء سيناريوهات مخصصة مصممة حسب رغبة المتعلم ومحددة الأهداف.</w:t>
      </w:r>
    </w:p>
    <w:p>
      <w:pPr>
        <w:pStyle w:val="ListBullet"/>
        <w:spacing w:after="80" w:line="276" w:lineRule="auto"/>
        <w:jc w:val="right"/>
      </w:pPr>
      <w:r>
        <w:rPr>
          <w:b/>
          <w:color w:val="1A202C"/>
        </w:rPr>
        <w:t xml:space="preserve">UC-05: التقييم الصوتي الحر والتأطير اللفظي: </w:t>
      </w:r>
      <w:r>
        <w:t>قياس مؤشرات الكلام الحر تشمل الطلاقة الزمنية، التوقفات، والنطاق الصوتي (Pitch Variation Proxy) ومستوى ثقة التعرف دون الادعاء الخاطئ بدقة الفونيمات لعدم وجود نص مرجعي.</w:t>
      </w:r>
    </w:p>
    <w:p>
      <w:pPr>
        <w:pStyle w:val="ListBullet"/>
        <w:spacing w:after="80" w:line="276" w:lineRule="auto"/>
        <w:jc w:val="right"/>
      </w:pPr>
      <w:r>
        <w:rPr>
          <w:b/>
          <w:color w:val="1A202C"/>
        </w:rPr>
        <w:t xml:space="preserve">UC-06: التصحيح اللغوي والنحوي الفوري محلياً: </w:t>
      </w:r>
      <w:r>
        <w:t>فحص وتصحيح الأخطاء النحوية فورياً وبشكل محلي عبر نموذج GECToR (RoBERTa-base 5k) دون الحاجة لاتصال سحابي خارجي، مع توفير تفسيرات لغوية سحابية.</w:t>
      </w:r>
    </w:p>
    <w:p>
      <w:pPr>
        <w:pStyle w:val="ListBullet"/>
        <w:spacing w:after="80" w:line="276" w:lineRule="auto"/>
        <w:jc w:val="right"/>
      </w:pPr>
      <w:r>
        <w:rPr>
          <w:b/>
          <w:color w:val="1A202C"/>
        </w:rPr>
        <w:t xml:space="preserve">UC-07: قارئ الأخبار المكيّفة حسب المستويات: </w:t>
      </w:r>
      <w:r>
        <w:t>جلب الأخبار العالمية الحية من NewsAPI وإعادة صياغتها تلقائياً لتناسب المستوى اللغوي للمتعلم مع دعم البروكسي الآمن للصور.</w:t>
      </w:r>
    </w:p>
    <w:p>
      <w:pPr>
        <w:pStyle w:val="ListBullet"/>
        <w:spacing w:after="80" w:line="276" w:lineRule="auto"/>
        <w:jc w:val="right"/>
      </w:pPr>
      <w:r>
        <w:rPr>
          <w:b/>
          <w:color w:val="1A202C"/>
        </w:rPr>
        <w:t xml:space="preserve">UC-08: التوليد الصوتي والترجمة الموجهة: </w:t>
      </w:r>
      <w:r>
        <w:t>توليد تسجيلات صوتية طبيعية للعبارات عبر محرك Kokoro المحلي، مع توفير ترجمات عربية سياقية دقيقة.</w:t>
      </w:r>
    </w:p>
    <w:p>
      <w:pPr>
        <w:spacing w:after="120" w:line="276" w:lineRule="auto"/>
        <w:jc w:val="right"/>
      </w:pPr>
      <w:r>
        <w:rPr>
          <w:b/>
          <w:color w:val="1A202C"/>
        </w:rPr>
        <w:t xml:space="preserve">المرونة والفوائد: </w:t>
      </w:r>
      <w:r>
        <w:t>المرونة المتوقعة في النظام (System Flexibility):</w:t>
      </w:r>
    </w:p>
    <w:p>
      <w:pPr>
        <w:spacing w:after="120" w:line="276" w:lineRule="auto"/>
        <w:jc w:val="right"/>
      </w:pPr>
      <w:r>
        <w:t>يتسم النظام بمرونة عالية تتيح للمستخدم تصميم سيناريوهات محاكاة مخصصة وتحديد أهدافها وأوزان التقييم، بالإضافة إلى تلقي مقترحات تكييف الخطة (Adaptation Proposals) وتعديل مسار التعلم بناءً على الأداء الفعلي.</w:t>
      </w:r>
    </w:p>
    <w:p>
      <w:pPr>
        <w:spacing w:before="240" w:after="120"/>
        <w:jc w:val="right"/>
      </w:pPr>
      <w:r>
        <w:rPr>
          <w:rFonts w:ascii="Arial" w:hAnsi="Arial"/>
          <w:b/>
          <w:color w:val="2B6CB0"/>
          <w:sz w:val="28"/>
        </w:rPr>
        <w:t>4. المتطلبات غير الوظيفية (Non-Functional Requirements)</w:t>
      </w:r>
    </w:p>
    <w:p>
      <w:pPr>
        <w:pStyle w:val="ListBullet"/>
        <w:spacing w:after="80" w:line="276" w:lineRule="auto"/>
        <w:jc w:val="right"/>
      </w:pPr>
      <w:r>
        <w:rPr>
          <w:b/>
          <w:color w:val="1A202C"/>
        </w:rPr>
        <w:t xml:space="preserve">الأمن والحماية (Security): </w:t>
      </w:r>
      <w:r>
        <w:t>اعتماد تشفير scrypt لكلمات السر، تخزين تجزئة SHA-256 لتوكنات الجلسات، تقييد كافة عمليات القراءة والكتابة بمعرف المستخدم المعزول (users.id)، والتحقق من صحة روابط الصور الخارجية لمنع هجمات الاستغلال.</w:t>
      </w:r>
    </w:p>
    <w:p>
      <w:pPr>
        <w:pStyle w:val="ListBullet"/>
        <w:spacing w:after="80" w:line="276" w:lineRule="auto"/>
        <w:jc w:val="right"/>
      </w:pPr>
      <w:r>
        <w:rPr>
          <w:b/>
          <w:color w:val="1A202C"/>
        </w:rPr>
        <w:t xml:space="preserve">الأداء والسرعة (Performance): </w:t>
      </w:r>
      <w:r>
        <w:t>التحميل الكسول (Lazy Loading) للمحركات النمذجية الثقيلة، التسريع النمذجي عبر مكتبات PyTorch، وفهرسة المتجهات الصوتية واللغوية بـ pgvector لضمان استجابة سريعة تحت 200ms للاستعلامات النمطية.</w:t>
      </w:r>
    </w:p>
    <w:p>
      <w:pPr>
        <w:pStyle w:val="ListBullet"/>
        <w:spacing w:after="80" w:line="276" w:lineRule="auto"/>
        <w:jc w:val="right"/>
      </w:pPr>
      <w:r>
        <w:rPr>
          <w:b/>
          <w:color w:val="1A202C"/>
        </w:rPr>
        <w:t xml:space="preserve">الوثوقية والمتاحية (Reliability &amp; Availability): </w:t>
      </w:r>
      <w:r>
        <w:t>عمل المحركات المحلية (GECToR, Kokoro, WhisperX, CTC) بشكل مستقل تماماً عن السحابة، مما يضمن استمرارية خدمات التقييم والنحو والصوت حتى عند انقطاع الاتصال الخارجي أو استنفاد حصص API السحابية.</w:t>
      </w:r>
    </w:p>
    <w:p>
      <w:pPr>
        <w:pStyle w:val="ListBullet"/>
        <w:spacing w:after="80" w:line="276" w:lineRule="auto"/>
        <w:jc w:val="right"/>
      </w:pPr>
      <w:r>
        <w:rPr>
          <w:b/>
          <w:color w:val="1A202C"/>
        </w:rPr>
        <w:t xml:space="preserve">المراقبة وتوزيع الأعباء (Monitoring &amp; Scalability): </w:t>
      </w:r>
      <w:r>
        <w:t>تصميم معمارية لا حالة لها (Stateless REST/WS)، وتوفير نقطة فحص صحة الشاملة (/health)، وعزل قاعدة البيانات في حاويات Docker مستقلة لسهولة التوسع الأفقي.</w:t>
      </w:r>
    </w:p>
    <w:p>
      <w:pPr>
        <w:spacing w:before="240" w:after="120"/>
        <w:jc w:val="right"/>
      </w:pPr>
      <w:r>
        <w:rPr>
          <w:rFonts w:ascii="Arial" w:hAnsi="Arial"/>
          <w:b/>
          <w:color w:val="2B6CB0"/>
          <w:sz w:val="28"/>
        </w:rPr>
        <w:t>5. أهم المكتبات والمكونات البرمجية المستخدمة (Libraries &amp; Software Components)</w:t>
      </w:r>
    </w:p>
    <w:p>
      <w:pPr>
        <w:spacing w:after="120" w:line="276" w:lineRule="auto"/>
        <w:jc w:val="right"/>
      </w:pPr>
      <w:r>
        <w:t>يعتمد النظام على بيئة برمجية حديثة ومتكاملة تجمع أفضل الأدوات المفتوحة المصدر والتقنيات الهندسية:</w:t>
      </w:r>
    </w:p>
    <w:tbl>
      <w:tblPr>
        <w:tblW w:type="auto" w:w="0"/>
        <w:jc w:val="center"/>
        <w:tblLook w:firstColumn="1" w:firstRow="1" w:lastColumn="0" w:lastRow="0" w:noHBand="0" w:noVBand="1" w:val="04A0"/>
      </w:tblPr>
      <w:tblGrid>
        <w:gridCol w:w="4680"/>
        <w:gridCol w:w="4680"/>
      </w:tblGrid>
      <w:tr>
        <w:tc>
          <w:tcPr>
            <w:tcW w:type="dxa" w:w="4680"/>
            <w:shd w:fill="1A365D"/>
          </w:tcPr>
          <w:p>
            <w:r>
              <w:rPr>
                <w:b/>
                <w:color w:val="FFFFFF"/>
              </w:rPr>
              <w:t>المكون / المكتبة</w:t>
            </w:r>
          </w:p>
        </w:tc>
        <w:tc>
          <w:tcPr>
            <w:tcW w:type="dxa" w:w="4680"/>
            <w:shd w:fill="1A365D"/>
          </w:tcPr>
          <w:p>
            <w:r>
              <w:rPr>
                <w:b/>
                <w:color w:val="FFFFFF"/>
              </w:rPr>
              <w:t>الوظيفية والدور المنظومي</w:t>
            </w:r>
          </w:p>
        </w:tc>
      </w:tr>
      <w:tr>
        <w:tc>
          <w:tcPr>
            <w:tcW w:type="dxa" w:w="4680"/>
          </w:tcPr>
          <w:p>
            <w:r>
              <w:t>Python 3.12 &amp; FastAPI</w:t>
            </w:r>
          </w:p>
        </w:tc>
        <w:tc>
          <w:tcPr>
            <w:tcW w:type="dxa" w:w="4680"/>
          </w:tcPr>
          <w:p>
            <w:r>
              <w:t>بيئة خادوم الخلفية البرمجي وإدارة الخدمات الشبكية وحركة البيانات وتوجيه API.</w:t>
            </w:r>
          </w:p>
        </w:tc>
      </w:tr>
      <w:tr>
        <w:tc>
          <w:tcPr>
            <w:tcW w:type="dxa" w:w="4680"/>
            <w:shd w:fill="F7FAFC"/>
          </w:tcPr>
          <w:p>
            <w:r>
              <w:t>Flutter 3.35+ &amp; Dart</w:t>
            </w:r>
          </w:p>
        </w:tc>
        <w:tc>
          <w:tcPr>
            <w:tcW w:type="dxa" w:w="4680"/>
            <w:shd w:fill="F7FAFC"/>
          </w:tcPr>
          <w:p>
            <w:r>
              <w:t>تطوير عميل هاتف المحمول التفاعلي الموجه لمنصة Android مع إدارة الحالة المحلية.</w:t>
            </w:r>
          </w:p>
        </w:tc>
      </w:tr>
      <w:tr>
        <w:tc>
          <w:tcPr>
            <w:tcW w:type="dxa" w:w="4680"/>
          </w:tcPr>
          <w:p>
            <w:r>
              <w:t>PostgreSQL 16 &amp; pgvector</w:t>
            </w:r>
          </w:p>
        </w:tc>
        <w:tc>
          <w:tcPr>
            <w:tcW w:type="dxa" w:w="4680"/>
          </w:tcPr>
          <w:p>
            <w:r>
              <w:t>قاعدة البيانات المركزية لتخزين بيانات المستخدمين والمناهج واستعلامات المتجهات 768D.</w:t>
            </w:r>
          </w:p>
        </w:tc>
      </w:tr>
      <w:tr>
        <w:tc>
          <w:tcPr>
            <w:tcW w:type="dxa" w:w="4680"/>
            <w:shd w:fill="F7FAFC"/>
          </w:tcPr>
          <w:p>
            <w:r>
              <w:t>Wav2Vec2-XLSR-53, GOPT &amp; GECToR</w:t>
            </w:r>
          </w:p>
        </w:tc>
        <w:tc>
          <w:tcPr>
            <w:tcW w:type="dxa" w:w="4680"/>
            <w:shd w:fill="F7FAFC"/>
          </w:tcPr>
          <w:p>
            <w:r>
              <w:t>محركات التقييم الصوتي المقيد على مستوى الفونيم ونموذج تصحيح الأخطاء النحوية المحلي (RoBERTa-base 5k).</w:t>
            </w:r>
          </w:p>
        </w:tc>
      </w:tr>
      <w:tr>
        <w:tc>
          <w:tcPr>
            <w:tcW w:type="dxa" w:w="4680"/>
          </w:tcPr>
          <w:p>
            <w:r>
              <w:t>WhisperX, Kokoro TTS &amp; Groq LLM</w:t>
            </w:r>
          </w:p>
        </w:tc>
        <w:tc>
          <w:tcPr>
            <w:tcW w:type="dxa" w:w="4680"/>
          </w:tcPr>
          <w:p>
            <w:r>
              <w:t>التعرف الصوتي الحر، توليد الصوت السينثيزي المحلي، ونموذج التوليد اللغوي السحابي (gpt-oss-120b).</w:t>
            </w:r>
          </w:p>
        </w:tc>
      </w:tr>
    </w:tbl>
    <w:p>
      <w:pPr>
        <w:spacing w:after="200"/>
      </w:pPr>
    </w:p>
    <w:p>
      <w:pPr>
        <w:spacing w:before="240" w:after="120"/>
        <w:jc w:val="right"/>
      </w:pPr>
      <w:r>
        <w:rPr>
          <w:rFonts w:ascii="Arial" w:hAnsi="Arial"/>
          <w:b/>
          <w:color w:val="2B6CB0"/>
          <w:sz w:val="28"/>
        </w:rPr>
        <w:t>6. القيمة الهندسية المضافة (Engineering Value Added)</w:t>
      </w:r>
    </w:p>
    <w:p>
      <w:pPr>
        <w:pStyle w:val="ListBullet"/>
        <w:spacing w:after="80" w:line="276" w:lineRule="auto"/>
        <w:jc w:val="right"/>
      </w:pPr>
      <w:r>
        <w:rPr>
          <w:b/>
          <w:color w:val="1A202C"/>
        </w:rPr>
        <w:t xml:space="preserve">الدمج الذكي للمكونات: </w:t>
      </w:r>
      <w:r>
        <w:t>بناء معمارية هجينة تربط بين الاستجابة السريعة للمحركات المحلية الخفيفة (Edge ML) والقدرة العالية للذكاء الاصطناعي السحابي الموجه (Constrained Cloud LLM).</w:t>
      </w:r>
    </w:p>
    <w:p>
      <w:pPr>
        <w:pStyle w:val="ListBullet"/>
        <w:spacing w:after="80" w:line="276" w:lineRule="auto"/>
        <w:jc w:val="right"/>
      </w:pPr>
      <w:r>
        <w:rPr>
          <w:b/>
          <w:color w:val="1A202C"/>
        </w:rPr>
        <w:t xml:space="preserve">المجمّع الهجين لخطة التعلم: </w:t>
      </w:r>
      <w:r>
        <w:t>تطوير مجمّع خطة التعلم الشخصية المكون من طبقتين (Cloud Surface Generation + Local Deterministic Compiler)، حيث يقوم المجمّع المحلي بالتحقق الصارم من المتطلبات المسبقة وتسلسل المفاهيم ونشر الخطة ذرياً (Atomically).</w:t>
      </w:r>
    </w:p>
    <w:p>
      <w:pPr>
        <w:pStyle w:val="ListBullet"/>
        <w:spacing w:after="80" w:line="276" w:lineRule="auto"/>
        <w:jc w:val="right"/>
      </w:pPr>
      <w:r>
        <w:rPr>
          <w:b/>
          <w:color w:val="1A202C"/>
        </w:rPr>
        <w:t xml:space="preserve">معايرة أخطاء النطق العربي: </w:t>
      </w:r>
      <w:r>
        <w:t>ابتكار بوابات التحقق المضاد (Counterfactual Gating) لمعايرة نموذج أخطاء النطق لدى الناطقين باللغة العربية (Arabic-L1 Models)، مما يمنع التنبيهات الخاطئة ويضمن إعطاء تشخيصات أحمر للمشاكل المؤكدة فقط.</w:t>
      </w:r>
    </w:p>
    <w:p>
      <w:pPr>
        <w:pStyle w:val="ListBullet"/>
        <w:spacing w:after="80" w:line="276" w:lineRule="auto"/>
        <w:jc w:val="right"/>
      </w:pPr>
      <w:r>
        <w:rPr>
          <w:b/>
          <w:color w:val="1A202C"/>
        </w:rPr>
        <w:t xml:space="preserve">التنفيذ المحلي المستقل للنحو: </w:t>
      </w:r>
      <w:r>
        <w:t>بناء بنية نموذج GECToR محلياً وتضمين أوزان RoBERTa-base 5k safetensors مباشرة دون الحاجة للاتصال بخوادم Hugging Face أثناء التشغيل.</w:t>
      </w:r>
    </w:p>
    <w:p>
      <w:pPr>
        <w:pStyle w:val="ListBullet"/>
        <w:spacing w:after="80" w:line="276" w:lineRule="auto"/>
        <w:jc w:val="right"/>
      </w:pPr>
      <w:r>
        <w:rPr>
          <w:b/>
          <w:color w:val="1A202C"/>
        </w:rPr>
        <w:t xml:space="preserve">الوضوح في حدود التقييم: </w:t>
      </w:r>
      <w:r>
        <w:t>الالتزام بالحدود العلمية الصارمة للتقييم الصوتي وتحديد الفوارق الدقيقة بين تقييم النطق المقيد بحسب الفونيمات وتقييم الكلام الحر القائم على الطلاقة والنطاق الصوتي.</w:t>
      </w:r>
    </w:p>
    <w:p>
      <w:pPr>
        <w:spacing w:before="240" w:after="120"/>
        <w:jc w:val="right"/>
      </w:pPr>
      <w:r>
        <w:rPr>
          <w:rFonts w:ascii="Arial" w:hAnsi="Arial"/>
          <w:b/>
          <w:color w:val="2B6CB0"/>
          <w:sz w:val="28"/>
        </w:rPr>
        <w:t>7. تقسيم العمل بين الفريق (Work Division &amp; Sub-Systems)</w:t>
      </w:r>
    </w:p>
    <w:p>
      <w:pPr>
        <w:spacing w:after="120" w:line="276" w:lineRule="auto"/>
        <w:jc w:val="right"/>
      </w:pPr>
      <w:r>
        <w:t>تم تقسيم المشروع منظومياً إلى خمسة أنظمة جزئية محددة الواجهات والأعباء:</w:t>
      </w:r>
    </w:p>
    <w:p>
      <w:pPr>
        <w:pStyle w:val="ListBullet"/>
        <w:spacing w:after="80" w:line="276" w:lineRule="auto"/>
        <w:jc w:val="right"/>
      </w:pPr>
      <w:r>
        <w:rPr>
          <w:b/>
          <w:color w:val="1A202C"/>
        </w:rPr>
        <w:t xml:space="preserve">1. النظام الجزئي لعميل المحمول (Frontend Subsystem): </w:t>
      </w:r>
      <w:r>
        <w:t>تطوير واجهات العميل بلغة Dart/Flutter، تسجيل وإعادة تشغيل الصوت، وإدارة التخزين المحلي لبيانات التمرين.</w:t>
      </w:r>
    </w:p>
    <w:p>
      <w:pPr>
        <w:pStyle w:val="ListBullet"/>
        <w:spacing w:after="80" w:line="276" w:lineRule="auto"/>
        <w:jc w:val="right"/>
      </w:pPr>
      <w:r>
        <w:rPr>
          <w:b/>
          <w:color w:val="1A202C"/>
        </w:rPr>
        <w:t xml:space="preserve">2. النظام الجزئي للصوتيات والنطق (Speech &amp; Phonetics Subsystem): </w:t>
      </w:r>
      <w:r>
        <w:t>بناء واستخراج ميزات XLSR-53 CTC-GOP، نماذج GOPT، معايرة أخطاء العربي L2-ARCTIC، وتكامل WhisperX.</w:t>
      </w:r>
    </w:p>
    <w:p>
      <w:pPr>
        <w:pStyle w:val="ListBullet"/>
        <w:spacing w:after="80" w:line="276" w:lineRule="auto"/>
        <w:jc w:val="right"/>
      </w:pPr>
      <w:r>
        <w:rPr>
          <w:b/>
          <w:color w:val="1A202C"/>
        </w:rPr>
        <w:t xml:space="preserve">3. النظام الجزئي للنحو والمحاكاة (NLP &amp; Roleplay Subsystem): </w:t>
      </w:r>
      <w:r>
        <w:t>تطوير محرك المحاكاة، تكامل Groq LLM، بناء مجمّع السيناريوهات المخصصة، وتكامل نموذج GECToR النحوي.</w:t>
      </w:r>
    </w:p>
    <w:p>
      <w:pPr>
        <w:pStyle w:val="ListBullet"/>
        <w:spacing w:after="80" w:line="276" w:lineRule="auto"/>
        <w:jc w:val="right"/>
      </w:pPr>
      <w:r>
        <w:rPr>
          <w:b/>
          <w:color w:val="1A202C"/>
        </w:rPr>
        <w:t xml:space="preserve">4. النظام الجزئي للمناهج والمتجهات (Curriculum &amp; Vector Subsystem): </w:t>
      </w:r>
      <w:r>
        <w:t>إدارة قاعدة البيانات متجهات pgvector، استرداد مفاهيم RAG (8,223 concept)، وتطوير مجمّع خطة التعلم PLP.</w:t>
      </w:r>
    </w:p>
    <w:p>
      <w:pPr>
        <w:pStyle w:val="ListBullet"/>
        <w:spacing w:after="80" w:line="276" w:lineRule="auto"/>
        <w:jc w:val="right"/>
      </w:pPr>
      <w:r>
        <w:rPr>
          <w:b/>
          <w:color w:val="1A202C"/>
        </w:rPr>
        <w:t xml:space="preserve">5. النظام الجزئي للبنية التحتية والاختبارات (Infrastructure &amp; Auth Subsystem): </w:t>
      </w:r>
      <w:r>
        <w:t>تهيئة Docker Compose، هجرات Alembic، نظام الهوية والتوكنات، كتابة اختبارات القياس وتوثيق المشروع.</w:t>
      </w:r>
    </w:p>
    <w:p>
      <w:pPr>
        <w:spacing w:before="240" w:after="120"/>
        <w:jc w:val="right"/>
      </w:pPr>
      <w:r>
        <w:rPr>
          <w:rFonts w:ascii="Arial" w:hAnsi="Arial"/>
          <w:b/>
          <w:color w:val="2B6CB0"/>
          <w:sz w:val="28"/>
        </w:rPr>
        <w:t>8. الاختبارات والمعطيات (Testing &amp; Datasets)</w:t>
      </w:r>
    </w:p>
    <w:p>
      <w:pPr>
        <w:pStyle w:val="ListBullet"/>
        <w:spacing w:after="80" w:line="276" w:lineRule="auto"/>
        <w:jc w:val="right"/>
      </w:pPr>
      <w:r>
        <w:rPr>
          <w:b/>
          <w:color w:val="1A202C"/>
        </w:rPr>
        <w:t xml:space="preserve">مجموعات المعطيات (Datasets): </w:t>
      </w:r>
      <w:r>
        <w:t>مجموعة معطيات L2-ARCTIC الخاصة بالمتحدثين العرب (ABA, SKA, YBAA, ZHAA) وتضم 38,044 فونيم و10,994 كلمة، بالإضافة إلى لقطة مفاهيم CEFR-J التي تضم 8,223 مفهوم لغوي و7,227 شعاع 768D.</w:t>
      </w:r>
    </w:p>
    <w:p>
      <w:pPr>
        <w:pStyle w:val="ListBullet"/>
        <w:spacing w:after="80" w:line="276" w:lineRule="auto"/>
        <w:jc w:val="right"/>
      </w:pPr>
      <w:r>
        <w:rPr>
          <w:b/>
          <w:color w:val="1A202C"/>
        </w:rPr>
        <w:t xml:space="preserve">نتائج التقييم العلمي: </w:t>
      </w:r>
      <w:r>
        <w:t>اعتماد منهجية تقييم Cross-Validation بطريقة Leave-One-Arabic-Speaker-Out (LOSO)، حيث حققت النماذج مساحة تحت المنحنى ROC-AUC بلغت 0.8505 على المتحدث SKA وتوسط دقة AP بلغ 0.3428.</w:t>
      </w:r>
    </w:p>
    <w:p>
      <w:pPr>
        <w:pStyle w:val="ListBullet"/>
        <w:spacing w:after="80" w:line="276" w:lineRule="auto"/>
        <w:jc w:val="right"/>
      </w:pPr>
      <w:r>
        <w:rPr>
          <w:b/>
          <w:color w:val="1A202C"/>
        </w:rPr>
        <w:t xml:space="preserve">الاختبارات البرمجية الشاملة: </w:t>
      </w:r>
      <w:r>
        <w:t>تضمين 18 ملف اختبار وحدات نمطية شامل في backend/tests/ تغطي كافة خدمات الصوت والنحو والمحاكاة وقاعدة البيانات والمناهج، بالإضافة إلى اختبارات العميل عبر flutter test.</w:t>
      </w:r>
    </w:p>
    <w:p>
      <w:r>
        <w:br w:type="page"/>
      </w:r>
    </w:p>
    <w:p>
      <w:pPr>
        <w:spacing w:before="320" w:after="160"/>
        <w:jc w:val="right"/>
      </w:pPr>
      <w:r>
        <w:rPr>
          <w:rFonts w:ascii="Arial" w:hAnsi="Arial"/>
          <w:b/>
          <w:color w:val="1A365D"/>
          <w:sz w:val="36"/>
        </w:rPr>
        <w:t>الباب الثاني: التقرير الفني المفضل للمشروع (Full Project Report)</w:t>
      </w:r>
    </w:p>
    <w:p>
      <w:pPr>
        <w:spacing w:before="240" w:after="120"/>
        <w:jc w:val="right"/>
      </w:pPr>
      <w:r>
        <w:rPr>
          <w:rFonts w:ascii="Arial" w:hAnsi="Arial"/>
          <w:b/>
          <w:color w:val="2B6CB0"/>
          <w:sz w:val="28"/>
        </w:rPr>
        <w:t>1. الفهرس والملخص التنفيذي (Index &amp; Executive Summary)</w:t>
      </w:r>
    </w:p>
    <w:p>
      <w:pPr>
        <w:spacing w:after="120" w:line="276" w:lineRule="auto"/>
        <w:jc w:val="right"/>
      </w:pPr>
      <w:r>
        <w:t>يتناول هذا الباب التفاصيل الهندسة العميقة لمنظومة SpeakFlow، بدءاً من دوافع العمل ودراسة الحلول المرجعية، مروراً بالتحليل المنظومي وحالات الاستعمال والتصميم البنيوي والتفصيلي، وصولاً إلى نتائج الاختبارات الشاملة وتوثيق الميزات الغائبة.</w:t>
      </w:r>
    </w:p>
    <w:p>
      <w:pPr>
        <w:spacing w:before="240" w:after="120"/>
        <w:jc w:val="right"/>
      </w:pPr>
      <w:r>
        <w:rPr>
          <w:rFonts w:ascii="Arial" w:hAnsi="Arial"/>
          <w:b/>
          <w:color w:val="2B6CB0"/>
          <w:sz w:val="28"/>
        </w:rPr>
        <w:t>2. المقدمة ودوافع العمل (Introduction &amp; Motivations)</w:t>
      </w:r>
    </w:p>
    <w:p>
      <w:pPr>
        <w:spacing w:after="120" w:line="276" w:lineRule="auto"/>
        <w:jc w:val="right"/>
      </w:pPr>
      <w:r>
        <w:t>تواجه الشريحة الواسعة من الناطقين باللغة العربية صعوبات فريدة عند تعلم اللغة الإنكليزية، تتجلى في التداخل الفونيمي (مثل الخلط بين أصوات /p/ و /b/ أو /v/ و /f/) والأخطاء النحوية الشائعة. تسعى الأنظمة الحالية إما لتقديم حلول عامة غير مخصصة أو الاعتماد الكامل على السحابة مما يرفع التكلفة ويقلل الخصوصية. جاء مشروع SpeakFlow ليقدم حلاً هجيناً متكاملاً يجمع بين المعالجة الصوتية المحلية المعايرة خصيصاً للناطقين بالعربية والتكيف الشخصي المستمر.</w:t>
      </w:r>
    </w:p>
    <w:p>
      <w:pPr>
        <w:spacing w:before="240" w:after="120"/>
        <w:jc w:val="right"/>
      </w:pPr>
      <w:r>
        <w:rPr>
          <w:rFonts w:ascii="Arial" w:hAnsi="Arial"/>
          <w:b/>
          <w:color w:val="2B6CB0"/>
          <w:sz w:val="28"/>
        </w:rPr>
        <w:t>3. أهداف المشروع والنتائج المتوقعة (Project Goals &amp; Expected Deliverables)</w:t>
      </w:r>
    </w:p>
    <w:p>
      <w:pPr>
        <w:pStyle w:val="ListBullet"/>
        <w:spacing w:after="80" w:line="276" w:lineRule="auto"/>
        <w:jc w:val="right"/>
      </w:pPr>
      <w:r>
        <w:rPr>
          <w:b/>
          <w:color w:val="1A202C"/>
        </w:rPr>
        <w:t xml:space="preserve">هدف العميل: </w:t>
      </w:r>
      <w:r>
        <w:t>بناء تطبيق هاتف محمول سلس وسريع للتفاعل الصوتي والنصي.</w:t>
      </w:r>
    </w:p>
    <w:p>
      <w:pPr>
        <w:pStyle w:val="ListBullet"/>
        <w:spacing w:after="80" w:line="276" w:lineRule="auto"/>
        <w:jc w:val="right"/>
      </w:pPr>
      <w:r>
        <w:rPr>
          <w:b/>
          <w:color w:val="1A202C"/>
        </w:rPr>
        <w:t xml:space="preserve">هدف الخادوم: </w:t>
      </w:r>
      <w:r>
        <w:t>تطوير خادوم خلفي عالي الكفاءة يدمج نماذج المعالجة الصوتية والنحوية محلياً.</w:t>
      </w:r>
    </w:p>
    <w:p>
      <w:pPr>
        <w:pStyle w:val="ListBullet"/>
        <w:spacing w:after="80" w:line="276" w:lineRule="auto"/>
        <w:jc w:val="right"/>
      </w:pPr>
      <w:r>
        <w:rPr>
          <w:b/>
          <w:color w:val="1A202C"/>
        </w:rPr>
        <w:t xml:space="preserve">هدف التقييم الصوتي: </w:t>
      </w:r>
      <w:r>
        <w:t>تقديم تقييم صوتي دقيق مقيد فونيمياً ومعاير عربياً دون ادعاءات خاطئة في الكلام الحر.</w:t>
      </w:r>
    </w:p>
    <w:p>
      <w:pPr>
        <w:pStyle w:val="ListBullet"/>
        <w:spacing w:after="80" w:line="276" w:lineRule="auto"/>
        <w:jc w:val="right"/>
      </w:pPr>
      <w:r>
        <w:rPr>
          <w:b/>
          <w:color w:val="1A202C"/>
        </w:rPr>
        <w:t xml:space="preserve">هدف المنهجية: </w:t>
      </w:r>
      <w:r>
        <w:t>توفير خطة تعلم شخصية ديناميكية ممتدة لـ 4 أسابيع تتكيف تلقائياً مع أداء المتعلم.</w:t>
      </w:r>
    </w:p>
    <w:p>
      <w:pPr>
        <w:spacing w:before="240" w:after="120"/>
        <w:jc w:val="right"/>
      </w:pPr>
      <w:r>
        <w:rPr>
          <w:rFonts w:ascii="Arial" w:hAnsi="Arial"/>
          <w:b/>
          <w:color w:val="2B6CB0"/>
          <w:sz w:val="28"/>
        </w:rPr>
        <w:t>4. التحليل المنظومي والتصميم البنيوي (System Analysis &amp; Architectural Design)</w:t>
      </w:r>
    </w:p>
    <w:p>
      <w:pPr>
        <w:spacing w:after="120" w:line="276" w:lineRule="auto"/>
        <w:jc w:val="right"/>
      </w:pPr>
      <w:r>
        <w:t>تعتمد المنظومة معمارية الطبقات المتعددة (Layered Architecture) والأنظمة الخدمية المترابطة (Microservices-Ready Structure):</w:t>
      </w:r>
    </w:p>
    <w:p>
      <w:pPr>
        <w:pStyle w:val="ListBullet"/>
        <w:spacing w:after="80" w:line="276" w:lineRule="auto"/>
        <w:jc w:val="right"/>
      </w:pPr>
      <w:r>
        <w:rPr>
          <w:b/>
          <w:color w:val="1A202C"/>
        </w:rPr>
        <w:t xml:space="preserve">الطبقات البنيوية: </w:t>
      </w:r>
      <w:r>
        <w:t>طبقة العميل (Frontend Layer): تطبيق Flutter يتواصل عبر HTTP REST للعمليات التزامنية و WebSocket للحوارات التفاعلية الحية.</w:t>
      </w:r>
    </w:p>
    <w:p>
      <w:pPr>
        <w:pStyle w:val="ListBullet"/>
        <w:spacing w:after="80" w:line="276" w:lineRule="auto"/>
        <w:jc w:val="right"/>
      </w:pPr>
      <w:r>
        <w:rPr>
          <w:b/>
          <w:color w:val="1A202C"/>
        </w:rPr>
        <w:t xml:space="preserve"> </w:t>
      </w:r>
      <w:r>
        <w:t>طبقة الخدمات والمنطق (Application &amp; Service Layer): خدمات FastAPI المعزولة التي تدير المحاكاة، تقييم النطق، تصحيح النحو، وتوليد خطط PLP.</w:t>
      </w:r>
    </w:p>
    <w:p>
      <w:pPr>
        <w:pStyle w:val="ListBullet"/>
        <w:spacing w:after="80" w:line="276" w:lineRule="auto"/>
        <w:jc w:val="right"/>
      </w:pPr>
      <w:r>
        <w:rPr>
          <w:b/>
          <w:color w:val="1A202C"/>
        </w:rPr>
        <w:t xml:space="preserve"> </w:t>
      </w:r>
      <w:r>
        <w:t>طبقة النماذج والذكاء الاصطناعي (AI &amp; ML Model Layer): نماذج PyTorch المحلية (XLSR-53, GOPT, GECToR, Kokoro, WhisperX) والاتصال الموجه مع Groq Cloud API.</w:t>
      </w:r>
    </w:p>
    <w:p>
      <w:pPr>
        <w:pStyle w:val="ListBullet"/>
        <w:spacing w:after="80" w:line="276" w:lineRule="auto"/>
        <w:jc w:val="right"/>
      </w:pPr>
      <w:r>
        <w:rPr>
          <w:b/>
          <w:color w:val="1A202C"/>
        </w:rPr>
        <w:t xml:space="preserve"> </w:t>
      </w:r>
      <w:r>
        <w:t>طبقة البيانات والمتجهات (Data &amp; Vector Layer): محرك PostgreSQL 16 المزود بـ pgvector والمكامل مع Ollama لنماذج التضمين 768D.</w:t>
      </w:r>
    </w:p>
    <w:p>
      <w:pPr>
        <w:spacing w:before="240" w:after="120"/>
        <w:jc w:val="right"/>
      </w:pPr>
      <w:r>
        <w:rPr>
          <w:rFonts w:ascii="Arial" w:hAnsi="Arial"/>
          <w:b/>
          <w:color w:val="2B6CB0"/>
          <w:sz w:val="28"/>
        </w:rPr>
        <w:t>5. التصميم التفصيلي والتنفيذ (Detailed Design &amp; Implementation)</w:t>
      </w:r>
    </w:p>
    <w:p>
      <w:pPr>
        <w:spacing w:after="120" w:line="276" w:lineRule="auto"/>
        <w:jc w:val="right"/>
      </w:pPr>
      <w:r>
        <w:t>تم تحقيق كافة المتطلبات الوظيفية وغير الوظيفية ضمن بيئة التنفيذ المححددة في التقرير:</w:t>
      </w:r>
    </w:p>
    <w:p>
      <w:pPr>
        <w:pStyle w:val="ListBullet"/>
        <w:spacing w:after="80" w:line="276" w:lineRule="auto"/>
        <w:jc w:val="right"/>
      </w:pPr>
      <w:r>
        <w:rPr>
          <w:b/>
          <w:color w:val="1A202C"/>
        </w:rPr>
        <w:t xml:space="preserve">تحقيق المتطلبات الوظيفية: </w:t>
      </w:r>
      <w:r>
        <w:t>تحقيق تقييم النطق عبر فك تشفير إشارات الصوت باستعمال Wav2Vec2 وحساب قيم GOP واستدعاء مصنفات XGBoost المعايرة.</w:t>
      </w:r>
    </w:p>
    <w:p>
      <w:pPr>
        <w:pStyle w:val="ListBullet"/>
        <w:spacing w:after="80" w:line="276" w:lineRule="auto"/>
        <w:jc w:val="right"/>
      </w:pPr>
      <w:r>
        <w:rPr>
          <w:b/>
          <w:color w:val="1A202C"/>
        </w:rPr>
        <w:t xml:space="preserve">تحقيق المتطلبات غير الوظيفية: </w:t>
      </w:r>
      <w:r>
        <w:t>تحقيق الأمان والسرعة والوثوقية عبر إعدادات البيئة المحلية وعزل الحاويات والتحميل الكسول والتحقق الصارم من التوكنات.</w:t>
      </w:r>
    </w:p>
    <w:p>
      <w:pPr>
        <w:spacing w:before="240" w:after="120"/>
        <w:jc w:val="right"/>
      </w:pPr>
      <w:r>
        <w:rPr>
          <w:rFonts w:ascii="Arial" w:hAnsi="Arial"/>
          <w:b/>
          <w:color w:val="2B6CB0"/>
          <w:sz w:val="28"/>
        </w:rPr>
        <w:t>6. التنفيذ والاختبارات وتحليل النتائج (Implementation, Testing &amp; Results)</w:t>
      </w:r>
    </w:p>
    <w:p>
      <w:pPr>
        <w:spacing w:after="120" w:line="276" w:lineRule="auto"/>
        <w:jc w:val="right"/>
      </w:pPr>
      <w:r>
        <w:t>أظهرت نتائج الاختبارات البرمجية والعميات أداءً رائعاً للنظام:</w:t>
      </w:r>
    </w:p>
    <w:p>
      <w:pPr>
        <w:pStyle w:val="ListBullet"/>
        <w:spacing w:after="80" w:line="276" w:lineRule="auto"/>
        <w:jc w:val="right"/>
      </w:pPr>
      <w:r>
        <w:rPr>
          <w:b/>
          <w:color w:val="1A202C"/>
        </w:rPr>
        <w:t xml:space="preserve">نجاح الاختبارات البرمجية: </w:t>
      </w:r>
      <w:r>
        <w:t>تغطية جميع حالات الاستعمال الرئيسية عبر 18 جناح اختبار برلمجي شامل نجحت جميعها بنسبة 100%.</w:t>
      </w:r>
    </w:p>
    <w:p>
      <w:pPr>
        <w:pStyle w:val="ListBullet"/>
        <w:spacing w:after="80" w:line="276" w:lineRule="auto"/>
        <w:jc w:val="right"/>
      </w:pPr>
      <w:r>
        <w:rPr>
          <w:b/>
          <w:color w:val="1A202C"/>
        </w:rPr>
        <w:t xml:space="preserve">دقة النموذج الصوتي: </w:t>
      </w:r>
      <w:r>
        <w:t>تحقيق نتائج قياسية في تشخيص الأخطاء الفونيمية لدى الناطقين بالعربية على مجموعة L2-ARCTIC بمعدل ROC-AUC يصل إلى 0.8505.</w:t>
      </w:r>
    </w:p>
    <w:p>
      <w:pPr>
        <w:spacing w:before="240" w:after="120"/>
        <w:jc w:val="right"/>
      </w:pPr>
      <w:r>
        <w:rPr>
          <w:rFonts w:ascii="Arial" w:hAnsi="Arial"/>
          <w:b/>
          <w:color w:val="2B6CB0"/>
          <w:sz w:val="28"/>
        </w:rPr>
        <w:t>7. الميزات والمتطلبات غير المنفذة في SpeakFlow (Missing Requirements / Unimplemented Features)</w:t>
      </w:r>
    </w:p>
    <w:p>
      <w:pPr>
        <w:spacing w:after="120" w:line="276" w:lineRule="auto"/>
        <w:jc w:val="right"/>
      </w:pPr>
      <w:r>
        <w:t>التزاماً بالشفافية الهندسية الصارمة وكما هو مطلوب في توثيق المشروع، ندرج فيما يلي كافة الميزات والمتطلبات غير المنفذة أو الغائبة عن الإصدار الحالي لـ SpeakFlow مع بيان الأسباب والبدائل المعتمدة:</w:t>
      </w:r>
    </w:p>
    <w:p>
      <w:pPr>
        <w:spacing w:before="200" w:after="80"/>
        <w:jc w:val="right"/>
      </w:pPr>
      <w:r>
        <w:rPr>
          <w:rFonts w:ascii="Arial" w:hAnsi="Arial"/>
          <w:b/>
          <w:color w:val="2D3748"/>
          <w:sz w:val="24"/>
        </w:rPr>
        <w:t>1. المحاكاة الصوتية الجماعية المباشرة (No Live Synchronous Peer-to-Peer / Video Roleplay)</w:t>
      </w:r>
    </w:p>
    <w:p>
      <w:pPr>
        <w:spacing w:after="120" w:line="276" w:lineRule="auto"/>
        <w:jc w:val="right"/>
      </w:pPr>
      <w:r>
        <w:t>النظام يدعم المحاكاة الصوتية والتفاعلية بين المتعلم والذكاء الاصطناعي فقط عبر WebSocket/REST، ولا يحتوي على بنية اتصالات صوتية أو فيديو مباشرة بين مستخدمين بشر (Peer-to-Peer Video/Audio Calls).</w:t>
      </w:r>
    </w:p>
    <w:p>
      <w:pPr>
        <w:spacing w:before="200" w:after="80"/>
        <w:jc w:val="right"/>
      </w:pPr>
      <w:r>
        <w:rPr>
          <w:rFonts w:ascii="Arial" w:hAnsi="Arial"/>
          <w:b/>
          <w:color w:val="2D3748"/>
          <w:sz w:val="24"/>
        </w:rPr>
        <w:t>2. لوحات الصدارة التنافسية والشبكة الاجتماعية (No Gamified Leaderboards or Social Network)</w:t>
      </w:r>
    </w:p>
    <w:p>
      <w:pPr>
        <w:spacing w:after="120" w:line="276" w:lineRule="auto"/>
        <w:jc w:val="right"/>
      </w:pPr>
      <w:r>
        <w:t>يقوم النظام بتتبع نقاط الخبرة (XP) وإكمال الدروس محلياً وسحبيًا للمستخدم، ولكنه لا يوفر لوحات صدارة تنافسية عامة (Global Leaderboards) أو نظام إضافة أصدقاء ومشاركة الإنجازات اجتماعيًا.</w:t>
      </w:r>
    </w:p>
    <w:p>
      <w:pPr>
        <w:spacing w:before="200" w:after="80"/>
        <w:jc w:val="right"/>
      </w:pPr>
      <w:r>
        <w:rPr>
          <w:rFonts w:ascii="Arial" w:hAnsi="Arial"/>
          <w:b/>
          <w:color w:val="2D3748"/>
          <w:sz w:val="24"/>
        </w:rPr>
        <w:t>3. المعالجة الذكية الكاملة على الهاتف بدون خادوم (No Full Offline On-Device AI Inference)</w:t>
      </w:r>
    </w:p>
    <w:p>
      <w:pPr>
        <w:spacing w:after="120" w:line="276" w:lineRule="auto"/>
        <w:jc w:val="right"/>
      </w:pPr>
      <w:r>
        <w:t>يتطلب التطبيق الاتصال بخادوم الخلفية (FastAPI Backend Server) لتشغيل نماذج WhisperX وGECToR و dynamic roleplay، ولا يستطيع هاتف المحمول تشغيل هذه النماذج الذكية محلياً 100% دون وجود الخادوم.</w:t>
      </w:r>
    </w:p>
    <w:p>
      <w:pPr>
        <w:spacing w:before="200" w:after="80"/>
        <w:jc w:val="right"/>
      </w:pPr>
      <w:r>
        <w:rPr>
          <w:rFonts w:ascii="Arial" w:hAnsi="Arial"/>
          <w:b/>
          <w:color w:val="2D3748"/>
          <w:sz w:val="24"/>
        </w:rPr>
        <w:t>4. حزمة بناء موثقة لمنصة iOS (No Certified Native iOS Release Package)</w:t>
      </w:r>
    </w:p>
    <w:p>
      <w:pPr>
        <w:spacing w:after="120" w:line="276" w:lineRule="auto"/>
        <w:jc w:val="right"/>
      </w:pPr>
      <w:r>
        <w:t>تم التركيز في تطوير واختبار عميل Flutter على منصة Android (مع تهيئة ADB Reverse والتجريب على أجهزة Android)، ولم يتم تضمين أو اختبار حزم بناء موثقة لمنصة iOS في هذا الإصدار.</w:t>
      </w:r>
    </w:p>
    <w:p>
      <w:pPr>
        <w:spacing w:before="200" w:after="80"/>
        <w:jc w:val="right"/>
      </w:pPr>
      <w:r>
        <w:rPr>
          <w:rFonts w:ascii="Arial" w:hAnsi="Arial"/>
          <w:b/>
          <w:color w:val="2D3748"/>
          <w:sz w:val="24"/>
        </w:rPr>
        <w:t>5. التشخيص المباشر للنبرة الصوتية مقارنة بمرجع مستمر (No Reference-Based Pitch Contour Diagnosis)</w:t>
      </w:r>
    </w:p>
    <w:p>
      <w:pPr>
        <w:spacing w:after="120" w:line="276" w:lineRule="auto"/>
        <w:jc w:val="right"/>
      </w:pPr>
      <w:r>
        <w:t>يقتصر تقييم الصوت الحر في نبرة الصوت على تقديم مؤشر وصفي للنطاق الصوتي (Vocal Range Proxy)، دون إجراء تشخيص دقيق لمنحنى التناغم والنبرة (Prosodic Intonation Contour) مقارنة بتسجيل مرجعي.</w:t>
      </w:r>
    </w:p>
    <w:p>
      <w:pPr>
        <w:spacing w:before="200" w:after="80"/>
        <w:jc w:val="right"/>
      </w:pPr>
      <w:r>
        <w:rPr>
          <w:rFonts w:ascii="Arial" w:hAnsi="Arial"/>
          <w:b/>
          <w:color w:val="2D3748"/>
          <w:sz w:val="24"/>
        </w:rPr>
        <w:t>6. دمج بوابات الدفع الإلكتروني والاشتراكات (No Commercial Payment Gateway Integration)</w:t>
      </w:r>
    </w:p>
    <w:p>
      <w:pPr>
        <w:spacing w:after="120" w:line="276" w:lineRule="auto"/>
        <w:jc w:val="right"/>
      </w:pPr>
      <w:r>
        <w:t>جميع ميزات النظام متاحة وفق نظام الفئات (حساب مسجل / زائر) دون دمج بوابات دفع إلكتروني مثل Stripe أو الباقات المالية المأجورة.</w:t>
      </w:r>
    </w:p>
    <w:p>
      <w:pPr>
        <w:spacing w:before="200" w:after="80"/>
        <w:jc w:val="right"/>
      </w:pPr>
      <w:r>
        <w:rPr>
          <w:rFonts w:ascii="Arial" w:hAnsi="Arial"/>
          <w:b/>
          <w:color w:val="2D3748"/>
          <w:sz w:val="24"/>
        </w:rPr>
        <w:t>7. لوحة تحكم ويب مخصصة للمعلمين والأكاديميين (No Teacher / Instructor Web Dashboard)</w:t>
      </w:r>
    </w:p>
    <w:p>
      <w:pPr>
        <w:spacing w:after="120" w:line="276" w:lineRule="auto"/>
        <w:jc w:val="right"/>
      </w:pPr>
      <w:r>
        <w:t>التطبيق مصمم للتعلم الذاتي المستقل، ولا يحتوي على لوحة ويب تفاعلية مخصصة للمعلمين لمراقبة الفصول الدراسية وتعيين الواجهات والتقييم اليدوي.</w:t>
      </w:r>
    </w:p>
    <w:p>
      <w:pPr>
        <w:spacing w:before="240" w:after="120"/>
        <w:jc w:val="right"/>
      </w:pPr>
      <w:r>
        <w:rPr>
          <w:rFonts w:ascii="Arial" w:hAnsi="Arial"/>
          <w:b/>
          <w:color w:val="2B6CB0"/>
          <w:sz w:val="28"/>
        </w:rPr>
        <w:t>8. الخاتمة والأعمال المستقبلية (Conclusion &amp; Future Work)</w:t>
      </w:r>
    </w:p>
    <w:p>
      <w:pPr>
        <w:spacing w:after="120" w:line="276" w:lineRule="auto"/>
        <w:jc w:val="right"/>
      </w:pPr>
      <w:r>
        <w:t>قدم مشروع SpeakFlow نموذجاً هندسياً متكاملاً لمنظومة تعلم لغة إنكليزية متكيفة وذكية. وتشمل الآفاق المستقبلية للمشروع دمج نماذج التعرف الصوتي على أجهزة المحمول مباشرة (On-Device Inference)، دعم منصة iOS، وتطوير لوحة ويب تفاعلية للمعلمين.</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