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E1B4B"/>
          <w:sz w:val="64"/>
          <w:szCs w:val="64"/>
        </w:rPr>
        <w:t>AIM PROTOCOL</w:t>
      </w:r>
    </w:p>
    <w:p>
      <w:pPr>
        <w:pStyle w:val="Normal"/>
        <w:spacing w:before="0" w:after="320"/>
        <w:jc w:val="center"/>
        <w:rPr/>
      </w:pPr>
      <w:r>
        <w:rPr>
          <w:rFonts w:eastAsia="Arial" w:cs="Arial"/>
          <w:color w:val="5B21B6"/>
          <w:spacing w:val="100"/>
          <w:sz w:val="24"/>
          <w:szCs w:val="24"/>
        </w:rPr>
        <w:t>Agri  •  Identity  •  Microfinance</w:t>
      </w:r>
    </w:p>
    <w:p>
      <w:pPr>
        <w:pStyle w:val="Normal"/>
        <w:pBdr>
          <w:bottom w:val="single" w:sz="6" w:space="0" w:color="5B21B6"/>
        </w:pBdr>
        <w:spacing w:before="0" w:after="80"/>
        <w:rPr/>
      </w:pPr>
      <w:r>
        <w:rPr/>
      </w:r>
    </w:p>
    <w:p>
      <w:pPr>
        <w:pStyle w:val="Normal"/>
        <w:spacing w:before="0" w:after="240"/>
        <w:rPr/>
      </w:pPr>
      <w:r>
        <w:rPr/>
      </w:r>
    </w:p>
    <w:p>
      <w:pPr>
        <w:pStyle w:val="Normal"/>
        <w:spacing w:before="0" w:after="80"/>
        <w:jc w:val="center"/>
        <w:rPr/>
      </w:pPr>
      <w:r>
        <w:rPr>
          <w:rFonts w:eastAsia="Arial" w:cs="Arial"/>
          <w:b/>
          <w:bCs/>
          <w:color w:val="1E1B4B"/>
          <w:sz w:val="32"/>
          <w:szCs w:val="32"/>
        </w:rPr>
        <w:t>Version 1.1 — Release Notes &amp; Technical Reference</w:t>
      </w:r>
    </w:p>
    <w:p>
      <w:pPr>
        <w:pStyle w:val="Normal"/>
        <w:jc w:val="center"/>
        <w:rPr/>
      </w:pPr>
      <w:r>
        <w:rPr>
          <w:rFonts w:eastAsia="Arial" w:cs="Arial"/>
          <w:color w:val="6B7280"/>
          <w:sz w:val="22"/>
          <w:szCs w:val="22"/>
        </w:rPr>
        <w:t>Built by Amjad Kamara</w:t>
      </w:r>
    </w:p>
    <w:p>
      <w:pPr>
        <w:pStyle w:val="Normal"/>
        <w:jc w:val="center"/>
        <w:rPr/>
      </w:pPr>
      <w:r>
        <w:rPr>
          <w:rFonts w:eastAsia="Arial" w:cs="Arial"/>
          <w:i/>
          <w:iCs/>
          <w:color w:val="6B7280"/>
          <w:sz w:val="22"/>
          <w:szCs w:val="22"/>
        </w:rPr>
        <w:t>Founder, Aadios Systems (SL) Ltd.  •  Sierra Leone</w:t>
      </w:r>
    </w:p>
    <w:p>
      <w:pPr>
        <w:pStyle w:val="Normal"/>
        <w:spacing w:before="0" w:after="240"/>
        <w:jc w:val="center"/>
        <w:rPr/>
      </w:pPr>
      <w:r>
        <w:rPr>
          <w:rFonts w:eastAsia="Arial" w:cs="Arial"/>
          <w:color w:val="6B7280"/>
          <w:sz w:val="22"/>
          <w:szCs w:val="22"/>
        </w:rPr>
        <w:t>Solana Frontier Hackathon 2026</w:t>
      </w:r>
    </w:p>
    <w:p>
      <w:pPr>
        <w:pStyle w:val="Normal"/>
        <w:spacing w:before="0" w:after="480"/>
        <w:jc w:val="center"/>
        <w:rPr/>
      </w:pPr>
      <w:r>
        <w:rPr>
          <w:rFonts w:eastAsia="Arial" w:cs="Arial"/>
          <w:b/>
          <w:bCs/>
          <w:color w:val="5B21B6"/>
          <w:sz w:val="22"/>
          <w:szCs w:val="22"/>
        </w:rPr>
        <w:t>Live: https://aim-protocol.vercel.app/</w:t>
      </w:r>
    </w:p>
    <w:tbl>
      <w:tblPr>
        <w:tblW w:w="9360" w:type="dxa"/>
        <w:jc w:val="start"/>
        <w:tblInd w:w="0" w:type="dxa"/>
        <w:tblLayout w:type="fixed"/>
        <w:tblCellMar>
          <w:top w:w="80" w:type="dxa"/>
          <w:start w:w="120" w:type="dxa"/>
          <w:bottom w:w="80" w:type="dxa"/>
          <w:end w:w="120" w:type="dxa"/>
        </w:tblCellMar>
      </w:tblPr>
      <w:tblGrid>
        <w:gridCol w:w="2340"/>
        <w:gridCol w:w="7020"/>
      </w:tblGrid>
      <w:tr>
        <w:trPr/>
        <w:tc>
          <w:tcPr>
            <w:tcW w:w="234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
          </w:p>
        </w:tc>
        <w:tc>
          <w:tcPr>
            <w:tcW w:w="702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Status</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66534"/>
                <w:sz w:val="20"/>
                <w:szCs w:val="20"/>
              </w:rPr>
              <w:t>Live on Solana Devnet</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Frontend Repo</w:t>
            </w:r>
          </w:p>
        </w:tc>
        <w:tc>
          <w:tcPr>
            <w:tcW w:w="70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github.com/amjadkamara/aim-protocol</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Smart Contract Repo</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github.com/amjadkamara/aim-program</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Program ID</w:t>
            </w:r>
          </w:p>
        </w:tc>
        <w:tc>
          <w:tcPr>
            <w:tcW w:w="70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AhHHJTu5vodDYE2yLNet2bE6jad9F3xSfbLQdUmykKqB</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Hackathon</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Solana Frontier 2026 — V1.1 Submission</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Network</w:t>
            </w:r>
          </w:p>
        </w:tc>
        <w:tc>
          <w:tcPr>
            <w:tcW w:w="70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Solana Devnet</w:t>
            </w:r>
          </w:p>
        </w:tc>
      </w:tr>
    </w:tbl>
    <w:p>
      <w:pPr>
        <w:pStyle w:val="Normal"/>
        <w:rPr/>
      </w:pPr>
      <w:r>
        <w:rPr/>
        <w:br/>
      </w:r>
    </w:p>
    <w:p>
      <w:pPr>
        <w:pStyle w:val="Heading1"/>
        <w:shd w:val="clear" w:fill="1E1B4B"/>
        <w:spacing w:before="360" w:after="160"/>
        <w:ind w:start="180" w:end="180"/>
        <w:rPr/>
      </w:pPr>
      <w:r>
        <w:rPr>
          <w:rFonts w:eastAsia="Arial" w:cs="Arial" w:ascii="Arial" w:hAnsi="Arial"/>
          <w:b/>
          <w:bCs/>
          <w:color w:val="FFFFFF"/>
          <w:sz w:val="30"/>
          <w:szCs w:val="30"/>
        </w:rPr>
        <w:t>1. Project Overview</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AIM Protocol is a decentralized microfinance platform built on the Solana blockchain. It enables smallholder farmers in Sierra Leone and across Africa to establish a verifiable on-chain identity and access crop-backed microloans — without a bank account, collateral, or paperwork.</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Version 1.1 was built and submitted during the Solana Frontier Hackathon 2026 over approximately four weeks, starting from zero Solana knowledge and completing with a fully deployed application running real smart contracts on Solana devnet.</w:t>
      </w:r>
    </w:p>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1.1  What Was Built</w:t>
      </w:r>
    </w:p>
    <w:p>
      <w:pPr>
        <w:pStyle w:val="ListParagraph"/>
        <w:numPr>
          <w:ilvl w:val="0"/>
          <w:numId w:val="3"/>
        </w:numPr>
        <w:spacing w:before="40" w:after="40"/>
        <w:rPr/>
      </w:pPr>
      <w:r>
        <w:rPr>
          <w:rFonts w:eastAsia="Arial" w:cs="Arial"/>
          <w:color w:val="1F2937"/>
          <w:sz w:val="22"/>
          <w:szCs w:val="22"/>
        </w:rPr>
        <w:t>React + Vite frontend deployed on Vercel at aim-protocol.vercel.app</w:t>
      </w:r>
    </w:p>
    <w:p>
      <w:pPr>
        <w:pStyle w:val="ListParagraph"/>
        <w:numPr>
          <w:ilvl w:val="0"/>
          <w:numId w:val="1"/>
        </w:numPr>
        <w:spacing w:before="40" w:after="40"/>
        <w:rPr/>
      </w:pPr>
      <w:r>
        <w:rPr>
          <w:rFonts w:eastAsia="Arial" w:cs="Arial"/>
          <w:color w:val="1F2937"/>
          <w:sz w:val="22"/>
          <w:szCs w:val="22"/>
        </w:rPr>
        <w:t>Phantom wallet connection via Solana Wallet Adapter</w:t>
      </w:r>
    </w:p>
    <w:p>
      <w:pPr>
        <w:pStyle w:val="ListParagraph"/>
        <w:numPr>
          <w:ilvl w:val="0"/>
          <w:numId w:val="1"/>
        </w:numPr>
        <w:spacing w:before="40" w:after="40"/>
        <w:rPr/>
      </w:pPr>
      <w:r>
        <w:rPr>
          <w:rFonts w:eastAsia="Arial" w:cs="Arial"/>
          <w:color w:val="1F2937"/>
          <w:sz w:val="22"/>
          <w:szCs w:val="22"/>
        </w:rPr>
        <w:t>On-chain Farmer ID registration via an Anchor smart contract — one wallet, one identity</w:t>
      </w:r>
    </w:p>
    <w:p>
      <w:pPr>
        <w:pStyle w:val="ListParagraph"/>
        <w:numPr>
          <w:ilvl w:val="0"/>
          <w:numId w:val="1"/>
        </w:numPr>
        <w:spacing w:before="40" w:after="40"/>
        <w:rPr/>
      </w:pPr>
      <w:r>
        <w:rPr>
          <w:rFonts w:eastAsia="Arial" w:cs="Arial"/>
          <w:color w:val="1F2937"/>
          <w:sz w:val="22"/>
          <w:szCs w:val="22"/>
        </w:rPr>
        <w:t>Crop-backed microloan disbursement gated by verified Farmer ID</w:t>
      </w:r>
    </w:p>
    <w:p>
      <w:pPr>
        <w:pStyle w:val="ListParagraph"/>
        <w:numPr>
          <w:ilvl w:val="0"/>
          <w:numId w:val="1"/>
        </w:numPr>
        <w:spacing w:before="40" w:after="40"/>
        <w:rPr/>
      </w:pPr>
      <w:r>
        <w:rPr>
          <w:rFonts w:eastAsia="Arial" w:cs="Arial"/>
          <w:color w:val="1F2937"/>
          <w:sz w:val="22"/>
          <w:szCs w:val="22"/>
        </w:rPr>
        <w:t>Active loan enforcement — a second loan is blocked while one is open</w:t>
      </w:r>
    </w:p>
    <w:p>
      <w:pPr>
        <w:pStyle w:val="ListParagraph"/>
        <w:numPr>
          <w:ilvl w:val="0"/>
          <w:numId w:val="1"/>
        </w:numPr>
        <w:spacing w:before="40" w:after="40"/>
        <w:rPr/>
      </w:pPr>
      <w:r>
        <w:rPr>
          <w:rFonts w:eastAsia="Arial" w:cs="Arial"/>
          <w:color w:val="1F2937"/>
          <w:sz w:val="22"/>
          <w:szCs w:val="22"/>
        </w:rPr>
        <w:t>Real on-chain transactions fully verifiable on Solana Explorer</w:t>
      </w:r>
    </w:p>
    <w:p>
      <w:pPr>
        <w:pStyle w:val="ListParagraph"/>
        <w:numPr>
          <w:ilvl w:val="0"/>
          <w:numId w:val="1"/>
        </w:numPr>
        <w:spacing w:before="40" w:after="40"/>
        <w:rPr/>
      </w:pPr>
      <w:r>
        <w:rPr>
          <w:rFonts w:eastAsia="Arial" w:cs="Arial"/>
          <w:color w:val="1F2937"/>
          <w:sz w:val="22"/>
          <w:szCs w:val="22"/>
        </w:rPr>
        <w:t>Professional UI with persistent layout, stats bar, and CTA sections</w:t>
      </w:r>
    </w:p>
    <w:p>
      <w:pPr>
        <w:pStyle w:val="Normal"/>
        <w:spacing w:before="0" w:after="200"/>
        <w:rPr/>
      </w:pPr>
      <w:r>
        <w:rPr/>
      </w:r>
    </w:p>
    <w:p>
      <w:pPr>
        <w:pStyle w:val="Heading1"/>
        <w:shd w:val="clear" w:fill="1E1B4B"/>
        <w:spacing w:before="360" w:after="160"/>
        <w:ind w:start="180" w:end="180"/>
        <w:rPr/>
      </w:pPr>
      <w:r>
        <w:rPr>
          <w:rFonts w:eastAsia="Arial" w:cs="Arial" w:ascii="Arial" w:hAnsi="Arial"/>
          <w:b/>
          <w:bCs/>
          <w:color w:val="FFFFFF"/>
          <w:sz w:val="30"/>
          <w:szCs w:val="30"/>
        </w:rPr>
        <w:t>2. The Problem AIM Protocol Solves</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Bo, Sierra Leone was once surrounded by productive farmland that fed the city at affordable prices. Today those farms are largely idle — not because farmers stopped wanting to farm, but because without access to affordable credit they cannot invest in quality seeds, fertiliser, or equipment at the start of each planting season.</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Poor yields make farming look unprofitable compared to urban wages. The younger generation leaves for cities. Traders travel further into the interior to source food, adding transport costs to every market item. The result: a region surrounded by farmland paying elevated prices for food that should be local and inexpensive.</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The root cause is a credit gap. Traditional lenders require collateral that smallholder farmers do not have, application processes that take weeks, and interest rates of 30-60% annually — terms that make agricultural investment economically unviable.</w:t>
      </w:r>
    </w:p>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2.1  How Blockchain Addresses This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Traditional Barrier</w:t>
            </w:r>
          </w:p>
        </w:tc>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AIM Protocol Solution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Bank account required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Wallet address is the identity — anyone with a smartphone can participate</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Collateral documentation</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On-chain Farmer ID replaces collateral — identity is the credential</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Loan officer approval (weeks)</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Smart contract enforces rules automatically — loan issued in minutes</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No credit history</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Every transaction recorded permanently on-chain — credit record builds over time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High fixed fees</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Solana transaction costs under $0.001 — sub-$500 loans are economically viable</w:t>
            </w:r>
          </w:p>
        </w:tc>
      </w:tr>
    </w:tbl>
    <w:p>
      <w:pPr>
        <w:pStyle w:val="Normal"/>
        <w:rPr/>
      </w:pPr>
      <w:r>
        <w:rPr/>
        <w:br/>
      </w:r>
    </w:p>
    <w:p>
      <w:pPr>
        <w:pStyle w:val="Heading1"/>
        <w:shd w:val="clear" w:fill="1E1B4B"/>
        <w:spacing w:before="360" w:after="160"/>
        <w:ind w:start="180" w:end="180"/>
        <w:rPr/>
      </w:pPr>
      <w:r>
        <w:rPr>
          <w:rFonts w:eastAsia="Arial" w:cs="Arial" w:ascii="Arial" w:hAnsi="Arial"/>
          <w:b/>
          <w:bCs/>
          <w:color w:val="FFFFFF"/>
          <w:sz w:val="30"/>
          <w:szCs w:val="30"/>
        </w:rPr>
        <w:t>3. Technology Stack</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3.1  Frontend</w:t>
      </w:r>
    </w:p>
    <w:tbl>
      <w:tblPr>
        <w:tblW w:w="9360" w:type="dxa"/>
        <w:jc w:val="start"/>
        <w:tblInd w:w="0" w:type="dxa"/>
        <w:tblLayout w:type="fixed"/>
        <w:tblCellMar>
          <w:top w:w="80" w:type="dxa"/>
          <w:start w:w="120" w:type="dxa"/>
          <w:bottom w:w="80" w:type="dxa"/>
          <w:end w:w="120" w:type="dxa"/>
        </w:tblCellMar>
      </w:tblPr>
      <w:tblGrid>
        <w:gridCol w:w="3119"/>
        <w:gridCol w:w="6241"/>
      </w:tblGrid>
      <w:tr>
        <w:trPr/>
        <w:tc>
          <w:tcPr>
            <w:tcW w:w="3119"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Technology</w:t>
            </w:r>
          </w:p>
        </w:tc>
        <w:tc>
          <w:tcPr>
            <w:tcW w:w="6241"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Version / Notes</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React</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JavaScript UI framework — component-based architecture</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Vite</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Build tool and development server — fast hot module replacement</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Tailwind CSS</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v4 — utility-first CSS framework, configured via Vite plugin</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Lucide React</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Icon library</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Solana Wallet Adapter</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React library for Phantom wallet connection and state management</w:t>
            </w:r>
          </w:p>
        </w:tc>
      </w:tr>
    </w:tbl>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3.2  Blockchain / Smart Contract</w:t>
      </w:r>
    </w:p>
    <w:tbl>
      <w:tblPr>
        <w:tblW w:w="9360" w:type="dxa"/>
        <w:jc w:val="start"/>
        <w:tblInd w:w="0" w:type="dxa"/>
        <w:tblLayout w:type="fixed"/>
        <w:tblCellMar>
          <w:top w:w="80" w:type="dxa"/>
          <w:start w:w="120" w:type="dxa"/>
          <w:bottom w:w="80" w:type="dxa"/>
          <w:end w:w="120" w:type="dxa"/>
        </w:tblCellMar>
      </w:tblPr>
      <w:tblGrid>
        <w:gridCol w:w="3119"/>
        <w:gridCol w:w="6241"/>
      </w:tblGrid>
      <w:tr>
        <w:trPr/>
        <w:tc>
          <w:tcPr>
            <w:tcW w:w="3119"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Technology</w:t>
            </w:r>
          </w:p>
        </w:tc>
        <w:tc>
          <w:tcPr>
            <w:tcW w:w="6241"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Version / Notes</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Solana</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Blockchain — high throughput, sub-cent transaction costs</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Rust</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Smart contract language — compiled to BPF bytecode for Solana runtime</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Anchor Framework</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0.31.1 — structured smart contract development for Solana</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@coral-xyz/anchor</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JavaScript/TypeScript client for interacting with Anchor programs</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Solana Web3.js</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Low-level JavaScript library for Solana RPC interactions</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Phantom Wallet</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Browser extension wallet — devnet and mainnet</w:t>
            </w:r>
          </w:p>
        </w:tc>
      </w:tr>
    </w:tbl>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3.3  Infrastructure</w:t>
      </w:r>
    </w:p>
    <w:tbl>
      <w:tblPr>
        <w:tblW w:w="9360" w:type="dxa"/>
        <w:jc w:val="start"/>
        <w:tblInd w:w="0" w:type="dxa"/>
        <w:tblLayout w:type="fixed"/>
        <w:tblCellMar>
          <w:top w:w="80" w:type="dxa"/>
          <w:start w:w="120" w:type="dxa"/>
          <w:bottom w:w="80" w:type="dxa"/>
          <w:end w:w="120" w:type="dxa"/>
        </w:tblCellMar>
      </w:tblPr>
      <w:tblGrid>
        <w:gridCol w:w="3119"/>
        <w:gridCol w:w="6241"/>
      </w:tblGrid>
      <w:tr>
        <w:trPr/>
        <w:tc>
          <w:tcPr>
            <w:tcW w:w="3119"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Tool</w:t>
            </w:r>
          </w:p>
        </w:tc>
        <w:tc>
          <w:tcPr>
            <w:tcW w:w="6241"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Purpose</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Vercel</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Frontend hosting — auto-deploys from GitHub on every push</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Solana Devnet</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Test network — real smart contract behaviour, no financial risk</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GitHub</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Two repositories: aim-protocol (frontend), aim-program (smart contract)</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WSL Ubuntu</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Linux environment on Windows — required for Solana CLI and Anchor toolchain</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VS Code</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Development environment</w:t>
            </w:r>
          </w:p>
        </w:tc>
      </w:tr>
    </w:tbl>
    <w:p>
      <w:pPr>
        <w:pStyle w:val="Normal"/>
        <w:rPr/>
      </w:pPr>
      <w:r>
        <w:rPr/>
        <w:br/>
      </w:r>
    </w:p>
    <w:p>
      <w:pPr>
        <w:pStyle w:val="Heading1"/>
        <w:shd w:val="clear" w:fill="1E1B4B"/>
        <w:spacing w:before="360" w:after="160"/>
        <w:ind w:start="180" w:end="180"/>
        <w:rPr/>
      </w:pPr>
      <w:r>
        <w:rPr>
          <w:rFonts w:eastAsia="Arial" w:cs="Arial" w:ascii="Arial" w:hAnsi="Arial"/>
          <w:b/>
          <w:bCs/>
          <w:color w:val="FFFFFF"/>
          <w:sz w:val="30"/>
          <w:szCs w:val="30"/>
        </w:rPr>
        <w:t>4. Smart Contract — Rust + Anchor</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The smart contract is the trust layer of AIM Protocol. Deployed on Solana devnet, it enforces all business rules automatically — no human intermediary required. Once deployed, its logic cannot be changed without redeployment under a new Program ID.</w:t>
      </w:r>
    </w:p>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4.1  Program Instructions</w:t>
      </w:r>
    </w:p>
    <w:tbl>
      <w:tblPr>
        <w:tblW w:w="9360" w:type="dxa"/>
        <w:jc w:val="start"/>
        <w:tblInd w:w="0" w:type="dxa"/>
        <w:tblLayout w:type="fixed"/>
        <w:tblCellMar>
          <w:top w:w="80" w:type="dxa"/>
          <w:start w:w="120" w:type="dxa"/>
          <w:bottom w:w="80" w:type="dxa"/>
          <w:end w:w="120" w:type="dxa"/>
        </w:tblCellMar>
      </w:tblPr>
      <w:tblGrid>
        <w:gridCol w:w="2340"/>
        <w:gridCol w:w="4680"/>
        <w:gridCol w:w="2340"/>
      </w:tblGrid>
      <w:tr>
        <w:trPr/>
        <w:tc>
          <w:tcPr>
            <w:tcW w:w="234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Instruction</w:t>
            </w:r>
          </w:p>
        </w:tc>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Description</w:t>
            </w:r>
          </w:p>
        </w:tc>
        <w:tc>
          <w:tcPr>
            <w:tcW w:w="234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Key Constraint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create_farmer_id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Creates a FarmerAccount storing: owner wallet, full name, crop type, district, farm size, loan status, registration timestamp</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One registration per wallet — duplicate attempts fail</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request_loan</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Creates a LoanAccount storing: amount, purpose, repayment weeks, status, timestamp</w:t>
            </w:r>
          </w:p>
        </w:tc>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ActiveLoanExists error returned if farmer already has an open loan</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repay_loan</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Marks loan as repaid and clears the farmer's active loan flag</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Farmer becomes eligible to borrow again immediately</w:t>
            </w:r>
          </w:p>
        </w:tc>
      </w:tr>
    </w:tbl>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4.2  Account Structures</w:t>
      </w:r>
    </w:p>
    <w:tbl>
      <w:tblPr>
        <w:tblW w:w="9360" w:type="dxa"/>
        <w:jc w:val="start"/>
        <w:tblInd w:w="0" w:type="dxa"/>
        <w:tblLayout w:type="fixed"/>
        <w:tblCellMar>
          <w:top w:w="80" w:type="dxa"/>
          <w:start w:w="120" w:type="dxa"/>
          <w:bottom w:w="80" w:type="dxa"/>
          <w:end w:w="120" w:type="dxa"/>
        </w:tblCellMar>
      </w:tblPr>
      <w:tblGrid>
        <w:gridCol w:w="2340"/>
        <w:gridCol w:w="7020"/>
      </w:tblGrid>
      <w:tr>
        <w:trPr/>
        <w:tc>
          <w:tcPr>
            <w:tcW w:w="234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Account</w:t>
            </w:r>
          </w:p>
        </w:tc>
        <w:tc>
          <w:tcPr>
            <w:tcW w:w="702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Fields Stored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FarmerAccount</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owner (Pubkey), full_name, crop_type, district, farm_size (f64), has_active_loan (bool), created_at (i64)</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LoanAccount</w:t>
            </w:r>
          </w:p>
        </w:tc>
        <w:tc>
          <w:tcPr>
            <w:tcW w:w="70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farmer (Pubkey), amount (u64 lamports), purpose, repayment_weeks, is_repaid (bool), created_at (i64)</w:t>
            </w:r>
          </w:p>
        </w:tc>
      </w:tr>
    </w:tbl>
    <w:p>
      <w:pPr>
        <w:pStyle w:val="Normal"/>
        <w:spacing w:before="0" w:after="160"/>
        <w:rPr/>
      </w:pPr>
      <w:r>
        <w:rPr/>
      </w:r>
    </w:p>
    <w:tbl>
      <w:tblPr>
        <w:tblW w:w="9360" w:type="dxa"/>
        <w:jc w:val="start"/>
        <w:tblInd w:w="0" w:type="dxa"/>
        <w:tblLayout w:type="fixed"/>
        <w:tblCellMar>
          <w:top w:w="0" w:type="dxa"/>
          <w:start w:w="108" w:type="dxa"/>
          <w:bottom w:w="0" w:type="dxa"/>
          <w:end w:w="108" w:type="dxa"/>
        </w:tblCellMar>
      </w:tblPr>
      <w:tblGrid>
        <w:gridCol w:w="179"/>
        <w:gridCol w:w="9181"/>
      </w:tblGrid>
      <w:tr>
        <w:trPr/>
        <w:tc>
          <w:tcPr>
            <w:tcW w:w="179" w:type="dxa"/>
            <w:tcBorders/>
            <w:shd w:fill="5B21B6" w:val="clear"/>
          </w:tcPr>
          <w:p>
            <w:pPr>
              <w:pStyle w:val="Normal"/>
              <w:rPr/>
            </w:pPr>
            <w:r>
              <w:rPr/>
            </w:r>
          </w:p>
        </w:tc>
        <w:tc>
          <w:tcPr>
            <w:tcW w:w="9181" w:type="dxa"/>
            <w:tcBorders>
              <w:top w:val="single" w:sz="2" w:space="0" w:color="CCCCCC"/>
              <w:start w:val="single" w:sz="2" w:space="0" w:color="CCCCCC"/>
              <w:bottom w:val="single" w:sz="2" w:space="0" w:color="CCCCCC"/>
              <w:end w:val="single" w:sz="2" w:space="0" w:color="CCCCCC"/>
            </w:tcBorders>
            <w:shd w:fill="F5F3FF" w:val="clear"/>
            <w:tcMar>
              <w:top w:w="80" w:type="dxa"/>
              <w:start w:w="180" w:type="dxa"/>
              <w:bottom w:w="80" w:type="dxa"/>
              <w:end w:w="180" w:type="dxa"/>
            </w:tcMar>
          </w:tcPr>
          <w:p>
            <w:pPr>
              <w:pStyle w:val="Normal"/>
              <w:rPr/>
            </w:pPr>
            <w:r>
              <w:rPr>
                <w:rFonts w:eastAsia="Arial" w:cs="Arial"/>
                <w:b/>
                <w:bCs/>
                <w:i w:val="false"/>
                <w:iCs w:val="false"/>
                <w:color w:val="1F2937"/>
                <w:sz w:val="21"/>
                <w:szCs w:val="21"/>
              </w:rPr>
              <w:t>V1.1 Limitation — Keypair-Based Accounts:</w:t>
            </w:r>
          </w:p>
        </w:tc>
      </w:tr>
      <w:tr>
        <w:trPr/>
        <w:tc>
          <w:tcPr>
            <w:tcW w:w="179" w:type="dxa"/>
            <w:tcBorders/>
            <w:shd w:fill="5B21B6" w:val="clear"/>
          </w:tcPr>
          <w:p>
            <w:pPr>
              <w:pStyle w:val="Normal"/>
              <w:rPr/>
            </w:pPr>
            <w:r>
              <w:rPr/>
            </w:r>
          </w:p>
        </w:tc>
        <w:tc>
          <w:tcPr>
            <w:tcW w:w="9181" w:type="dxa"/>
            <w:tcBorders>
              <w:top w:val="single" w:sz="2" w:space="0" w:color="CCCCCC"/>
              <w:start w:val="single" w:sz="2" w:space="0" w:color="CCCCCC"/>
              <w:bottom w:val="single" w:sz="2" w:space="0" w:color="CCCCCC"/>
              <w:end w:val="single" w:sz="2" w:space="0" w:color="CCCCCC"/>
            </w:tcBorders>
            <w:shd w:fill="F5F3FF" w:val="clear"/>
            <w:tcMar>
              <w:top w:w="80" w:type="dxa"/>
              <w:start w:w="180" w:type="dxa"/>
              <w:bottom w:w="80" w:type="dxa"/>
              <w:end w:w="180" w:type="dxa"/>
            </w:tcMar>
          </w:tcPr>
          <w:p>
            <w:pPr>
              <w:pStyle w:val="Normal"/>
              <w:rPr/>
            </w:pPr>
            <w:r>
              <w:rPr>
                <w:rFonts w:eastAsia="Arial" w:cs="Arial"/>
                <w:b w:val="false"/>
                <w:bCs w:val="false"/>
                <w:i w:val="false"/>
                <w:iCs w:val="false"/>
                <w:color w:val="1F2937"/>
                <w:sz w:val="21"/>
                <w:szCs w:val="21"/>
              </w:rPr>
              <w:t>In V1.1, farmer and loan accounts were created using randomly generated keypairs rather than Program Derived Addresses (PDAs). This meant the frontend had to generate and store a keypair locally, which was fragile and insecure. V2.1 replaced this entirely with PDA enforcement — one wallet deterministically maps to one FarmerAccount.</w:t>
            </w:r>
          </w:p>
        </w:tc>
      </w:tr>
    </w:tbl>
    <w:p>
      <w:pPr>
        <w:pStyle w:val="Normal"/>
        <w:rPr/>
      </w:pPr>
      <w:r>
        <w:rPr/>
        <w:br/>
      </w:r>
    </w:p>
    <w:p>
      <w:pPr>
        <w:pStyle w:val="Heading1"/>
        <w:shd w:val="clear" w:fill="1E1B4B"/>
        <w:spacing w:before="360" w:after="160"/>
        <w:ind w:start="180" w:end="180"/>
        <w:rPr/>
      </w:pPr>
      <w:r>
        <w:rPr>
          <w:rFonts w:eastAsia="Arial" w:cs="Arial" w:ascii="Arial" w:hAnsi="Arial"/>
          <w:b/>
          <w:bCs/>
          <w:color w:val="FFFFFF"/>
          <w:sz w:val="30"/>
          <w:szCs w:val="30"/>
        </w:rPr>
        <w:t>5. Frontend Architecture</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5.1  Component Structure</w:t>
      </w:r>
    </w:p>
    <w:tbl>
      <w:tblPr>
        <w:tblW w:w="9360" w:type="dxa"/>
        <w:jc w:val="start"/>
        <w:tblInd w:w="0" w:type="dxa"/>
        <w:tblLayout w:type="fixed"/>
        <w:tblCellMar>
          <w:top w:w="80" w:type="dxa"/>
          <w:start w:w="120" w:type="dxa"/>
          <w:bottom w:w="80" w:type="dxa"/>
          <w:end w:w="120" w:type="dxa"/>
        </w:tblCellMar>
      </w:tblPr>
      <w:tblGrid>
        <w:gridCol w:w="3119"/>
        <w:gridCol w:w="6241"/>
      </w:tblGrid>
      <w:tr>
        <w:trPr/>
        <w:tc>
          <w:tcPr>
            <w:tcW w:w="3119"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File</w:t>
            </w:r>
          </w:p>
        </w:tc>
        <w:tc>
          <w:tcPr>
            <w:tcW w:w="6241"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Purpose</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src/main.jsx</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Entry point — wraps app in ConnectionProvider, WalletProvider, WalletModalProvider</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src/App.jsx</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Page routing via React state (home, farmerid, microloan)</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src/Layout.jsx</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Persistent navbar and footer wrapper — renders across all pages</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src/FarmerID.jsx</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Farmer ID registration form and success screen</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src/Microloan.jsx</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Microloan request form, approval, and active loan state</w:t>
            </w:r>
          </w:p>
        </w:tc>
      </w:tr>
      <w:tr>
        <w:trPr/>
        <w:tc>
          <w:tcPr>
            <w:tcW w:w="311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src/useAimProgram.js</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Custom hook — AnchorProvider setup, createFarmerID and requestLoan functions</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src/idl/aim_program.json</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Anchor-generated IDL — bridge between JavaScript frontend and Rust contract</w:t>
            </w:r>
          </w:p>
        </w:tc>
      </w:tr>
    </w:tbl>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5.2  Wallet Integration</w:t>
      </w:r>
    </w:p>
    <w:p>
      <w:pPr>
        <w:pStyle w:val="Normal"/>
        <w:spacing w:before="60" w:after="60"/>
        <w:jc w:val="start"/>
        <w:rPr/>
      </w:pPr>
      <w:r>
        <w:rPr>
          <w:rFonts w:eastAsia="Arial" w:cs="Arial"/>
          <w:b w:val="false"/>
          <w:bCs w:val="false"/>
          <w:i w:val="false"/>
          <w:iCs w:val="false"/>
          <w:color w:val="1F2937"/>
          <w:sz w:val="22"/>
          <w:szCs w:val="22"/>
        </w:rPr>
        <w:t>The Solana Wallet Adapter library manages wallet connection state. Three providers wrap the application in main.jsx: ConnectionProvider (RPC endpoint), WalletProvider (wallet state), and WalletModalProvider (wallet selection modal). The useWallet hook exposes connected, publicKey, and signTransaction throughout all components.</w:t>
      </w:r>
    </w:p>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5.3  Smart Contract Integration</w:t>
      </w:r>
    </w:p>
    <w:p>
      <w:pPr>
        <w:pStyle w:val="Normal"/>
        <w:spacing w:before="60" w:after="60"/>
        <w:jc w:val="start"/>
        <w:rPr/>
      </w:pPr>
      <w:r>
        <w:rPr>
          <w:rFonts w:eastAsia="Arial" w:cs="Arial"/>
          <w:b w:val="false"/>
          <w:bCs w:val="false"/>
          <w:i w:val="false"/>
          <w:iCs w:val="false"/>
          <w:color w:val="1F2937"/>
          <w:sz w:val="22"/>
          <w:szCs w:val="22"/>
        </w:rPr>
        <w:t>A custom hook (useAimProgram.js) creates an AnchorProvider from the live RPC connection and connected wallet, then instantiates the Program using the deployed IDL and Program ID. This exposes createFarmerID() and requestLoan() as async functions that build, sign, and submit Anchor transactions via Phantom.</w:t>
      </w:r>
    </w:p>
    <w:p>
      <w:pPr>
        <w:pStyle w:val="Normal"/>
        <w:rPr/>
      </w:pPr>
      <w:r>
        <w:rPr/>
        <w:br/>
      </w:r>
    </w:p>
    <w:p>
      <w:pPr>
        <w:pStyle w:val="Heading1"/>
        <w:shd w:val="clear" w:fill="1E1B4B"/>
        <w:spacing w:before="360" w:after="160"/>
        <w:ind w:start="180" w:end="180"/>
        <w:rPr/>
      </w:pPr>
      <w:r>
        <w:rPr>
          <w:rFonts w:eastAsia="Arial" w:cs="Arial" w:ascii="Arial" w:hAnsi="Arial"/>
          <w:b/>
          <w:bCs/>
          <w:color w:val="FFFFFF"/>
          <w:sz w:val="30"/>
          <w:szCs w:val="30"/>
        </w:rPr>
        <w:t>6. The Full User Flow</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779"/>
        <w:gridCol w:w="4680"/>
        <w:gridCol w:w="3901"/>
      </w:tblGrid>
      <w:tr>
        <w:trPr/>
        <w:tc>
          <w:tcPr>
            <w:tcW w:w="779"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Step</w:t>
            </w:r>
          </w:p>
        </w:tc>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Action</w:t>
            </w:r>
          </w:p>
        </w:tc>
        <w:tc>
          <w:tcPr>
            <w:tcW w:w="3901"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On-Chain Result</w:t>
            </w:r>
          </w:p>
        </w:tc>
      </w:tr>
      <w:tr>
        <w:trPr/>
        <w:tc>
          <w:tcPr>
            <w:tcW w:w="77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1</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User visits aim-protocol.vercel.app and connects Phantom wallet</w:t>
            </w:r>
          </w:p>
        </w:tc>
        <w:tc>
          <w:tcPr>
            <w:tcW w:w="39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Wallet public key available to application — no on-chain action</w:t>
            </w:r>
          </w:p>
        </w:tc>
      </w:tr>
      <w:tr>
        <w:trPr/>
        <w:tc>
          <w:tcPr>
            <w:tcW w:w="77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2</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User fills Farmer ID form (name, crop, district, farm size) and submits</w:t>
            </w:r>
          </w:p>
        </w:tc>
        <w:tc>
          <w:tcPr>
            <w:tcW w:w="390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FarmerAccount created on Solana devnet — transaction verifiable on Explorer</w:t>
            </w:r>
          </w:p>
        </w:tc>
      </w:tr>
      <w:tr>
        <w:trPr/>
        <w:tc>
          <w:tcPr>
            <w:tcW w:w="77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3</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User fills microloan request (purpose, amount, repayment period) and submits</w:t>
            </w:r>
          </w:p>
        </w:tc>
        <w:tc>
          <w:tcPr>
            <w:tcW w:w="39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LoanAccount created — has_active_loan set to true on FarmerAccount</w:t>
            </w:r>
          </w:p>
        </w:tc>
      </w:tr>
      <w:tr>
        <w:trPr/>
        <w:tc>
          <w:tcPr>
            <w:tcW w:w="77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4</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User attempts second loan while first is active</w:t>
            </w:r>
          </w:p>
        </w:tc>
        <w:tc>
          <w:tcPr>
            <w:tcW w:w="390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Smart contract returns ActiveLoanExists error — frontend displays plain English message</w:t>
            </w:r>
          </w:p>
        </w:tc>
      </w:tr>
      <w:tr>
        <w:trPr/>
        <w:tc>
          <w:tcPr>
            <w:tcW w:w="77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5</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User repays loan</w:t>
            </w:r>
          </w:p>
        </w:tc>
        <w:tc>
          <w:tcPr>
            <w:tcW w:w="39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LoanAccount marked repaid — has_active_loan cleared — farmer eligible to re-borrow</w:t>
            </w:r>
          </w:p>
        </w:tc>
      </w:tr>
    </w:tbl>
    <w:p>
      <w:pPr>
        <w:pStyle w:val="Normal"/>
        <w:spacing w:before="0" w:after="200"/>
        <w:rPr/>
      </w:pPr>
      <w:r>
        <w:rPr/>
      </w:r>
    </w:p>
    <w:p>
      <w:pPr>
        <w:pStyle w:val="Heading1"/>
        <w:shd w:val="clear" w:fill="1E1B4B"/>
        <w:spacing w:before="360" w:after="160"/>
        <w:ind w:start="180" w:end="180"/>
        <w:rPr/>
      </w:pPr>
      <w:r>
        <w:rPr>
          <w:rFonts w:eastAsia="Arial" w:cs="Arial" w:ascii="Arial" w:hAnsi="Arial"/>
          <w:b/>
          <w:bCs/>
          <w:color w:val="FFFFFF"/>
          <w:sz w:val="30"/>
          <w:szCs w:val="30"/>
        </w:rPr>
        <w:t>7. Deployment</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560"/>
        <w:gridCol w:w="1559"/>
        <w:gridCol w:w="6241"/>
      </w:tblGrid>
      <w:tr>
        <w:trPr/>
        <w:tc>
          <w:tcPr>
            <w:tcW w:w="156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Component</w:t>
            </w:r>
          </w:p>
        </w:tc>
        <w:tc>
          <w:tcPr>
            <w:tcW w:w="1559"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Platform</w:t>
            </w:r>
          </w:p>
        </w:tc>
        <w:tc>
          <w:tcPr>
            <w:tcW w:w="6241"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Details</w:t>
            </w:r>
          </w:p>
        </w:tc>
      </w:tr>
      <w:tr>
        <w:trPr/>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Frontend</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Vercel</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Auto-deploys from GitHub main branch on every push. Live at aim-protocol.vercel.app within 2 minutes of each commit.</w:t>
            </w:r>
          </w:p>
        </w:tc>
      </w:tr>
      <w:tr>
        <w:trPr/>
        <w:tc>
          <w:tcPr>
            <w:tcW w:w="156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Smart Contract</w:t>
            </w:r>
          </w:p>
        </w:tc>
        <w:tc>
          <w:tcPr>
            <w:tcW w:w="155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Solana Devnet</w:t>
            </w:r>
          </w:p>
        </w:tc>
        <w:tc>
          <w:tcPr>
            <w:tcW w:w="624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Program ID: AhHHJTu5vodDYE2yLNet2bE6jad9F3xSfbLQdUmykKqB. Deployed via Anchor CLI from WSL Ubuntu.</w:t>
            </w:r>
          </w:p>
        </w:tc>
      </w:tr>
      <w:tr>
        <w:trPr/>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IDL</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Bundled with frontend</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aim_program.json generated by anchor build — copied to src/idl/ and committed to the frontend repository.</w:t>
            </w:r>
          </w:p>
        </w:tc>
      </w:tr>
    </w:tbl>
    <w:p>
      <w:pPr>
        <w:pStyle w:val="Normal"/>
        <w:spacing w:before="0" w:after="200"/>
        <w:rPr/>
      </w:pPr>
      <w:r>
        <w:rPr/>
      </w:r>
    </w:p>
    <w:p>
      <w:pPr>
        <w:pStyle w:val="Heading1"/>
        <w:shd w:val="clear" w:fill="1E1B4B"/>
        <w:spacing w:before="360" w:after="160"/>
        <w:ind w:start="180" w:end="180"/>
        <w:rPr/>
      </w:pPr>
      <w:r>
        <w:rPr>
          <w:rFonts w:eastAsia="Arial" w:cs="Arial" w:ascii="Arial" w:hAnsi="Arial"/>
          <w:b/>
          <w:bCs/>
          <w:color w:val="FFFFFF"/>
          <w:sz w:val="30"/>
          <w:szCs w:val="30"/>
        </w:rPr>
        <w:t>8. Repository Structure</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340"/>
        <w:gridCol w:w="5459"/>
        <w:gridCol w:w="1561"/>
      </w:tblGrid>
      <w:tr>
        <w:trPr/>
        <w:tc>
          <w:tcPr>
            <w:tcW w:w="234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Repository</w:t>
            </w:r>
          </w:p>
        </w:tc>
        <w:tc>
          <w:tcPr>
            <w:tcW w:w="5459"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Contents</w:t>
            </w:r>
          </w:p>
        </w:tc>
        <w:tc>
          <w:tcPr>
            <w:tcW w:w="1561"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Deployment Target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aim-protocol</w:t>
            </w:r>
          </w:p>
        </w:tc>
        <w:tc>
          <w:tcPr>
            <w:tcW w:w="54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React + Vite frontend — all UI components, wallet integration, useAimProgram hook, IDL</w:t>
            </w:r>
          </w:p>
        </w:tc>
        <w:tc>
          <w:tcPr>
            <w:tcW w:w="1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Vercel</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aim-program</w:t>
            </w:r>
          </w:p>
        </w:tc>
        <w:tc>
          <w:tcPr>
            <w:tcW w:w="545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Rust + Anchor smart contract — lib.rs, Anchor.toml, Cargo.toml, test suite</w:t>
            </w:r>
          </w:p>
        </w:tc>
        <w:tc>
          <w:tcPr>
            <w:tcW w:w="156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Solana Devnet</w:t>
            </w:r>
          </w:p>
        </w:tc>
      </w:tr>
    </w:tbl>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Separating frontend and smart contract into distinct repositories is standard practice in Web3 development. The two components have different deployment targets, different build toolchains, and different development cycles. The IDL file serves as the shared interface between them.</w:t>
      </w:r>
    </w:p>
    <w:p>
      <w:pPr>
        <w:pStyle w:val="Normal"/>
        <w:spacing w:before="0" w:after="200"/>
        <w:rPr/>
      </w:pPr>
      <w:r>
        <w:rPr/>
      </w:r>
    </w:p>
    <w:p>
      <w:pPr>
        <w:pStyle w:val="Heading1"/>
        <w:shd w:val="clear" w:fill="1E1B4B"/>
        <w:spacing w:before="360" w:after="160"/>
        <w:ind w:start="180" w:end="180"/>
        <w:rPr/>
      </w:pPr>
      <w:r>
        <w:rPr>
          <w:rFonts w:eastAsia="Arial" w:cs="Arial" w:ascii="Arial" w:hAnsi="Arial"/>
          <w:b/>
          <w:bCs/>
          <w:color w:val="FFFFFF"/>
          <w:sz w:val="30"/>
          <w:szCs w:val="30"/>
        </w:rPr>
        <w:t>9. Known Limitations in V1.1</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730"/>
        <w:gridCol w:w="3239"/>
        <w:gridCol w:w="3391"/>
      </w:tblGrid>
      <w:tr>
        <w:trPr/>
        <w:tc>
          <w:tcPr>
            <w:tcW w:w="273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Limitation</w:t>
            </w:r>
          </w:p>
        </w:tc>
        <w:tc>
          <w:tcPr>
            <w:tcW w:w="3239"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Impact</w:t>
            </w:r>
          </w:p>
        </w:tc>
        <w:tc>
          <w:tcPr>
            <w:tcW w:w="3391"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Resolution in V2.x</w:t>
            </w:r>
          </w:p>
        </w:tc>
      </w:tr>
      <w:tr>
        <w:trPr/>
        <w:tc>
          <w:tcPr>
            <w:tcW w:w="2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Keypair-based accounts — not PDAs</w:t>
            </w:r>
          </w:p>
        </w:tc>
        <w:tc>
          <w:tcPr>
            <w:tcW w:w="32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Frontend stored keypairs locally — fragile, insecure, no duplicate prevention</w:t>
            </w:r>
          </w:p>
        </w:tc>
        <w:tc>
          <w:tcPr>
            <w:tcW w:w="339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V2.1 — PDA enforcement throughout</w:t>
            </w:r>
          </w:p>
        </w:tc>
      </w:tr>
      <w:tr>
        <w:trPr/>
        <w:tc>
          <w:tcPr>
            <w:tcW w:w="273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No loan repayment UI</w:t>
            </w:r>
          </w:p>
        </w:tc>
        <w:tc>
          <w:tcPr>
            <w:tcW w:w="323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Farmers could not close loans or re-borrow</w:t>
            </w:r>
          </w:p>
        </w:tc>
        <w:tc>
          <w:tcPr>
            <w:tcW w:w="339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V2.1 — RepayLoan screen with full lifecycle</w:t>
            </w:r>
          </w:p>
        </w:tc>
      </w:tr>
      <w:tr>
        <w:trPr/>
        <w:tc>
          <w:tcPr>
            <w:tcW w:w="2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Repaid loan PDA blocked re-borrowing</w:t>
            </w:r>
          </w:p>
        </w:tc>
        <w:tc>
          <w:tcPr>
            <w:tcW w:w="32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Critical bug — loan cycle broken after first repayment</w:t>
            </w:r>
          </w:p>
        </w:tc>
        <w:tc>
          <w:tcPr>
            <w:tcW w:w="339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V2.1 — close constraint on repayment frees PDA</w:t>
            </w:r>
          </w:p>
        </w:tc>
      </w:tr>
      <w:tr>
        <w:trPr/>
        <w:tc>
          <w:tcPr>
            <w:tcW w:w="273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Raw Solana errors shown to users</w:t>
            </w:r>
          </w:p>
        </w:tc>
        <w:tc>
          <w:tcPr>
            <w:tcW w:w="323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custom program error: 0x0 — meaningless to farmers</w:t>
            </w:r>
          </w:p>
        </w:tc>
        <w:tc>
          <w:tcPr>
            <w:tcW w:w="339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V2.1 — parseAnchorError() helper with plain English</w:t>
            </w:r>
          </w:p>
        </w:tc>
      </w:tr>
      <w:tr>
        <w:trPr/>
        <w:tc>
          <w:tcPr>
            <w:tcW w:w="2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No loan status visibility</w:t>
            </w:r>
          </w:p>
        </w:tc>
        <w:tc>
          <w:tcPr>
            <w:tcW w:w="32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Farmers had no dashboard to track position</w:t>
            </w:r>
          </w:p>
        </w:tc>
        <w:tc>
          <w:tcPr>
            <w:tcW w:w="339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V2.1 — Loan Status Dashboard</w:t>
            </w:r>
          </w:p>
        </w:tc>
      </w:tr>
      <w:tr>
        <w:trPr/>
        <w:tc>
          <w:tcPr>
            <w:tcW w:w="273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No loan history</w:t>
            </w:r>
          </w:p>
        </w:tc>
        <w:tc>
          <w:tcPr>
            <w:tcW w:w="3239"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No borrowing record — core fintech requirement</w:t>
            </w:r>
          </w:p>
        </w:tc>
        <w:tc>
          <w:tcPr>
            <w:tcW w:w="3391"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V2.1 — On-chain transaction history via RPC</w:t>
            </w:r>
          </w:p>
        </w:tc>
      </w:tr>
      <w:tr>
        <w:trPr/>
        <w:tc>
          <w:tcPr>
            <w:tcW w:w="2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No SOL or network warnings</w:t>
            </w:r>
          </w:p>
        </w:tc>
        <w:tc>
          <w:tcPr>
            <w:tcW w:w="32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New users silently failed with 0 SOL on wrong network</w:t>
            </w:r>
          </w:p>
        </w:tc>
        <w:tc>
          <w:tcPr>
            <w:tcW w:w="339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V2.1 — WalletStatus banner with devnet and balance detection</w:t>
            </w:r>
          </w:p>
        </w:tc>
      </w:tr>
    </w:tbl>
    <w:p>
      <w:pPr>
        <w:pStyle w:val="Normal"/>
        <w:rPr/>
      </w:pPr>
      <w:r>
        <w:rPr/>
        <w:br/>
      </w:r>
    </w:p>
    <w:p>
      <w:pPr>
        <w:pStyle w:val="Heading1"/>
        <w:shd w:val="clear" w:fill="1E1B4B"/>
        <w:spacing w:before="360" w:after="160"/>
        <w:ind w:start="180" w:end="180"/>
        <w:rPr/>
      </w:pPr>
      <w:r>
        <w:rPr>
          <w:rFonts w:eastAsia="Arial" w:cs="Arial" w:ascii="Arial" w:hAnsi="Arial"/>
          <w:b/>
          <w:bCs/>
          <w:color w:val="FFFFFF"/>
          <w:sz w:val="30"/>
          <w:szCs w:val="30"/>
        </w:rPr>
        <w:t>10. Version 2 Roadmap</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V1.1 proved the concept — a farmer can register a verified identity on-chain and receive a microloan in a single session, without a bank account or paperwork. V2.x builds production-quality infrastructure on this foundation.</w:t>
      </w:r>
    </w:p>
    <w:p>
      <w:pPr>
        <w:pStyle w:val="Normal"/>
        <w:spacing w:before="0" w:after="160"/>
        <w:rPr/>
      </w:pPr>
      <w:r>
        <w:rPr/>
      </w:r>
    </w:p>
    <w:p>
      <w:pPr>
        <w:pStyle w:val="Heading2"/>
        <w:pBdr>
          <w:bottom w:val="single" w:sz="2" w:space="0" w:color="5B21B6"/>
        </w:pBdr>
        <w:spacing w:before="300" w:after="120"/>
        <w:rPr/>
      </w:pPr>
      <w:r>
        <w:rPr>
          <w:rFonts w:eastAsia="Arial" w:cs="Arial" w:ascii="Arial" w:hAnsi="Arial"/>
          <w:b/>
          <w:bCs/>
          <w:color w:val="1E1B4B"/>
          <w:sz w:val="24"/>
          <w:szCs w:val="24"/>
        </w:rPr>
        <w:t>Smart Contract</w:t>
      </w:r>
    </w:p>
    <w:p>
      <w:pPr>
        <w:pStyle w:val="ListParagraph"/>
        <w:numPr>
          <w:ilvl w:val="0"/>
          <w:numId w:val="1"/>
        </w:numPr>
        <w:spacing w:before="40" w:after="40"/>
        <w:rPr/>
      </w:pPr>
      <w:r>
        <w:rPr>
          <w:rFonts w:eastAsia="Arial" w:cs="Arial"/>
          <w:color w:val="1F2937"/>
          <w:sz w:val="22"/>
          <w:szCs w:val="22"/>
        </w:rPr>
        <w:t>PDA enforcement — one wallet = one Farmer ID, blockchain-enforced</w:t>
      </w:r>
    </w:p>
    <w:p>
      <w:pPr>
        <w:pStyle w:val="ListParagraph"/>
        <w:numPr>
          <w:ilvl w:val="0"/>
          <w:numId w:val="1"/>
        </w:numPr>
        <w:spacing w:before="40" w:after="40"/>
        <w:rPr/>
      </w:pPr>
      <w:r>
        <w:rPr>
          <w:rFonts w:eastAsia="Arial" w:cs="Arial"/>
          <w:color w:val="1F2937"/>
          <w:sz w:val="22"/>
          <w:szCs w:val="22"/>
        </w:rPr>
        <w:t>Full loan lifecycle — repayment instruction with PDA closure and re-borrow capability</w:t>
      </w:r>
    </w:p>
    <w:p>
      <w:pPr>
        <w:pStyle w:val="ListParagraph"/>
        <w:numPr>
          <w:ilvl w:val="0"/>
          <w:numId w:val="1"/>
        </w:numPr>
        <w:spacing w:before="40" w:after="40"/>
        <w:rPr/>
      </w:pPr>
      <w:r>
        <w:rPr>
          <w:rFonts w:eastAsia="Arial" w:cs="Arial"/>
          <w:color w:val="1F2937"/>
          <w:sz w:val="22"/>
          <w:szCs w:val="22"/>
        </w:rPr>
        <w:t>Credit scoring based on repayment history — stored in FarmerAccount</w:t>
      </w:r>
    </w:p>
    <w:p>
      <w:pPr>
        <w:pStyle w:val="ListParagraph"/>
        <w:numPr>
          <w:ilvl w:val="0"/>
          <w:numId w:val="1"/>
        </w:numPr>
        <w:spacing w:before="40" w:after="40"/>
        <w:rPr/>
      </w:pPr>
      <w:r>
        <w:rPr>
          <w:rFonts w:eastAsia="Arial" w:cs="Arial"/>
          <w:color w:val="1F2937"/>
          <w:sz w:val="22"/>
          <w:szCs w:val="22"/>
        </w:rPr>
        <w:t>Multi-lender architecture — LenderAccount PDAs, admin-approved lender registration</w:t>
      </w:r>
    </w:p>
    <w:p>
      <w:pPr>
        <w:pStyle w:val="ListParagraph"/>
        <w:numPr>
          <w:ilvl w:val="0"/>
          <w:numId w:val="1"/>
        </w:numPr>
        <w:spacing w:before="40" w:after="40"/>
        <w:rPr/>
      </w:pPr>
      <w:r>
        <w:rPr>
          <w:rFonts w:eastAsia="Arial" w:cs="Arial"/>
          <w:color w:val="1F2937"/>
          <w:sz w:val="22"/>
          <w:szCs w:val="22"/>
        </w:rPr>
        <w:t>Loan counter per farmer for history indexing across lenders</w:t>
      </w:r>
    </w:p>
    <w:p>
      <w:pPr>
        <w:pStyle w:val="ListParagraph"/>
        <w:numPr>
          <w:ilvl w:val="0"/>
          <w:numId w:val="1"/>
        </w:numPr>
        <w:spacing w:before="40" w:after="40"/>
        <w:rPr/>
      </w:pPr>
      <w:r>
        <w:rPr>
          <w:rFonts w:eastAsia="Arial" w:cs="Arial"/>
          <w:color w:val="1F2937"/>
          <w:sz w:val="22"/>
          <w:szCs w:val="22"/>
        </w:rPr>
        <w:t>USDC stablecoin disbursement replacing SOL — removes price volatility</w:t>
      </w:r>
    </w:p>
    <w:p>
      <w:pPr>
        <w:pStyle w:val="ListParagraph"/>
        <w:numPr>
          <w:ilvl w:val="0"/>
          <w:numId w:val="1"/>
        </w:numPr>
        <w:spacing w:before="40" w:after="40"/>
        <w:rPr/>
      </w:pPr>
      <w:r>
        <w:rPr>
          <w:rFonts w:eastAsia="Arial" w:cs="Arial"/>
          <w:color w:val="1F2937"/>
          <w:sz w:val="22"/>
          <w:szCs w:val="22"/>
        </w:rPr>
        <w:t>Oracle integration for crop price feeds</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Frontend</w:t>
      </w:r>
    </w:p>
    <w:p>
      <w:pPr>
        <w:pStyle w:val="ListParagraph"/>
        <w:numPr>
          <w:ilvl w:val="0"/>
          <w:numId w:val="1"/>
        </w:numPr>
        <w:spacing w:before="40" w:after="40"/>
        <w:rPr/>
      </w:pPr>
      <w:r>
        <w:rPr>
          <w:rFonts w:eastAsia="Arial" w:cs="Arial"/>
          <w:color w:val="1F2937"/>
          <w:sz w:val="22"/>
          <w:szCs w:val="22"/>
        </w:rPr>
        <w:t>Admin dashboard — live farmer and loan monitoring from devnet</w:t>
      </w:r>
    </w:p>
    <w:p>
      <w:pPr>
        <w:pStyle w:val="ListParagraph"/>
        <w:numPr>
          <w:ilvl w:val="0"/>
          <w:numId w:val="1"/>
        </w:numPr>
        <w:spacing w:before="40" w:after="40"/>
        <w:rPr/>
      </w:pPr>
      <w:r>
        <w:rPr>
          <w:rFonts w:eastAsia="Arial" w:cs="Arial"/>
          <w:color w:val="1F2937"/>
          <w:sz w:val="22"/>
          <w:szCs w:val="22"/>
        </w:rPr>
        <w:t>Authenticated home state — personalised greeting for registered farmers</w:t>
      </w:r>
    </w:p>
    <w:p>
      <w:pPr>
        <w:pStyle w:val="ListParagraph"/>
        <w:numPr>
          <w:ilvl w:val="0"/>
          <w:numId w:val="1"/>
        </w:numPr>
        <w:spacing w:before="40" w:after="40"/>
        <w:rPr/>
      </w:pPr>
      <w:r>
        <w:rPr>
          <w:rFonts w:eastAsia="Arial" w:cs="Arial"/>
          <w:color w:val="1F2937"/>
          <w:sz w:val="22"/>
          <w:szCs w:val="22"/>
        </w:rPr>
        <w:t>Public farmer profile lookup by wallet address</w:t>
      </w:r>
    </w:p>
    <w:p>
      <w:pPr>
        <w:pStyle w:val="ListParagraph"/>
        <w:numPr>
          <w:ilvl w:val="0"/>
          <w:numId w:val="1"/>
        </w:numPr>
        <w:spacing w:before="40" w:after="40"/>
        <w:rPr/>
      </w:pPr>
      <w:r>
        <w:rPr>
          <w:rFonts w:eastAsia="Arial" w:cs="Arial"/>
          <w:color w:val="1F2937"/>
          <w:sz w:val="22"/>
          <w:szCs w:val="22"/>
        </w:rPr>
        <w:t>Loan marketplace — browse approved lenders and their terms</w:t>
      </w:r>
    </w:p>
    <w:p>
      <w:pPr>
        <w:pStyle w:val="ListParagraph"/>
        <w:numPr>
          <w:ilvl w:val="0"/>
          <w:numId w:val="1"/>
        </w:numPr>
        <w:spacing w:before="40" w:after="40"/>
        <w:rPr/>
      </w:pPr>
      <w:r>
        <w:rPr>
          <w:rFonts w:eastAsia="Arial" w:cs="Arial"/>
          <w:color w:val="1F2937"/>
          <w:sz w:val="22"/>
          <w:szCs w:val="22"/>
        </w:rPr>
        <w:t>Lender registration flow — multi-step onboarding for organisations</w:t>
      </w:r>
    </w:p>
    <w:p>
      <w:pPr>
        <w:pStyle w:val="ListParagraph"/>
        <w:numPr>
          <w:ilvl w:val="0"/>
          <w:numId w:val="1"/>
        </w:numPr>
        <w:spacing w:before="40" w:after="40"/>
        <w:rPr/>
      </w:pPr>
      <w:r>
        <w:rPr>
          <w:rFonts w:eastAsia="Arial" w:cs="Arial"/>
          <w:color w:val="1F2937"/>
          <w:sz w:val="22"/>
          <w:szCs w:val="22"/>
        </w:rPr>
        <w:t>KYC integration — government ID verification for donor compliance</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Infrastructure</w:t>
      </w:r>
    </w:p>
    <w:p>
      <w:pPr>
        <w:pStyle w:val="ListParagraph"/>
        <w:numPr>
          <w:ilvl w:val="0"/>
          <w:numId w:val="1"/>
        </w:numPr>
        <w:spacing w:before="40" w:after="40"/>
        <w:rPr/>
      </w:pPr>
      <w:r>
        <w:rPr>
          <w:rFonts w:eastAsia="Arial" w:cs="Arial"/>
          <w:color w:val="1F2937"/>
          <w:sz w:val="22"/>
          <w:szCs w:val="22"/>
        </w:rPr>
        <w:t>Mainnet migration following security audit</w:t>
      </w:r>
    </w:p>
    <w:p>
      <w:pPr>
        <w:pStyle w:val="ListParagraph"/>
        <w:numPr>
          <w:ilvl w:val="0"/>
          <w:numId w:val="1"/>
        </w:numPr>
        <w:spacing w:before="40" w:after="40"/>
        <w:rPr/>
      </w:pPr>
      <w:r>
        <w:rPr>
          <w:rFonts w:eastAsia="Arial" w:cs="Arial"/>
          <w:color w:val="1F2937"/>
          <w:sz w:val="22"/>
          <w:szCs w:val="22"/>
        </w:rPr>
        <w:t>Custom domain via Aadios Systems</w:t>
      </w:r>
    </w:p>
    <w:p>
      <w:pPr>
        <w:pStyle w:val="ListParagraph"/>
        <w:numPr>
          <w:ilvl w:val="0"/>
          <w:numId w:val="1"/>
        </w:numPr>
        <w:spacing w:before="40" w:after="40"/>
        <w:rPr/>
      </w:pPr>
      <w:r>
        <w:rPr>
          <w:rFonts w:eastAsia="Arial" w:cs="Arial"/>
          <w:color w:val="1F2937"/>
          <w:sz w:val="22"/>
          <w:szCs w:val="22"/>
        </w:rPr>
        <w:t>Analytics and monitoring</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Business</w:t>
      </w:r>
    </w:p>
    <w:p>
      <w:pPr>
        <w:pStyle w:val="ListParagraph"/>
        <w:numPr>
          <w:ilvl w:val="0"/>
          <w:numId w:val="1"/>
        </w:numPr>
        <w:spacing w:before="40" w:after="40"/>
        <w:rPr/>
      </w:pPr>
      <w:r>
        <w:rPr>
          <w:rFonts w:eastAsia="Arial" w:cs="Arial"/>
          <w:color w:val="1F2937"/>
          <w:sz w:val="22"/>
          <w:szCs w:val="22"/>
        </w:rPr>
        <w:t>Pilot with one Sierra Leone farming cooperative — 10-20 farmers on devnet</w:t>
      </w:r>
    </w:p>
    <w:p>
      <w:pPr>
        <w:pStyle w:val="ListParagraph"/>
        <w:numPr>
          <w:ilvl w:val="0"/>
          <w:numId w:val="1"/>
        </w:numPr>
        <w:spacing w:before="40" w:after="40"/>
        <w:rPr/>
      </w:pPr>
      <w:r>
        <w:rPr>
          <w:rFonts w:eastAsia="Arial" w:cs="Arial"/>
          <w:color w:val="1F2937"/>
          <w:sz w:val="22"/>
          <w:szCs w:val="22"/>
        </w:rPr>
        <w:t>Superteam Africa chapter application</w:t>
      </w:r>
    </w:p>
    <w:p>
      <w:pPr>
        <w:pStyle w:val="ListParagraph"/>
        <w:numPr>
          <w:ilvl w:val="0"/>
          <w:numId w:val="1"/>
        </w:numPr>
        <w:spacing w:before="40" w:after="40"/>
        <w:rPr/>
      </w:pPr>
      <w:r>
        <w:rPr>
          <w:rFonts w:eastAsia="Arial" w:cs="Arial"/>
          <w:color w:val="1F2937"/>
          <w:sz w:val="22"/>
          <w:szCs w:val="22"/>
        </w:rPr>
        <w:t>Grant applications: IFAD, World Bank, Solana Foundation African Ecosystem</w:t>
      </w:r>
    </w:p>
    <w:p>
      <w:pPr>
        <w:pStyle w:val="ListParagraph"/>
        <w:numPr>
          <w:ilvl w:val="0"/>
          <w:numId w:val="1"/>
        </w:numPr>
        <w:spacing w:before="40" w:after="40"/>
        <w:rPr/>
      </w:pPr>
      <w:r>
        <w:rPr>
          <w:rFonts w:eastAsia="Arial" w:cs="Arial"/>
          <w:color w:val="1F2937"/>
          <w:sz w:val="22"/>
          <w:szCs w:val="22"/>
        </w:rPr>
        <w:t>Aadios Systems platform launch</w:t>
      </w:r>
    </w:p>
    <w:p>
      <w:pPr>
        <w:pStyle w:val="Normal"/>
        <w:spacing w:before="0" w:after="200"/>
        <w:rPr/>
      </w:pPr>
      <w:r>
        <w:rPr/>
      </w:r>
    </w:p>
    <w:p>
      <w:pPr>
        <w:pStyle w:val="Normal"/>
        <w:pBdr>
          <w:bottom w:val="single" w:sz="6" w:space="0" w:color="5B21B6"/>
        </w:pBdr>
        <w:spacing w:before="0" w:after="80"/>
        <w:rPr/>
      </w:pPr>
      <w:r>
        <w:rPr/>
      </w:r>
    </w:p>
    <w:p>
      <w:pPr>
        <w:pStyle w:val="Normal"/>
        <w:spacing w:before="0" w:after="160"/>
        <w:rPr/>
      </w:pPr>
      <w:r>
        <w:rPr/>
      </w:r>
    </w:p>
    <w:p>
      <w:pPr>
        <w:pStyle w:val="Normal"/>
        <w:jc w:val="center"/>
        <w:rPr/>
      </w:pPr>
      <w:r>
        <w:rPr>
          <w:rFonts w:eastAsia="Arial" w:cs="Arial"/>
          <w:b/>
          <w:bCs/>
          <w:i/>
          <w:iCs/>
          <w:color w:val="1E1B4B"/>
          <w:sz w:val="24"/>
          <w:szCs w:val="24"/>
        </w:rPr>
        <w:t>AIM Protocol V1.1 — Proof of concept delivered. Africa on Solana.</w:t>
      </w:r>
    </w:p>
    <w:p>
      <w:pPr>
        <w:pStyle w:val="Normal"/>
        <w:spacing w:before="0" w:after="80"/>
        <w:rPr/>
      </w:pPr>
      <w:r>
        <w:rPr/>
      </w:r>
    </w:p>
    <w:p>
      <w:pPr>
        <w:pStyle w:val="Normal"/>
        <w:jc w:val="center"/>
        <w:rPr/>
      </w:pPr>
      <w:r>
        <w:rPr>
          <w:rFonts w:eastAsia="Arial" w:cs="Arial"/>
          <w:color w:val="6B7280"/>
          <w:sz w:val="20"/>
          <w:szCs w:val="20"/>
        </w:rPr>
        <w:t>Amjad Kamara  |  Aadios Systems (SL) Ltd.  |  https://aim-protocol.vercel.app</w:t>
      </w:r>
    </w:p>
    <w:p>
      <w:pPr>
        <w:pStyle w:val="Normal"/>
        <w:spacing w:before="40" w:after="0"/>
        <w:jc w:val="center"/>
        <w:rPr/>
      </w:pPr>
      <w:r>
        <w:rPr>
          <w:rFonts w:eastAsia="Arial" w:cs="Arial"/>
          <w:i/>
          <w:iCs/>
          <w:color w:val="6B7280"/>
          <w:sz w:val="20"/>
          <w:szCs w:val="20"/>
        </w:rPr>
        <w:t>Built from Sierra Leone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5B21B6"/>
      </w:pBdr>
      <w:spacing w:before="100" w:after="0"/>
      <w:rPr/>
    </w:pPr>
    <w:r>
      <w:rPr>
        <w:rFonts w:eastAsia="Arial" w:cs="Arial"/>
        <w:color w:val="6B7280"/>
        <w:sz w:val="18"/>
        <w:szCs w:val="18"/>
      </w:rPr>
      <w:t xml:space="preserve">aim-protocol.vercel.app   |   Aadios Systems (SL) Ltd., Freetown, Sierra Leone   |   Page </w:t>
    </w:r>
    <w:r>
      <w:rPr>
        <w:rFonts w:eastAsia="Arial" w:cs="Arial"/>
        <w:i/>
        <w:iCs/>
        <w:color w:val="6B7280"/>
        <w:sz w:val="20"/>
        <w:szCs w:val="20"/>
      </w:rPr>
      <w:fldChar w:fldCharType="begin"/>
    </w:r>
    <w:r>
      <w:rPr>
        <w:rFonts w:eastAsia="Arial" w:cs="Arial"/>
        <w:i/>
        <w:iCs/>
        <w:color w:val="6B7280"/>
        <w:sz w:val="20"/>
        <w:szCs w:val="20"/>
      </w:rPr>
      <w:instrText xml:space="preserve"> PAGE </w:instrText>
    </w:r>
    <w:r>
      <w:rPr>
        <w:rFonts w:eastAsia="Arial" w:cs="Arial"/>
        <w:i/>
        <w:iCs/>
        <w:color w:val="6B7280"/>
        <w:sz w:val="20"/>
        <w:szCs w:val="20"/>
      </w:rPr>
      <w:fldChar w:fldCharType="separate"/>
    </w:r>
    <w:r>
      <w:rPr>
        <w:rFonts w:eastAsia="Arial" w:cs="Arial"/>
        <w:i/>
        <w:iCs/>
        <w:color w:val="6B7280"/>
        <w:sz w:val="20"/>
        <w:szCs w:val="20"/>
      </w:rPr>
      <w:t>8</w:t>
    </w:r>
    <w:r>
      <w:rPr>
        <w:rFonts w:eastAsia="Arial" w:cs="Arial"/>
        <w:i/>
        <w:iCs/>
        <w:color w:val="6B7280"/>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5B21B6"/>
      </w:pBdr>
      <w:spacing w:before="100" w:after="0"/>
      <w:rPr/>
    </w:pPr>
    <w:r>
      <w:rPr>
        <w:rFonts w:eastAsia="Arial" w:cs="Arial"/>
        <w:color w:val="6B7280"/>
        <w:sz w:val="18"/>
        <w:szCs w:val="18"/>
      </w:rPr>
      <w:t xml:space="preserve">aim-protocol.vercel.app   |   Aadios Systems (SL) Ltd., Freetown, Sierra Leone   |   Page </w:t>
    </w:r>
    <w:r>
      <w:rPr>
        <w:rFonts w:eastAsia="Arial" w:cs="Arial"/>
        <w:i/>
        <w:iCs/>
        <w:color w:val="6B7280"/>
        <w:sz w:val="20"/>
        <w:szCs w:val="20"/>
      </w:rPr>
      <w:fldChar w:fldCharType="begin"/>
    </w:r>
    <w:r>
      <w:rPr>
        <w:rFonts w:eastAsia="Arial" w:cs="Arial"/>
        <w:i/>
        <w:iCs/>
        <w:color w:val="6B7280"/>
        <w:sz w:val="20"/>
        <w:szCs w:val="20"/>
      </w:rPr>
      <w:instrText xml:space="preserve"> PAGE </w:instrText>
    </w:r>
    <w:r>
      <w:rPr>
        <w:rFonts w:eastAsia="Arial" w:cs="Arial"/>
        <w:i/>
        <w:iCs/>
        <w:color w:val="6B7280"/>
        <w:sz w:val="20"/>
        <w:szCs w:val="20"/>
      </w:rPr>
      <w:fldChar w:fldCharType="separate"/>
    </w:r>
    <w:r>
      <w:rPr>
        <w:rFonts w:eastAsia="Arial" w:cs="Arial"/>
        <w:i/>
        <w:iCs/>
        <w:color w:val="6B7280"/>
        <w:sz w:val="20"/>
        <w:szCs w:val="20"/>
      </w:rPr>
      <w:t>8</w:t>
    </w:r>
    <w:r>
      <w:rPr>
        <w:rFonts w:eastAsia="Arial" w:cs="Arial"/>
        <w:i/>
        <w:iCs/>
        <w:color w:val="6B7280"/>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5B21B6"/>
      </w:pBdr>
      <w:spacing w:before="0" w:after="100"/>
      <w:rPr/>
    </w:pPr>
    <w:r>
      <w:rPr>
        <w:rFonts w:eastAsia="Arial" w:cs="Arial"/>
        <w:b/>
        <w:bCs/>
        <w:color w:val="1E1B4B"/>
        <w:sz w:val="18"/>
        <w:szCs w:val="18"/>
      </w:rPr>
      <w:t>AIM PROTOCOL</w:t>
    </w:r>
    <w:r>
      <w:rPr>
        <w:rFonts w:eastAsia="Arial" w:cs="Arial"/>
        <w:color w:val="6B7280"/>
        <w:sz w:val="18"/>
        <w:szCs w:val="18"/>
      </w:rPr>
      <w:t xml:space="preserve">   |   Version 1.1 — Release Notes &amp; Technical Reference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5B21B6"/>
      </w:pBdr>
      <w:spacing w:before="0" w:after="100"/>
      <w:rPr/>
    </w:pPr>
    <w:r>
      <w:rPr>
        <w:rFonts w:eastAsia="Arial" w:cs="Arial"/>
        <w:b/>
        <w:bCs/>
        <w:color w:val="1E1B4B"/>
        <w:sz w:val="18"/>
        <w:szCs w:val="18"/>
      </w:rPr>
      <w:t>AIM PROTOCOL</w:t>
    </w:r>
    <w:r>
      <w:rPr>
        <w:rFonts w:eastAsia="Arial" w:cs="Arial"/>
        <w:color w:val="6B7280"/>
        <w:sz w:val="18"/>
        <w:szCs w:val="18"/>
      </w:rPr>
      <w:t xml:space="preserve">   |   Version 1.1 — Release Notes &amp; Technical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60" w:after="160"/>
      <w:outlineLvl w:val="0"/>
    </w:pPr>
    <w:rPr>
      <w:rFonts w:ascii="Arial" w:hAnsi="Arial" w:eastAsia="Arial" w:cs="Arial"/>
      <w:b/>
      <w:bCs/>
      <w:color w:val="FFFFFF"/>
      <w:sz w:val="30"/>
      <w:szCs w:val="30"/>
    </w:rPr>
  </w:style>
  <w:style w:type="paragraph" w:styleId="Heading2">
    <w:name w:val="heading 2"/>
    <w:basedOn w:val="Heading"/>
    <w:qFormat/>
    <w:pPr>
      <w:spacing w:before="300" w:after="120"/>
      <w:outlineLvl w:val="1"/>
    </w:pPr>
    <w:rPr>
      <w:rFonts w:ascii="Arial" w:hAnsi="Arial" w:eastAsia="Arial" w:cs="Arial"/>
      <w:b/>
      <w:bCs/>
      <w:color w:val="1E1B4B"/>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8</Pages>
  <Words>1565</Words>
  <Characters>9927</Characters>
  <CharactersWithSpaces>11335</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2026-06-09T20:11:23Z</dcterms:created>
  <dc:creator>Un-named</dc:creator>
  <dc:description/>
  <dc:language>en-GB</dc:language>
  <cp:lastModifiedBy/>
  <dcterms:modified xsi:type="dcterms:W3CDTF">2026-06-09T20:16:21Z</dcterms:modified>
  <cp:revision>2</cp:revision>
  <dc:subject/>
  <dc:title/>
</cp:coreProperties>
</file>