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80"/>
        <w:jc w:val="center"/>
        <w:rPr/>
      </w:pPr>
      <w:r>
        <w:rPr>
          <w:rFonts w:eastAsia="Arial" w:cs="Arial"/>
          <w:b/>
          <w:bCs/>
          <w:color w:val="1E1B4B"/>
          <w:sz w:val="64"/>
          <w:szCs w:val="64"/>
        </w:rPr>
        <w:t>AIM PROTOCOL</w:t>
      </w:r>
    </w:p>
    <w:p>
      <w:pPr>
        <w:pStyle w:val="Normal"/>
        <w:spacing w:before="0" w:after="320"/>
        <w:jc w:val="center"/>
        <w:rPr/>
      </w:pPr>
      <w:r>
        <w:rPr>
          <w:rFonts w:eastAsia="Arial" w:cs="Arial"/>
          <w:color w:val="5B21B6"/>
          <w:spacing w:val="100"/>
          <w:sz w:val="24"/>
          <w:szCs w:val="24"/>
        </w:rPr>
        <w:t>Agri  •  Identity  •  Microfinance</w:t>
      </w:r>
    </w:p>
    <w:p>
      <w:pPr>
        <w:pStyle w:val="Normal"/>
        <w:pBdr>
          <w:bottom w:val="single" w:sz="6" w:space="0" w:color="5B21B6"/>
        </w:pBdr>
        <w:spacing w:before="0" w:after="80"/>
        <w:rPr/>
      </w:pPr>
      <w:r>
        <w:rPr/>
      </w:r>
    </w:p>
    <w:p>
      <w:pPr>
        <w:pStyle w:val="Normal"/>
        <w:spacing w:before="0" w:after="240"/>
        <w:rPr/>
      </w:pPr>
      <w:r>
        <w:rPr/>
      </w:r>
    </w:p>
    <w:p>
      <w:pPr>
        <w:pStyle w:val="Normal"/>
        <w:spacing w:before="0" w:after="80"/>
        <w:jc w:val="center"/>
        <w:rPr/>
      </w:pPr>
      <w:r>
        <w:rPr>
          <w:rFonts w:eastAsia="Arial" w:cs="Arial"/>
          <w:b/>
          <w:bCs/>
          <w:color w:val="1E1B4B"/>
          <w:sz w:val="32"/>
          <w:szCs w:val="32"/>
        </w:rPr>
        <w:t>Version 2.1 — Release Notes &amp; Technical Reference</w:t>
      </w:r>
    </w:p>
    <w:p>
      <w:pPr>
        <w:pStyle w:val="Normal"/>
        <w:jc w:val="center"/>
        <w:rPr/>
      </w:pPr>
      <w:r>
        <w:rPr>
          <w:rFonts w:eastAsia="Arial" w:cs="Arial"/>
          <w:color w:val="6B7280"/>
          <w:sz w:val="22"/>
          <w:szCs w:val="22"/>
        </w:rPr>
        <w:t>Built by Amjad Kamara</w:t>
      </w:r>
    </w:p>
    <w:p>
      <w:pPr>
        <w:pStyle w:val="Normal"/>
        <w:jc w:val="center"/>
        <w:rPr/>
      </w:pPr>
      <w:r>
        <w:rPr>
          <w:rFonts w:eastAsia="Arial" w:cs="Arial"/>
          <w:i/>
          <w:iCs/>
          <w:color w:val="6B7280"/>
          <w:sz w:val="22"/>
          <w:szCs w:val="22"/>
        </w:rPr>
        <w:t>Founder, Aadios Systems (SL) Ltd.  •  Sierra Leone</w:t>
      </w:r>
    </w:p>
    <w:p>
      <w:pPr>
        <w:pStyle w:val="Normal"/>
        <w:spacing w:before="0" w:after="240"/>
        <w:jc w:val="center"/>
        <w:rPr/>
      </w:pPr>
      <w:r>
        <w:rPr>
          <w:rFonts w:eastAsia="Arial" w:cs="Arial"/>
          <w:color w:val="6B7280"/>
          <w:sz w:val="22"/>
          <w:szCs w:val="22"/>
        </w:rPr>
        <w:t>Post-Hackathon Development — Solana Frontier 2026</w:t>
      </w:r>
    </w:p>
    <w:p>
      <w:pPr>
        <w:pStyle w:val="Normal"/>
        <w:spacing w:before="0" w:after="480"/>
        <w:jc w:val="center"/>
        <w:rPr/>
      </w:pPr>
      <w:r>
        <w:rPr>
          <w:rFonts w:eastAsia="Arial" w:cs="Arial"/>
          <w:b/>
          <w:bCs/>
          <w:color w:val="5B21B6"/>
          <w:sz w:val="22"/>
          <w:szCs w:val="22"/>
        </w:rPr>
        <w:t>Live: https://aim-protocol.vercel.app/</w:t>
      </w:r>
    </w:p>
    <w:tbl>
      <w:tblPr>
        <w:tblW w:w="9360" w:type="dxa"/>
        <w:jc w:val="start"/>
        <w:tblInd w:w="0" w:type="dxa"/>
        <w:tblLayout w:type="fixed"/>
        <w:tblCellMar>
          <w:top w:w="80" w:type="dxa"/>
          <w:start w:w="120" w:type="dxa"/>
          <w:bottom w:w="80" w:type="dxa"/>
          <w:end w:w="120" w:type="dxa"/>
        </w:tblCellMar>
      </w:tblPr>
      <w:tblGrid>
        <w:gridCol w:w="2340"/>
        <w:gridCol w:w="7020"/>
      </w:tblGrid>
      <w:tr>
        <w:trPr/>
        <w:tc>
          <w:tcPr>
            <w:tcW w:w="2340" w:type="dxa"/>
            <w:tcBorders>
              <w:top w:val="single" w:sz="2" w:space="0" w:color="CCCCCC"/>
              <w:start w:val="single" w:sz="2" w:space="0" w:color="CCCCCC"/>
              <w:bottom w:val="single" w:sz="2" w:space="0" w:color="CCCCCC"/>
              <w:end w:val="single" w:sz="2" w:space="0" w:color="CCCCCC"/>
            </w:tcBorders>
            <w:shd w:fill="1E1B4B" w:val="clear"/>
          </w:tcPr>
          <w:p>
            <w:pPr>
              <w:pStyle w:val="Normal"/>
              <w:rPr/>
            </w:pPr>
            <w:r>
              <w:rPr/>
            </w:r>
          </w:p>
        </w:tc>
        <w:tc>
          <w:tcPr>
            <w:tcW w:w="7020" w:type="dxa"/>
            <w:tcBorders>
              <w:top w:val="single" w:sz="2" w:space="0" w:color="CCCCCC"/>
              <w:start w:val="single" w:sz="2" w:space="0" w:color="CCCCCC"/>
              <w:bottom w:val="single" w:sz="2" w:space="0" w:color="CCCCCC"/>
              <w:end w:val="single" w:sz="2" w:space="0" w:color="CCCCCC"/>
            </w:tcBorders>
            <w:shd w:fill="1E1B4B" w:val="clear"/>
          </w:tcPr>
          <w:p>
            <w:pPr>
              <w:pStyle w:val="Normal"/>
              <w:rPr/>
            </w:pPr>
            <w:r>
              <w:rPr/>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F2937"/>
                <w:sz w:val="20"/>
                <w:szCs w:val="20"/>
              </w:rPr>
              <w:t>Status</w:t>
            </w:r>
          </w:p>
        </w:tc>
        <w:tc>
          <w:tcPr>
            <w:tcW w:w="70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66534"/>
                <w:sz w:val="20"/>
                <w:szCs w:val="20"/>
              </w:rPr>
              <w:t>Live on Solana Devnet</w:t>
            </w:r>
          </w:p>
        </w:tc>
      </w:tr>
      <w:tr>
        <w:trPr/>
        <w:tc>
          <w:tcPr>
            <w:tcW w:w="234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bCs/>
                <w:color w:val="1F2937"/>
                <w:sz w:val="20"/>
                <w:szCs w:val="20"/>
              </w:rPr>
              <w:t>Frontend Repo</w:t>
            </w:r>
          </w:p>
        </w:tc>
        <w:tc>
          <w:tcPr>
            <w:tcW w:w="702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github.com/amjadkamara/aim-protocol</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F2937"/>
                <w:sz w:val="20"/>
                <w:szCs w:val="20"/>
              </w:rPr>
              <w:t>Smart Contract Repo</w:t>
            </w:r>
          </w:p>
        </w:tc>
        <w:tc>
          <w:tcPr>
            <w:tcW w:w="70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github.com/amjadkamara/aim-program</w:t>
            </w:r>
          </w:p>
        </w:tc>
      </w:tr>
      <w:tr>
        <w:trPr/>
        <w:tc>
          <w:tcPr>
            <w:tcW w:w="234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bCs/>
                <w:color w:val="1F2937"/>
                <w:sz w:val="20"/>
                <w:szCs w:val="20"/>
              </w:rPr>
              <w:t>Program ID</w:t>
            </w:r>
          </w:p>
        </w:tc>
        <w:tc>
          <w:tcPr>
            <w:tcW w:w="702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AhHHJTu5vodDYE2yLNet2bE6jad9F3xSfbLQdUmykKqB</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F2937"/>
                <w:sz w:val="20"/>
                <w:szCs w:val="20"/>
              </w:rPr>
              <w:t>Anchor Version</w:t>
            </w:r>
          </w:p>
        </w:tc>
        <w:tc>
          <w:tcPr>
            <w:tcW w:w="70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0.31.1</w:t>
            </w:r>
          </w:p>
        </w:tc>
      </w:tr>
      <w:tr>
        <w:trPr/>
        <w:tc>
          <w:tcPr>
            <w:tcW w:w="234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bCs/>
                <w:color w:val="1F2937"/>
                <w:sz w:val="20"/>
                <w:szCs w:val="20"/>
              </w:rPr>
              <w:t>Context</w:t>
            </w:r>
          </w:p>
        </w:tc>
        <w:tc>
          <w:tcPr>
            <w:tcW w:w="702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Post-Hackathon — Solana Frontier 2026</w:t>
            </w:r>
          </w:p>
        </w:tc>
      </w:tr>
    </w:tbl>
    <w:p>
      <w:pPr>
        <w:pStyle w:val="Normal"/>
        <w:rPr/>
      </w:pPr>
      <w:r>
        <w:rPr/>
        <w:br/>
      </w:r>
    </w:p>
    <w:p>
      <w:pPr>
        <w:pStyle w:val="Heading1"/>
        <w:shd w:val="clear" w:fill="1E1B4B"/>
        <w:spacing w:before="360" w:after="160"/>
        <w:ind w:start="180" w:end="180"/>
        <w:rPr/>
      </w:pPr>
      <w:r>
        <w:rPr>
          <w:rFonts w:eastAsia="Arial" w:cs="Arial" w:ascii="Arial" w:hAnsi="Arial"/>
          <w:b/>
          <w:bCs/>
          <w:color w:val="FFFFFF"/>
          <w:sz w:val="30"/>
          <w:szCs w:val="30"/>
        </w:rPr>
        <w:t>1. Overview</w:t>
      </w:r>
    </w:p>
    <w:p>
      <w:pPr>
        <w:pStyle w:val="Normal"/>
        <w:spacing w:before="0" w:after="120"/>
        <w:rPr/>
      </w:pPr>
      <w:r>
        <w:rPr/>
      </w:r>
    </w:p>
    <w:p>
      <w:pPr>
        <w:pStyle w:val="Normal"/>
        <w:spacing w:before="60" w:after="60"/>
        <w:jc w:val="start"/>
        <w:rPr/>
      </w:pPr>
      <w:r>
        <w:rPr>
          <w:rFonts w:eastAsia="Arial" w:cs="Arial"/>
          <w:b w:val="false"/>
          <w:bCs w:val="false"/>
          <w:i w:val="false"/>
          <w:iCs w:val="false"/>
          <w:color w:val="1F2937"/>
          <w:sz w:val="22"/>
          <w:szCs w:val="22"/>
        </w:rPr>
        <w:t>Version 1.1 proved the concept — a farmer could connect a wallet, register an on-chain identity, and request a microloan on Solana devnet. V2.1 transforms that proof of concept into a production-ready foundation. Every major weakness in V1.1 has been addressed at both the smart contract and frontend level.</w:t>
      </w:r>
    </w:p>
    <w:p>
      <w:pPr>
        <w:pStyle w:val="Normal"/>
        <w:spacing w:before="0" w:after="120"/>
        <w:rPr/>
      </w:pPr>
      <w:r>
        <w:rPr/>
      </w:r>
    </w:p>
    <w:p>
      <w:pPr>
        <w:pStyle w:val="Normal"/>
        <w:spacing w:before="60" w:after="60"/>
        <w:jc w:val="start"/>
        <w:rPr/>
      </w:pPr>
      <w:r>
        <w:rPr>
          <w:rFonts w:eastAsia="Arial" w:cs="Arial"/>
          <w:b w:val="false"/>
          <w:bCs w:val="false"/>
          <w:i w:val="false"/>
          <w:iCs w:val="false"/>
          <w:color w:val="1F2937"/>
          <w:sz w:val="22"/>
          <w:szCs w:val="22"/>
        </w:rPr>
        <w:t>V2.1 is a complete overhaul of the underlying account architecture, the full loan lifecycle, the user interface, and the error handling layer. The result is a system that a real farmer can use without technical knowledge and that a real lender can trust.</w:t>
      </w:r>
    </w:p>
    <w:p>
      <w:pPr>
        <w:pStyle w:val="Normal"/>
        <w:spacing w:before="0" w:after="200"/>
        <w:rPr/>
      </w:pPr>
      <w:r>
        <w:rPr/>
      </w:r>
    </w:p>
    <w:p>
      <w:pPr>
        <w:pStyle w:val="Heading1"/>
        <w:shd w:val="clear" w:fill="1E1B4B"/>
        <w:spacing w:before="360" w:after="160"/>
        <w:ind w:start="180" w:end="180"/>
        <w:rPr/>
      </w:pPr>
      <w:r>
        <w:rPr>
          <w:rFonts w:eastAsia="Arial" w:cs="Arial" w:ascii="Arial" w:hAnsi="Arial"/>
          <w:b/>
          <w:bCs/>
          <w:color w:val="FFFFFF"/>
          <w:sz w:val="30"/>
          <w:szCs w:val="30"/>
        </w:rPr>
        <w:t>2. What Was Wrong With V1.1</w:t>
      </w:r>
    </w:p>
    <w:p>
      <w:pPr>
        <w:pStyle w:val="Normal"/>
        <w:spacing w:before="0" w:after="120"/>
        <w:rPr/>
      </w:pPr>
      <w:r>
        <w:rPr/>
      </w:r>
    </w:p>
    <w:tbl>
      <w:tblPr>
        <w:tblW w:w="9360" w:type="dxa"/>
        <w:jc w:val="start"/>
        <w:tblInd w:w="0" w:type="dxa"/>
        <w:tblLayout w:type="fixed"/>
        <w:tblCellMar>
          <w:top w:w="80" w:type="dxa"/>
          <w:start w:w="120" w:type="dxa"/>
          <w:bottom w:w="80" w:type="dxa"/>
          <w:end w:w="120" w:type="dxa"/>
        </w:tblCellMar>
      </w:tblPr>
      <w:tblGrid>
        <w:gridCol w:w="4680"/>
        <w:gridCol w:w="4680"/>
      </w:tblGrid>
      <w:tr>
        <w:trPr/>
        <w:tc>
          <w:tcPr>
            <w:tcW w:w="4680" w:type="dxa"/>
            <w:tcBorders>
              <w:top w:val="single" w:sz="2" w:space="0" w:color="CCCCCC"/>
              <w:start w:val="single" w:sz="2" w:space="0" w:color="CCCCCC"/>
              <w:bottom w:val="single" w:sz="2" w:space="0" w:color="CCCCCC"/>
              <w:end w:val="single" w:sz="2" w:space="0" w:color="CCCCCC"/>
            </w:tcBorders>
            <w:shd w:fill="1E1B4B" w:val="clear"/>
          </w:tcPr>
          <w:p>
            <w:pPr>
              <w:pStyle w:val="Normal"/>
              <w:rPr/>
            </w:pPr>
            <w:r>
              <w:rPr>
                <w:rFonts w:eastAsia="Arial" w:cs="Arial"/>
                <w:b/>
                <w:bCs/>
                <w:color w:val="FFFFFF"/>
                <w:sz w:val="20"/>
                <w:szCs w:val="20"/>
              </w:rPr>
              <w:t>Problem</w:t>
            </w:r>
          </w:p>
        </w:tc>
        <w:tc>
          <w:tcPr>
            <w:tcW w:w="4680" w:type="dxa"/>
            <w:tcBorders>
              <w:top w:val="single" w:sz="2" w:space="0" w:color="CCCCCC"/>
              <w:start w:val="single" w:sz="2" w:space="0" w:color="CCCCCC"/>
              <w:bottom w:val="single" w:sz="2" w:space="0" w:color="CCCCCC"/>
              <w:end w:val="single" w:sz="2" w:space="0" w:color="CCCCCC"/>
            </w:tcBorders>
            <w:shd w:fill="1E1B4B" w:val="clear"/>
          </w:tcPr>
          <w:p>
            <w:pPr>
              <w:pStyle w:val="Normal"/>
              <w:rPr/>
            </w:pPr>
            <w:r>
              <w:rPr>
                <w:rFonts w:eastAsia="Arial" w:cs="Arial"/>
                <w:b/>
                <w:bCs/>
                <w:color w:val="FFFFFF"/>
                <w:sz w:val="20"/>
                <w:szCs w:val="20"/>
              </w:rPr>
              <w:t>Impact</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Any wallet could register multiple Farmer IDs</w:t>
            </w:r>
          </w:p>
        </w:tc>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Duplicate identities, system manipulation — no enforcement at contract level</w:t>
            </w:r>
          </w:p>
        </w:tc>
      </w:tr>
      <w:tr>
        <w:trPr/>
        <w:tc>
          <w:tcPr>
            <w:tcW w:w="468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Loan accounts used random keypairs</w:t>
            </w:r>
          </w:p>
        </w:tc>
        <w:tc>
          <w:tcPr>
            <w:tcW w:w="468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Frontend had to generate and store keypairs locally — fragile, insecure, unreliable</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No loan repayment UI</w:t>
            </w:r>
          </w:p>
        </w:tc>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Farmers could not close loans or re-borrow — loan cycle broken at first repayment</w:t>
            </w:r>
          </w:p>
        </w:tc>
      </w:tr>
      <w:tr>
        <w:trPr/>
        <w:tc>
          <w:tcPr>
            <w:tcW w:w="468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Repaid loan PDA blocked re-borrowing</w:t>
            </w:r>
          </w:p>
        </w:tc>
        <w:tc>
          <w:tcPr>
            <w:tcW w:w="468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Critical bug — program attempted to init an account that already existed</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No loan status visibility</w:t>
            </w:r>
          </w:p>
        </w:tc>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Farmers had no dashboard to track their position, deadline, or eligibility</w:t>
            </w:r>
          </w:p>
        </w:tc>
      </w:tr>
      <w:tr>
        <w:trPr/>
        <w:tc>
          <w:tcPr>
            <w:tcW w:w="468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Raw Solana errors shown to users</w:t>
            </w:r>
          </w:p>
        </w:tc>
        <w:tc>
          <w:tcPr>
            <w:tcW w:w="468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custom program error: 0x0 — meaningless to farmers unfamiliar with blockchain</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No network or balance detection</w:t>
            </w:r>
          </w:p>
        </w:tc>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New users silently failed with 0 SOL or on the wrong network</w:t>
            </w:r>
          </w:p>
        </w:tc>
      </w:tr>
      <w:tr>
        <w:trPr/>
        <w:tc>
          <w:tcPr>
            <w:tcW w:w="468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No loan history</w:t>
            </w:r>
          </w:p>
        </w:tc>
        <w:tc>
          <w:tcPr>
            <w:tcW w:w="468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No borrowing record — a core requirement for any microfinance system</w:t>
            </w:r>
          </w:p>
        </w:tc>
      </w:tr>
    </w:tbl>
    <w:p>
      <w:pPr>
        <w:pStyle w:val="Normal"/>
        <w:spacing w:before="0" w:after="200"/>
        <w:rPr/>
      </w:pPr>
      <w:r>
        <w:rPr/>
      </w:r>
    </w:p>
    <w:p>
      <w:pPr>
        <w:pStyle w:val="Heading1"/>
        <w:shd w:val="clear" w:fill="1E1B4B"/>
        <w:spacing w:before="360" w:after="160"/>
        <w:ind w:start="180" w:end="180"/>
        <w:rPr/>
      </w:pPr>
      <w:r>
        <w:rPr>
          <w:rFonts w:eastAsia="Arial" w:cs="Arial" w:ascii="Arial" w:hAnsi="Arial"/>
          <w:b/>
          <w:bCs/>
          <w:color w:val="FFFFFF"/>
          <w:sz w:val="30"/>
          <w:szCs w:val="30"/>
        </w:rPr>
        <w:t>3. What V2.1 Built</w:t>
      </w:r>
    </w:p>
    <w:p>
      <w:pPr>
        <w:pStyle w:val="Normal"/>
        <w:spacing w:before="0" w:after="120"/>
        <w:rPr/>
      </w:pPr>
      <w:r>
        <w:rPr/>
      </w:r>
    </w:p>
    <w:p>
      <w:pPr>
        <w:pStyle w:val="Heading2"/>
        <w:pBdr>
          <w:bottom w:val="single" w:sz="2" w:space="0" w:color="5B21B6"/>
        </w:pBdr>
        <w:spacing w:before="300" w:after="120"/>
        <w:rPr/>
      </w:pPr>
      <w:r>
        <w:rPr>
          <w:rFonts w:eastAsia="Arial" w:cs="Arial" w:ascii="Arial" w:hAnsi="Arial"/>
          <w:b/>
          <w:bCs/>
          <w:color w:val="1E1B4B"/>
          <w:sz w:val="24"/>
          <w:szCs w:val="24"/>
        </w:rPr>
        <w:t>3.1  PDA Enforcement — One Wallet, One Farmer ID</w:t>
      </w:r>
    </w:p>
    <w:p>
      <w:pPr>
        <w:pStyle w:val="Normal"/>
        <w:spacing w:before="60" w:after="60"/>
        <w:jc w:val="start"/>
        <w:rPr/>
      </w:pPr>
      <w:r>
        <w:rPr>
          <w:rFonts w:eastAsia="Arial" w:cs="Arial"/>
          <w:b w:val="false"/>
          <w:bCs w:val="false"/>
          <w:i/>
          <w:iCs/>
          <w:color w:val="6B7280"/>
          <w:sz w:val="22"/>
          <w:szCs w:val="22"/>
        </w:rPr>
        <w:t>Files: programs/aim-program/src/lib.rs</w:t>
      </w:r>
    </w:p>
    <w:p>
      <w:pPr>
        <w:pStyle w:val="Normal"/>
        <w:spacing w:before="0" w:after="80"/>
        <w:rPr/>
      </w:pPr>
      <w:r>
        <w:rPr/>
      </w:r>
    </w:p>
    <w:p>
      <w:pPr>
        <w:pStyle w:val="Normal"/>
        <w:spacing w:before="60" w:after="60"/>
        <w:jc w:val="start"/>
        <w:rPr/>
      </w:pPr>
      <w:r>
        <w:rPr>
          <w:rFonts w:eastAsia="Arial" w:cs="Arial"/>
          <w:b w:val="false"/>
          <w:bCs w:val="false"/>
          <w:i w:val="false"/>
          <w:iCs w:val="false"/>
          <w:color w:val="1F2937"/>
          <w:sz w:val="22"/>
          <w:szCs w:val="22"/>
        </w:rPr>
        <w:t>The most important upgrade in V2.1. In V1.1, the create_farmer_id instruction accepted any keypair as the farmer account — nothing prevented the same wallet registering twice with a different keypair.</w:t>
      </w:r>
    </w:p>
    <w:p>
      <w:pPr>
        <w:pStyle w:val="Normal"/>
        <w:spacing w:before="0" w:after="120"/>
        <w:rPr/>
      </w:pPr>
      <w:r>
        <w:rPr/>
      </w:r>
    </w:p>
    <w:p>
      <w:pPr>
        <w:pStyle w:val="Normal"/>
        <w:spacing w:before="60" w:after="60"/>
        <w:jc w:val="start"/>
        <w:rPr/>
      </w:pPr>
      <w:r>
        <w:rPr>
          <w:rFonts w:eastAsia="Arial" w:cs="Arial"/>
          <w:b w:val="false"/>
          <w:bCs w:val="false"/>
          <w:i w:val="false"/>
          <w:iCs w:val="false"/>
          <w:color w:val="1F2937"/>
          <w:sz w:val="22"/>
          <w:szCs w:val="22"/>
        </w:rPr>
        <w:t>V2.1 derives the farmer account address deterministically from the wallet using Program Derived Addresses:</w:t>
      </w:r>
    </w:p>
    <w:p>
      <w:pPr>
        <w:pStyle w:val="Normal"/>
        <w:spacing w:before="0" w:after="80"/>
        <w:rPr/>
      </w:pPr>
      <w:r>
        <w:rPr/>
      </w:r>
    </w:p>
    <w:tbl>
      <w:tblPr>
        <w:tblW w:w="9360" w:type="dxa"/>
        <w:jc w:val="start"/>
        <w:tblInd w:w="0" w:type="dxa"/>
        <w:tblLayout w:type="fixed"/>
        <w:tblCellMar>
          <w:top w:w="0" w:type="dxa"/>
          <w:start w:w="108" w:type="dxa"/>
          <w:bottom w:w="0" w:type="dxa"/>
          <w:end w:w="108" w:type="dxa"/>
        </w:tblCellMar>
      </w:tblPr>
      <w:tblGrid>
        <w:gridCol w:w="179"/>
        <w:gridCol w:w="9181"/>
      </w:tblGrid>
      <w:tr>
        <w:trPr/>
        <w:tc>
          <w:tcPr>
            <w:tcW w:w="179" w:type="dxa"/>
            <w:tcBorders/>
            <w:shd w:fill="5B21B6" w:val="clear"/>
          </w:tcPr>
          <w:p>
            <w:pPr>
              <w:pStyle w:val="Normal"/>
              <w:rPr/>
            </w:pPr>
            <w:r>
              <w:rPr/>
            </w:r>
          </w:p>
        </w:tc>
        <w:tc>
          <w:tcPr>
            <w:tcW w:w="9181" w:type="dxa"/>
            <w:tcBorders>
              <w:top w:val="single" w:sz="2" w:space="0" w:color="CCCCCC"/>
              <w:start w:val="single" w:sz="2" w:space="0" w:color="CCCCCC"/>
              <w:bottom w:val="single" w:sz="2" w:space="0" w:color="CCCCCC"/>
              <w:end w:val="single" w:sz="2" w:space="0" w:color="CCCCCC"/>
            </w:tcBorders>
            <w:shd w:fill="F5F3FF" w:val="clear"/>
            <w:tcMar>
              <w:top w:w="80" w:type="dxa"/>
              <w:start w:w="180" w:type="dxa"/>
              <w:bottom w:w="80" w:type="dxa"/>
              <w:end w:w="180" w:type="dxa"/>
            </w:tcMar>
          </w:tcPr>
          <w:p>
            <w:pPr>
              <w:pStyle w:val="Normal"/>
              <w:rPr/>
            </w:pPr>
            <w:r>
              <w:rPr>
                <w:rFonts w:eastAsia="Arial" w:cs="Arial"/>
                <w:b w:val="false"/>
                <w:bCs w:val="false"/>
                <w:i w:val="false"/>
                <w:iCs w:val="false"/>
                <w:color w:val="1F2937"/>
                <w:sz w:val="21"/>
                <w:szCs w:val="21"/>
              </w:rPr>
              <w:t>FarmerAccount PDA seeds: ["farmer", owner.key().as_ref()], bump</w:t>
            </w:r>
          </w:p>
        </w:tc>
      </w:tr>
      <w:tr>
        <w:trPr/>
        <w:tc>
          <w:tcPr>
            <w:tcW w:w="179" w:type="dxa"/>
            <w:tcBorders/>
            <w:shd w:fill="5B21B6" w:val="clear"/>
          </w:tcPr>
          <w:p>
            <w:pPr>
              <w:pStyle w:val="Normal"/>
              <w:rPr/>
            </w:pPr>
            <w:r>
              <w:rPr/>
            </w:r>
          </w:p>
        </w:tc>
        <w:tc>
          <w:tcPr>
            <w:tcW w:w="9181" w:type="dxa"/>
            <w:tcBorders>
              <w:top w:val="single" w:sz="2" w:space="0" w:color="CCCCCC"/>
              <w:start w:val="single" w:sz="2" w:space="0" w:color="CCCCCC"/>
              <w:bottom w:val="single" w:sz="2" w:space="0" w:color="CCCCCC"/>
              <w:end w:val="single" w:sz="2" w:space="0" w:color="CCCCCC"/>
            </w:tcBorders>
            <w:shd w:fill="F5F3FF" w:val="clear"/>
            <w:tcMar>
              <w:top w:w="80" w:type="dxa"/>
              <w:start w:w="180" w:type="dxa"/>
              <w:bottom w:w="80" w:type="dxa"/>
              <w:end w:w="180" w:type="dxa"/>
            </w:tcMar>
          </w:tcPr>
          <w:p>
            <w:pPr>
              <w:pStyle w:val="Normal"/>
              <w:rPr/>
            </w:pPr>
            <w:r>
              <w:rPr>
                <w:rFonts w:eastAsia="Arial" w:cs="Arial"/>
                <w:b w:val="false"/>
                <w:bCs w:val="false"/>
                <w:i w:val="false"/>
                <w:iCs w:val="false"/>
                <w:color w:val="1F2937"/>
                <w:sz w:val="21"/>
                <w:szCs w:val="21"/>
              </w:rPr>
              <w:t>LoanAccount PDA seeds:   ["loan", owner.key().as_ref()], bump</w:t>
            </w:r>
          </w:p>
        </w:tc>
      </w:tr>
    </w:tbl>
    <w:p>
      <w:pPr>
        <w:pStyle w:val="Normal"/>
        <w:spacing w:before="0" w:after="120"/>
        <w:rPr/>
      </w:pPr>
      <w:r>
        <w:rPr/>
      </w:r>
    </w:p>
    <w:p>
      <w:pPr>
        <w:pStyle w:val="Normal"/>
        <w:spacing w:before="60" w:after="60"/>
        <w:jc w:val="start"/>
        <w:rPr/>
      </w:pPr>
      <w:r>
        <w:rPr>
          <w:rFonts w:eastAsia="Arial" w:cs="Arial"/>
          <w:b w:val="false"/>
          <w:bCs w:val="false"/>
          <w:i w:val="false"/>
          <w:iCs w:val="false"/>
          <w:color w:val="1F2937"/>
          <w:sz w:val="22"/>
          <w:szCs w:val="22"/>
        </w:rPr>
        <w:t>The blockchain itself now enforces uniqueness. A second registration attempt fails at the program level — no frontend validation required. The PDA address is deterministic: given any wallet public key, the FarmerAccount address can always be derived without storing any state.</w:t>
      </w:r>
    </w:p>
    <w:p>
      <w:pPr>
        <w:pStyle w:val="Normal"/>
        <w:spacing w:before="0" w:after="200"/>
        <w:rPr/>
      </w:pPr>
      <w:r>
        <w:rPr/>
      </w:r>
    </w:p>
    <w:p>
      <w:pPr>
        <w:pStyle w:val="Heading2"/>
        <w:pBdr>
          <w:bottom w:val="single" w:sz="2" w:space="0" w:color="5B21B6"/>
        </w:pBdr>
        <w:spacing w:before="300" w:after="120"/>
        <w:rPr/>
      </w:pPr>
      <w:r>
        <w:rPr>
          <w:rFonts w:eastAsia="Arial" w:cs="Arial" w:ascii="Arial" w:hAnsi="Arial"/>
          <w:b/>
          <w:bCs/>
          <w:color w:val="1E1B4B"/>
          <w:sz w:val="24"/>
          <w:szCs w:val="24"/>
        </w:rPr>
        <w:t>3.2  Loan Account Closing on Repayment</w:t>
      </w:r>
    </w:p>
    <w:p>
      <w:pPr>
        <w:pStyle w:val="Normal"/>
        <w:spacing w:before="60" w:after="60"/>
        <w:jc w:val="start"/>
        <w:rPr/>
      </w:pPr>
      <w:r>
        <w:rPr>
          <w:rFonts w:eastAsia="Arial" w:cs="Arial"/>
          <w:b w:val="false"/>
          <w:bCs w:val="false"/>
          <w:i/>
          <w:iCs/>
          <w:color w:val="6B7280"/>
          <w:sz w:val="22"/>
          <w:szCs w:val="22"/>
        </w:rPr>
        <w:t>Files: programs/aim-program/src/lib.rs</w:t>
      </w:r>
    </w:p>
    <w:p>
      <w:pPr>
        <w:pStyle w:val="Normal"/>
        <w:spacing w:before="0" w:after="80"/>
        <w:rPr/>
      </w:pPr>
      <w:r>
        <w:rPr/>
      </w:r>
    </w:p>
    <w:p>
      <w:pPr>
        <w:pStyle w:val="Normal"/>
        <w:spacing w:before="60" w:after="60"/>
        <w:jc w:val="start"/>
        <w:rPr/>
      </w:pPr>
      <w:r>
        <w:rPr>
          <w:rFonts w:eastAsia="Arial" w:cs="Arial"/>
          <w:b w:val="false"/>
          <w:bCs w:val="false"/>
          <w:i w:val="false"/>
          <w:iCs w:val="false"/>
          <w:color w:val="1F2937"/>
          <w:sz w:val="22"/>
          <w:szCs w:val="22"/>
        </w:rPr>
        <w:t>V1.1 marked loans as is_repaid = true but left the account open on-chain. When a farmer attempted to re-borrow, the program tried to initialise an account at a PDA address that already existed — returning an error and blocking the entire loan cycle permanently.</w:t>
      </w:r>
    </w:p>
    <w:p>
      <w:pPr>
        <w:pStyle w:val="Normal"/>
        <w:spacing w:before="0" w:after="120"/>
        <w:rPr/>
      </w:pPr>
      <w:r>
        <w:rPr/>
      </w:r>
    </w:p>
    <w:p>
      <w:pPr>
        <w:pStyle w:val="Normal"/>
        <w:spacing w:before="60" w:after="60"/>
        <w:jc w:val="start"/>
        <w:rPr/>
      </w:pPr>
      <w:r>
        <w:rPr>
          <w:rFonts w:eastAsia="Arial" w:cs="Arial"/>
          <w:b w:val="false"/>
          <w:bCs w:val="false"/>
          <w:i w:val="false"/>
          <w:iCs w:val="false"/>
          <w:color w:val="1F2937"/>
          <w:sz w:val="22"/>
          <w:szCs w:val="22"/>
        </w:rPr>
        <w:t>V2.1 closes the loan account on repayment using Anchor's close constraint:</w:t>
      </w:r>
    </w:p>
    <w:p>
      <w:pPr>
        <w:pStyle w:val="Normal"/>
        <w:spacing w:before="0" w:after="80"/>
        <w:rPr/>
      </w:pPr>
      <w:r>
        <w:rPr/>
      </w:r>
    </w:p>
    <w:tbl>
      <w:tblPr>
        <w:tblW w:w="9360" w:type="dxa"/>
        <w:jc w:val="start"/>
        <w:tblInd w:w="0" w:type="dxa"/>
        <w:tblLayout w:type="fixed"/>
        <w:tblCellMar>
          <w:top w:w="0" w:type="dxa"/>
          <w:start w:w="108" w:type="dxa"/>
          <w:bottom w:w="0" w:type="dxa"/>
          <w:end w:w="108" w:type="dxa"/>
        </w:tblCellMar>
      </w:tblPr>
      <w:tblGrid>
        <w:gridCol w:w="179"/>
        <w:gridCol w:w="9181"/>
      </w:tblGrid>
      <w:tr>
        <w:trPr/>
        <w:tc>
          <w:tcPr>
            <w:tcW w:w="179" w:type="dxa"/>
            <w:tcBorders/>
            <w:shd w:fill="5B21B6" w:val="clear"/>
          </w:tcPr>
          <w:p>
            <w:pPr>
              <w:pStyle w:val="Normal"/>
              <w:rPr/>
            </w:pPr>
            <w:r>
              <w:rPr/>
            </w:r>
          </w:p>
        </w:tc>
        <w:tc>
          <w:tcPr>
            <w:tcW w:w="9181" w:type="dxa"/>
            <w:tcBorders>
              <w:top w:val="single" w:sz="2" w:space="0" w:color="CCCCCC"/>
              <w:start w:val="single" w:sz="2" w:space="0" w:color="CCCCCC"/>
              <w:bottom w:val="single" w:sz="2" w:space="0" w:color="CCCCCC"/>
              <w:end w:val="single" w:sz="2" w:space="0" w:color="CCCCCC"/>
            </w:tcBorders>
            <w:shd w:fill="F5F3FF" w:val="clear"/>
            <w:tcMar>
              <w:top w:w="80" w:type="dxa"/>
              <w:start w:w="180" w:type="dxa"/>
              <w:bottom w:w="80" w:type="dxa"/>
              <w:end w:w="180" w:type="dxa"/>
            </w:tcMar>
          </w:tcPr>
          <w:p>
            <w:pPr>
              <w:pStyle w:val="Normal"/>
              <w:rPr/>
            </w:pPr>
            <w:r>
              <w:rPr>
                <w:rFonts w:eastAsia="Arial" w:cs="Arial"/>
                <w:b w:val="false"/>
                <w:bCs w:val="false"/>
                <w:i w:val="false"/>
                <w:iCs w:val="false"/>
                <w:color w:val="1F2937"/>
                <w:sz w:val="21"/>
                <w:szCs w:val="21"/>
              </w:rPr>
              <w:t>close = owner</w:t>
            </w:r>
          </w:p>
        </w:tc>
      </w:tr>
      <w:tr>
        <w:trPr/>
        <w:tc>
          <w:tcPr>
            <w:tcW w:w="179" w:type="dxa"/>
            <w:tcBorders/>
            <w:shd w:fill="5B21B6" w:val="clear"/>
          </w:tcPr>
          <w:p>
            <w:pPr>
              <w:pStyle w:val="Normal"/>
              <w:rPr/>
            </w:pPr>
            <w:r>
              <w:rPr/>
            </w:r>
          </w:p>
        </w:tc>
        <w:tc>
          <w:tcPr>
            <w:tcW w:w="9181" w:type="dxa"/>
            <w:tcBorders>
              <w:top w:val="single" w:sz="2" w:space="0" w:color="CCCCCC"/>
              <w:start w:val="single" w:sz="2" w:space="0" w:color="CCCCCC"/>
              <w:bottom w:val="single" w:sz="2" w:space="0" w:color="CCCCCC"/>
              <w:end w:val="single" w:sz="2" w:space="0" w:color="CCCCCC"/>
            </w:tcBorders>
            <w:shd w:fill="F5F3FF" w:val="clear"/>
            <w:tcMar>
              <w:top w:w="80" w:type="dxa"/>
              <w:start w:w="180" w:type="dxa"/>
              <w:bottom w:w="80" w:type="dxa"/>
              <w:end w:w="180" w:type="dxa"/>
            </w:tcMar>
          </w:tcPr>
          <w:p>
            <w:pPr>
              <w:pStyle w:val="Normal"/>
              <w:rPr/>
            </w:pPr>
            <w:r>
              <w:rPr/>
            </w:r>
          </w:p>
        </w:tc>
      </w:tr>
      <w:tr>
        <w:trPr/>
        <w:tc>
          <w:tcPr>
            <w:tcW w:w="179" w:type="dxa"/>
            <w:tcBorders/>
            <w:shd w:fill="5B21B6" w:val="clear"/>
          </w:tcPr>
          <w:p>
            <w:pPr>
              <w:pStyle w:val="Normal"/>
              <w:rPr/>
            </w:pPr>
            <w:r>
              <w:rPr/>
            </w:r>
          </w:p>
        </w:tc>
        <w:tc>
          <w:tcPr>
            <w:tcW w:w="9181" w:type="dxa"/>
            <w:tcBorders>
              <w:top w:val="single" w:sz="2" w:space="0" w:color="CCCCCC"/>
              <w:start w:val="single" w:sz="2" w:space="0" w:color="CCCCCC"/>
              <w:bottom w:val="single" w:sz="2" w:space="0" w:color="CCCCCC"/>
              <w:end w:val="single" w:sz="2" w:space="0" w:color="CCCCCC"/>
            </w:tcBorders>
            <w:shd w:fill="F5F3FF" w:val="clear"/>
            <w:tcMar>
              <w:top w:w="80" w:type="dxa"/>
              <w:start w:w="180" w:type="dxa"/>
              <w:bottom w:w="80" w:type="dxa"/>
              <w:end w:w="180" w:type="dxa"/>
            </w:tcMar>
          </w:tcPr>
          <w:p>
            <w:pPr>
              <w:pStyle w:val="Normal"/>
              <w:rPr/>
            </w:pPr>
            <w:r>
              <w:rPr>
                <w:rFonts w:eastAsia="Arial" w:cs="Arial"/>
                <w:b w:val="false"/>
                <w:bCs w:val="false"/>
                <w:i w:val="false"/>
                <w:iCs w:val="false"/>
                <w:color w:val="1F2937"/>
                <w:sz w:val="21"/>
                <w:szCs w:val="21"/>
              </w:rPr>
              <w:t>Effect: Rent SOL is returned to the farmer's wallet. The PDA is freed. A new loan can be initiated immediately.</w:t>
            </w:r>
          </w:p>
        </w:tc>
      </w:tr>
    </w:tbl>
    <w:p>
      <w:pPr>
        <w:pStyle w:val="Normal"/>
        <w:spacing w:before="0" w:after="200"/>
        <w:rPr/>
      </w:pPr>
      <w:r>
        <w:rPr/>
      </w:r>
    </w:p>
    <w:p>
      <w:pPr>
        <w:pStyle w:val="Heading2"/>
        <w:pBdr>
          <w:bottom w:val="single" w:sz="2" w:space="0" w:color="5B21B6"/>
        </w:pBdr>
        <w:spacing w:before="300" w:after="120"/>
        <w:rPr/>
      </w:pPr>
      <w:r>
        <w:rPr>
          <w:rFonts w:eastAsia="Arial" w:cs="Arial" w:ascii="Arial" w:hAnsi="Arial"/>
          <w:b/>
          <w:bCs/>
          <w:color w:val="1E1B4B"/>
          <w:sz w:val="24"/>
          <w:szCs w:val="24"/>
        </w:rPr>
        <w:t>3.3  close_loan Instruction for Legacy Accounts</w:t>
      </w:r>
    </w:p>
    <w:p>
      <w:pPr>
        <w:pStyle w:val="Normal"/>
        <w:spacing w:before="60" w:after="60"/>
        <w:jc w:val="start"/>
        <w:rPr/>
      </w:pPr>
      <w:r>
        <w:rPr>
          <w:rFonts w:eastAsia="Arial" w:cs="Arial"/>
          <w:b w:val="false"/>
          <w:bCs w:val="false"/>
          <w:i/>
          <w:iCs/>
          <w:color w:val="6B7280"/>
          <w:sz w:val="22"/>
          <w:szCs w:val="22"/>
        </w:rPr>
        <w:t>Files: programs/aim-program/src/lib.rs</w:t>
      </w:r>
    </w:p>
    <w:p>
      <w:pPr>
        <w:pStyle w:val="Normal"/>
        <w:spacing w:before="0" w:after="80"/>
        <w:rPr/>
      </w:pPr>
      <w:r>
        <w:rPr/>
      </w:r>
    </w:p>
    <w:p>
      <w:pPr>
        <w:pStyle w:val="Normal"/>
        <w:spacing w:before="60" w:after="60"/>
        <w:jc w:val="start"/>
        <w:rPr/>
      </w:pPr>
      <w:r>
        <w:rPr>
          <w:rFonts w:eastAsia="Arial" w:cs="Arial"/>
          <w:b w:val="false"/>
          <w:bCs w:val="false"/>
          <w:i w:val="false"/>
          <w:iCs w:val="false"/>
          <w:color w:val="1F2937"/>
          <w:sz w:val="22"/>
          <w:szCs w:val="22"/>
        </w:rPr>
        <w:t>A close_loan instruction was added to handle accounts created under V1.1 that had been marked repaid but never closed. This migration instruction allowed legacy accounts to be cleared cleanly, restoring borrow eligibility for affected wallets without data loss.</w:t>
      </w:r>
    </w:p>
    <w:p>
      <w:pPr>
        <w:pStyle w:val="Normal"/>
        <w:spacing w:before="0" w:after="200"/>
        <w:rPr/>
      </w:pPr>
      <w:r>
        <w:rPr/>
      </w:r>
    </w:p>
    <w:p>
      <w:pPr>
        <w:pStyle w:val="Heading2"/>
        <w:pBdr>
          <w:bottom w:val="single" w:sz="2" w:space="0" w:color="5B21B6"/>
        </w:pBdr>
        <w:spacing w:before="300" w:after="120"/>
        <w:rPr/>
      </w:pPr>
      <w:r>
        <w:rPr>
          <w:rFonts w:eastAsia="Arial" w:cs="Arial" w:ascii="Arial" w:hAnsi="Arial"/>
          <w:b/>
          <w:bCs/>
          <w:color w:val="1E1B4B"/>
          <w:sz w:val="24"/>
          <w:szCs w:val="24"/>
        </w:rPr>
        <w:t>3.4  Comprehensive Test Suite</w:t>
      </w:r>
    </w:p>
    <w:p>
      <w:pPr>
        <w:pStyle w:val="Normal"/>
        <w:spacing w:before="60" w:after="60"/>
        <w:jc w:val="start"/>
        <w:rPr/>
      </w:pPr>
      <w:r>
        <w:rPr>
          <w:rFonts w:eastAsia="Arial" w:cs="Arial"/>
          <w:b w:val="false"/>
          <w:bCs w:val="false"/>
          <w:i/>
          <w:iCs/>
          <w:color w:val="6B7280"/>
          <w:sz w:val="22"/>
          <w:szCs w:val="22"/>
        </w:rPr>
        <w:t>Files: tests/aim-program.ts</w:t>
      </w:r>
    </w:p>
    <w:p>
      <w:pPr>
        <w:pStyle w:val="Normal"/>
        <w:spacing w:before="0" w:after="80"/>
        <w:rPr/>
      </w:pPr>
      <w:r>
        <w:rPr/>
      </w:r>
    </w:p>
    <w:p>
      <w:pPr>
        <w:pStyle w:val="Normal"/>
        <w:spacing w:before="60" w:after="60"/>
        <w:jc w:val="start"/>
        <w:rPr/>
      </w:pPr>
      <w:r>
        <w:rPr>
          <w:rFonts w:eastAsia="Arial" w:cs="Arial"/>
          <w:b w:val="false"/>
          <w:bCs w:val="false"/>
          <w:i w:val="false"/>
          <w:iCs w:val="false"/>
          <w:color w:val="1F2937"/>
          <w:sz w:val="22"/>
          <w:szCs w:val="22"/>
        </w:rPr>
        <w:t>V1.1 had only the default Anchor boilerplate test. V2.1 ships a full 5-test suite — all tests pass before every deployment:</w:t>
      </w:r>
    </w:p>
    <w:p>
      <w:pPr>
        <w:pStyle w:val="Normal"/>
        <w:spacing w:before="0" w:after="120"/>
        <w:rPr/>
      </w:pPr>
      <w:r>
        <w:rPr/>
      </w:r>
    </w:p>
    <w:tbl>
      <w:tblPr>
        <w:tblW w:w="9360" w:type="dxa"/>
        <w:jc w:val="start"/>
        <w:tblInd w:w="0" w:type="dxa"/>
        <w:tblLayout w:type="fixed"/>
        <w:tblCellMar>
          <w:top w:w="80" w:type="dxa"/>
          <w:start w:w="120" w:type="dxa"/>
          <w:bottom w:w="80" w:type="dxa"/>
          <w:end w:w="120" w:type="dxa"/>
        </w:tblCellMar>
      </w:tblPr>
      <w:tblGrid>
        <w:gridCol w:w="3900"/>
        <w:gridCol w:w="5460"/>
      </w:tblGrid>
      <w:tr>
        <w:trPr/>
        <w:tc>
          <w:tcPr>
            <w:tcW w:w="3900" w:type="dxa"/>
            <w:tcBorders>
              <w:top w:val="single" w:sz="2" w:space="0" w:color="CCCCCC"/>
              <w:start w:val="single" w:sz="2" w:space="0" w:color="CCCCCC"/>
              <w:bottom w:val="single" w:sz="2" w:space="0" w:color="CCCCCC"/>
              <w:end w:val="single" w:sz="2" w:space="0" w:color="CCCCCC"/>
            </w:tcBorders>
            <w:shd w:fill="1E1B4B" w:val="clear"/>
          </w:tcPr>
          <w:p>
            <w:pPr>
              <w:pStyle w:val="Normal"/>
              <w:rPr/>
            </w:pPr>
            <w:r>
              <w:rPr>
                <w:rFonts w:eastAsia="Arial" w:cs="Arial"/>
                <w:b/>
                <w:bCs/>
                <w:color w:val="FFFFFF"/>
                <w:sz w:val="20"/>
                <w:szCs w:val="20"/>
              </w:rPr>
              <w:t>Test</w:t>
            </w:r>
          </w:p>
        </w:tc>
        <w:tc>
          <w:tcPr>
            <w:tcW w:w="5460" w:type="dxa"/>
            <w:tcBorders>
              <w:top w:val="single" w:sz="2" w:space="0" w:color="CCCCCC"/>
              <w:start w:val="single" w:sz="2" w:space="0" w:color="CCCCCC"/>
              <w:bottom w:val="single" w:sz="2" w:space="0" w:color="CCCCCC"/>
              <w:end w:val="single" w:sz="2" w:space="0" w:color="CCCCCC"/>
            </w:tcBorders>
            <w:shd w:fill="1E1B4B" w:val="clear"/>
          </w:tcPr>
          <w:p>
            <w:pPr>
              <w:pStyle w:val="Normal"/>
              <w:rPr/>
            </w:pPr>
            <w:r>
              <w:rPr>
                <w:rFonts w:eastAsia="Arial" w:cs="Arial"/>
                <w:b/>
                <w:bCs/>
                <w:color w:val="FFFFFF"/>
                <w:sz w:val="20"/>
                <w:szCs w:val="20"/>
              </w:rPr>
              <w:t>Validates</w:t>
            </w:r>
          </w:p>
        </w:tc>
      </w:tr>
      <w:tr>
        <w:trPr/>
        <w:tc>
          <w:tcPr>
            <w:tcW w:w="39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Creates a Farmer ID via PDA</w:t>
            </w:r>
          </w:p>
        </w:tc>
        <w:tc>
          <w:tcPr>
            <w:tcW w:w="54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PDA derivation correct, FarmerAccount initialised with correct fields</w:t>
            </w:r>
          </w:p>
        </w:tc>
      </w:tr>
      <w:tr>
        <w:trPr/>
        <w:tc>
          <w:tcPr>
            <w:tcW w:w="390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Blocks duplicate registration</w:t>
            </w:r>
          </w:p>
        </w:tc>
        <w:tc>
          <w:tcPr>
            <w:tcW w:w="546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Second registration attempt from same wallet returns AlreadyInUse error</w:t>
            </w:r>
          </w:p>
        </w:tc>
      </w:tr>
      <w:tr>
        <w:trPr/>
        <w:tc>
          <w:tcPr>
            <w:tcW w:w="39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Requests a loan</w:t>
            </w:r>
          </w:p>
        </w:tc>
        <w:tc>
          <w:tcPr>
            <w:tcW w:w="54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LoanAccount PDA created, amount and purpose stored correctly</w:t>
            </w:r>
          </w:p>
        </w:tc>
      </w:tr>
      <w:tr>
        <w:trPr/>
        <w:tc>
          <w:tcPr>
            <w:tcW w:w="390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Blocks second loan while one is active</w:t>
            </w:r>
          </w:p>
        </w:tc>
        <w:tc>
          <w:tcPr>
            <w:tcW w:w="546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ActiveLoanExists error returned correctly</w:t>
            </w:r>
          </w:p>
        </w:tc>
      </w:tr>
      <w:tr>
        <w:trPr/>
        <w:tc>
          <w:tcPr>
            <w:tcW w:w="39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Repays loan and confirms account closed</w:t>
            </w:r>
          </w:p>
        </w:tc>
        <w:tc>
          <w:tcPr>
            <w:tcW w:w="54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LoanAccount PDA closed, rent returned, re-borrow cycle unblocked</w:t>
            </w:r>
          </w:p>
        </w:tc>
      </w:tr>
    </w:tbl>
    <w:p>
      <w:pPr>
        <w:pStyle w:val="Normal"/>
        <w:spacing w:before="0" w:after="200"/>
        <w:rPr/>
      </w:pPr>
      <w:r>
        <w:rPr/>
      </w:r>
    </w:p>
    <w:p>
      <w:pPr>
        <w:pStyle w:val="Heading2"/>
        <w:pBdr>
          <w:bottom w:val="single" w:sz="2" w:space="0" w:color="5B21B6"/>
        </w:pBdr>
        <w:spacing w:before="300" w:after="120"/>
        <w:rPr/>
      </w:pPr>
      <w:r>
        <w:rPr>
          <w:rFonts w:eastAsia="Arial" w:cs="Arial" w:ascii="Arial" w:hAnsi="Arial"/>
          <w:b/>
          <w:bCs/>
          <w:color w:val="1E1B4B"/>
          <w:sz w:val="24"/>
          <w:szCs w:val="24"/>
        </w:rPr>
        <w:t>3.5  Repay Loan UI</w:t>
      </w:r>
    </w:p>
    <w:p>
      <w:pPr>
        <w:pStyle w:val="Normal"/>
        <w:spacing w:before="60" w:after="60"/>
        <w:jc w:val="start"/>
        <w:rPr/>
      </w:pPr>
      <w:r>
        <w:rPr>
          <w:rFonts w:eastAsia="Arial" w:cs="Arial"/>
          <w:b w:val="false"/>
          <w:bCs w:val="false"/>
          <w:i/>
          <w:iCs/>
          <w:color w:val="6B7280"/>
          <w:sz w:val="22"/>
          <w:szCs w:val="22"/>
        </w:rPr>
        <w:t>Files: src/RepayLoan.jsx  (NEW)</w:t>
      </w:r>
    </w:p>
    <w:p>
      <w:pPr>
        <w:pStyle w:val="Normal"/>
        <w:spacing w:before="0" w:after="80"/>
        <w:rPr/>
      </w:pPr>
      <w:r>
        <w:rPr/>
      </w:r>
    </w:p>
    <w:p>
      <w:pPr>
        <w:pStyle w:val="Normal"/>
        <w:spacing w:before="60" w:after="60"/>
        <w:jc w:val="start"/>
        <w:rPr/>
      </w:pPr>
      <w:r>
        <w:rPr>
          <w:rFonts w:eastAsia="Arial" w:cs="Arial"/>
          <w:b w:val="false"/>
          <w:bCs w:val="false"/>
          <w:i w:val="false"/>
          <w:iCs w:val="false"/>
          <w:color w:val="1F2937"/>
          <w:sz w:val="22"/>
          <w:szCs w:val="22"/>
        </w:rPr>
        <w:t>New screen displaying full loan details with real-time status derived from on-chain data:</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340"/>
        <w:gridCol w:w="7020"/>
      </w:tblGrid>
      <w:tr>
        <w:trPr/>
        <w:tc>
          <w:tcPr>
            <w:tcW w:w="2340" w:type="dxa"/>
            <w:tcBorders>
              <w:top w:val="single" w:sz="2" w:space="0" w:color="CCCCCC"/>
              <w:start w:val="single" w:sz="2" w:space="0" w:color="CCCCCC"/>
              <w:bottom w:val="single" w:sz="2" w:space="0" w:color="CCCCCC"/>
              <w:end w:val="single" w:sz="2" w:space="0" w:color="CCCCCC"/>
            </w:tcBorders>
            <w:shd w:fill="1E1B4B" w:val="clear"/>
          </w:tcPr>
          <w:p>
            <w:pPr>
              <w:pStyle w:val="Normal"/>
              <w:rPr/>
            </w:pPr>
            <w:r>
              <w:rPr>
                <w:rFonts w:eastAsia="Arial" w:cs="Arial"/>
                <w:b/>
                <w:bCs/>
                <w:color w:val="FFFFFF"/>
                <w:sz w:val="20"/>
                <w:szCs w:val="20"/>
              </w:rPr>
              <w:t>Status</w:t>
            </w:r>
          </w:p>
        </w:tc>
        <w:tc>
          <w:tcPr>
            <w:tcW w:w="7020" w:type="dxa"/>
            <w:tcBorders>
              <w:top w:val="single" w:sz="2" w:space="0" w:color="CCCCCC"/>
              <w:start w:val="single" w:sz="2" w:space="0" w:color="CCCCCC"/>
              <w:bottom w:val="single" w:sz="2" w:space="0" w:color="CCCCCC"/>
              <w:end w:val="single" w:sz="2" w:space="0" w:color="CCCCCC"/>
            </w:tcBorders>
            <w:shd w:fill="1E1B4B" w:val="clear"/>
          </w:tcPr>
          <w:p>
            <w:pPr>
              <w:pStyle w:val="Normal"/>
              <w:rPr/>
            </w:pPr>
            <w:r>
              <w:rPr>
                <w:rFonts w:eastAsia="Arial" w:cs="Arial"/>
                <w:b/>
                <w:bCs/>
                <w:color w:val="FFFFFF"/>
                <w:sz w:val="20"/>
                <w:szCs w:val="20"/>
              </w:rPr>
              <w:t>Display</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D4ED8"/>
                <w:sz w:val="20"/>
                <w:szCs w:val="20"/>
              </w:rPr>
              <w:t>ACTIVE</w:t>
            </w:r>
          </w:p>
        </w:tc>
        <w:tc>
          <w:tcPr>
            <w:tcW w:w="70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Days remaining until repayment deadline — shown in yellow</w:t>
            </w:r>
          </w:p>
        </w:tc>
      </w:tr>
      <w:tr>
        <w:trPr/>
        <w:tc>
          <w:tcPr>
            <w:tcW w:w="234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bCs/>
                <w:color w:val="DC2626"/>
                <w:sz w:val="20"/>
                <w:szCs w:val="20"/>
              </w:rPr>
              <w:t>OVERDUE</w:t>
            </w:r>
          </w:p>
        </w:tc>
        <w:tc>
          <w:tcPr>
            <w:tcW w:w="702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Days past deadline — shown in red with urgency indicator</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6A34A"/>
                <w:sz w:val="20"/>
                <w:szCs w:val="20"/>
              </w:rPr>
              <w:t>REPAID</w:t>
            </w:r>
          </w:p>
        </w:tc>
        <w:tc>
          <w:tcPr>
            <w:tcW w:w="70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Loan closed — farmer eligible for new loan</w:t>
            </w:r>
          </w:p>
        </w:tc>
      </w:tr>
    </w:tbl>
    <w:p>
      <w:pPr>
        <w:pStyle w:val="Normal"/>
        <w:spacing w:before="0" w:after="120"/>
        <w:rPr/>
      </w:pPr>
      <w:r>
        <w:rPr/>
      </w:r>
    </w:p>
    <w:p>
      <w:pPr>
        <w:pStyle w:val="Normal"/>
        <w:spacing w:before="60" w:after="60"/>
        <w:jc w:val="start"/>
        <w:rPr/>
      </w:pPr>
      <w:r>
        <w:rPr>
          <w:rFonts w:eastAsia="Arial" w:cs="Arial"/>
          <w:b w:val="false"/>
          <w:bCs w:val="false"/>
          <w:i w:val="false"/>
          <w:iCs w:val="false"/>
          <w:color w:val="1F2937"/>
          <w:sz w:val="22"/>
          <w:szCs w:val="22"/>
        </w:rPr>
        <w:t>The Repay in Full button triggers the repay_loan instruction on-chain via Phantom. On confirmation, the loan PDA is closed and the farmer is redirected to their dashboard.</w:t>
      </w:r>
    </w:p>
    <w:p>
      <w:pPr>
        <w:pStyle w:val="Normal"/>
        <w:spacing w:before="0" w:after="200"/>
        <w:rPr/>
      </w:pPr>
      <w:r>
        <w:rPr/>
      </w:r>
    </w:p>
    <w:p>
      <w:pPr>
        <w:pStyle w:val="Heading2"/>
        <w:pBdr>
          <w:bottom w:val="single" w:sz="2" w:space="0" w:color="5B21B6"/>
        </w:pBdr>
        <w:spacing w:before="300" w:after="120"/>
        <w:rPr/>
      </w:pPr>
      <w:r>
        <w:rPr>
          <w:rFonts w:eastAsia="Arial" w:cs="Arial" w:ascii="Arial" w:hAnsi="Arial"/>
          <w:b/>
          <w:bCs/>
          <w:color w:val="1E1B4B"/>
          <w:sz w:val="24"/>
          <w:szCs w:val="24"/>
        </w:rPr>
        <w:t>3.6  Loan Status Dashboard</w:t>
      </w:r>
    </w:p>
    <w:p>
      <w:pPr>
        <w:pStyle w:val="Normal"/>
        <w:spacing w:before="60" w:after="60"/>
        <w:jc w:val="start"/>
        <w:rPr/>
      </w:pPr>
      <w:r>
        <w:rPr>
          <w:rFonts w:eastAsia="Arial" w:cs="Arial"/>
          <w:b w:val="false"/>
          <w:bCs w:val="false"/>
          <w:i/>
          <w:iCs/>
          <w:color w:val="6B7280"/>
          <w:sz w:val="22"/>
          <w:szCs w:val="22"/>
        </w:rPr>
        <w:t>Files: src/Dashboard.jsx  (NEW)</w:t>
      </w:r>
    </w:p>
    <w:p>
      <w:pPr>
        <w:pStyle w:val="Normal"/>
        <w:spacing w:before="0" w:after="80"/>
        <w:rPr/>
      </w:pPr>
      <w:r>
        <w:rPr/>
      </w:r>
    </w:p>
    <w:p>
      <w:pPr>
        <w:pStyle w:val="Normal"/>
        <w:spacing w:before="60" w:after="60"/>
        <w:jc w:val="start"/>
        <w:rPr/>
      </w:pPr>
      <w:r>
        <w:rPr>
          <w:rFonts w:eastAsia="Arial" w:cs="Arial"/>
          <w:b w:val="false"/>
          <w:bCs w:val="false"/>
          <w:i w:val="false"/>
          <w:iCs w:val="false"/>
          <w:color w:val="1F2937"/>
          <w:sz w:val="22"/>
          <w:szCs w:val="22"/>
        </w:rPr>
        <w:t>Central hub for a farmer's on-chain identity. After registration, farmers land here instead of the home screen. Single screen showing:</w:t>
      </w:r>
    </w:p>
    <w:p>
      <w:pPr>
        <w:pStyle w:val="Normal"/>
        <w:spacing w:before="0" w:after="80"/>
        <w:rPr/>
      </w:pPr>
      <w:r>
        <w:rPr/>
      </w:r>
    </w:p>
    <w:p>
      <w:pPr>
        <w:pStyle w:val="ListParagraph"/>
        <w:numPr>
          <w:ilvl w:val="0"/>
          <w:numId w:val="3"/>
        </w:numPr>
        <w:spacing w:before="40" w:after="40"/>
        <w:rPr/>
      </w:pPr>
      <w:r>
        <w:rPr>
          <w:rFonts w:eastAsia="Arial" w:cs="Arial"/>
          <w:color w:val="1F2937"/>
          <w:sz w:val="22"/>
          <w:szCs w:val="22"/>
        </w:rPr>
        <w:t>Farmer profile — name, crop type, district, farm size, member since date, Farmer PDA address</w:t>
      </w:r>
    </w:p>
    <w:p>
      <w:pPr>
        <w:pStyle w:val="ListParagraph"/>
        <w:numPr>
          <w:ilvl w:val="0"/>
          <w:numId w:val="1"/>
        </w:numPr>
        <w:spacing w:before="40" w:after="40"/>
        <w:rPr/>
      </w:pPr>
      <w:r>
        <w:rPr>
          <w:rFonts w:eastAsia="Arial" w:cs="Arial"/>
          <w:color w:val="1F2937"/>
          <w:sz w:val="22"/>
          <w:szCs w:val="22"/>
        </w:rPr>
        <w:t>Current loan status with deadline, days remaining, and status badge</w:t>
      </w:r>
    </w:p>
    <w:p>
      <w:pPr>
        <w:pStyle w:val="ListParagraph"/>
        <w:numPr>
          <w:ilvl w:val="0"/>
          <w:numId w:val="1"/>
        </w:numPr>
        <w:spacing w:before="40" w:after="40"/>
        <w:rPr/>
      </w:pPr>
      <w:r>
        <w:rPr>
          <w:rFonts w:eastAsia="Arial" w:cs="Arial"/>
          <w:color w:val="1F2937"/>
          <w:sz w:val="22"/>
          <w:szCs w:val="22"/>
        </w:rPr>
        <w:t>Action buttons that adapt to loan state — Request Loan if eligible, Repay if active</w:t>
      </w:r>
    </w:p>
    <w:p>
      <w:pPr>
        <w:pStyle w:val="ListParagraph"/>
        <w:numPr>
          <w:ilvl w:val="0"/>
          <w:numId w:val="1"/>
        </w:numPr>
        <w:spacing w:before="40" w:after="40"/>
        <w:rPr/>
      </w:pPr>
      <w:r>
        <w:rPr>
          <w:rFonts w:eastAsia="Arial" w:cs="Arial"/>
          <w:color w:val="1F2937"/>
          <w:sz w:val="22"/>
          <w:szCs w:val="22"/>
        </w:rPr>
        <w:t>Navigation to full loan history</w:t>
      </w:r>
    </w:p>
    <w:p>
      <w:pPr>
        <w:pStyle w:val="Normal"/>
        <w:spacing w:before="0" w:after="200"/>
        <w:rPr/>
      </w:pPr>
      <w:r>
        <w:rPr/>
      </w:r>
    </w:p>
    <w:p>
      <w:pPr>
        <w:pStyle w:val="Heading2"/>
        <w:pBdr>
          <w:bottom w:val="single" w:sz="2" w:space="0" w:color="5B21B6"/>
        </w:pBdr>
        <w:spacing w:before="300" w:after="120"/>
        <w:rPr/>
      </w:pPr>
      <w:r>
        <w:rPr>
          <w:rFonts w:eastAsia="Arial" w:cs="Arial" w:ascii="Arial" w:hAnsi="Arial"/>
          <w:b/>
          <w:bCs/>
          <w:color w:val="1E1B4B"/>
          <w:sz w:val="24"/>
          <w:szCs w:val="24"/>
        </w:rPr>
        <w:t>3.7  Loan History</w:t>
      </w:r>
    </w:p>
    <w:p>
      <w:pPr>
        <w:pStyle w:val="Normal"/>
        <w:spacing w:before="60" w:after="60"/>
        <w:jc w:val="start"/>
        <w:rPr/>
      </w:pPr>
      <w:r>
        <w:rPr>
          <w:rFonts w:eastAsia="Arial" w:cs="Arial"/>
          <w:b w:val="false"/>
          <w:bCs w:val="false"/>
          <w:i/>
          <w:iCs/>
          <w:color w:val="6B7280"/>
          <w:sz w:val="22"/>
          <w:szCs w:val="22"/>
        </w:rPr>
        <w:t>Files: src/LoanHistory.jsx  (NEW)</w:t>
      </w:r>
    </w:p>
    <w:p>
      <w:pPr>
        <w:pStyle w:val="Normal"/>
        <w:spacing w:before="0" w:after="80"/>
        <w:rPr/>
      </w:pPr>
      <w:r>
        <w:rPr/>
      </w:r>
    </w:p>
    <w:p>
      <w:pPr>
        <w:pStyle w:val="Normal"/>
        <w:spacing w:before="60" w:after="60"/>
        <w:jc w:val="start"/>
        <w:rPr/>
      </w:pPr>
      <w:r>
        <w:rPr>
          <w:rFonts w:eastAsia="Arial" w:cs="Arial"/>
          <w:b w:val="false"/>
          <w:bCs w:val="false"/>
          <w:i w:val="false"/>
          <w:iCs w:val="false"/>
          <w:color w:val="1F2937"/>
          <w:sz w:val="22"/>
          <w:szCs w:val="22"/>
        </w:rPr>
        <w:t>On-chain transaction history parsed directly from Solana RPC signature records. No additional smart contract storage required — the blockchain's permanent transaction record serves as the history layer.</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4680"/>
        <w:gridCol w:w="4680"/>
      </w:tblGrid>
      <w:tr>
        <w:trPr/>
        <w:tc>
          <w:tcPr>
            <w:tcW w:w="4680" w:type="dxa"/>
            <w:tcBorders>
              <w:top w:val="single" w:sz="2" w:space="0" w:color="CCCCCC"/>
              <w:start w:val="single" w:sz="2" w:space="0" w:color="CCCCCC"/>
              <w:bottom w:val="single" w:sz="2" w:space="0" w:color="CCCCCC"/>
              <w:end w:val="single" w:sz="2" w:space="0" w:color="CCCCCC"/>
            </w:tcBorders>
            <w:shd w:fill="1E1B4B" w:val="clear"/>
          </w:tcPr>
          <w:p>
            <w:pPr>
              <w:pStyle w:val="Normal"/>
              <w:rPr/>
            </w:pPr>
            <w:r>
              <w:rPr>
                <w:rFonts w:eastAsia="Arial" w:cs="Arial"/>
                <w:b/>
                <w:bCs/>
                <w:color w:val="FFFFFF"/>
                <w:sz w:val="20"/>
                <w:szCs w:val="20"/>
              </w:rPr>
              <w:t>Field Shown Per Loan</w:t>
            </w:r>
          </w:p>
        </w:tc>
        <w:tc>
          <w:tcPr>
            <w:tcW w:w="4680" w:type="dxa"/>
            <w:tcBorders>
              <w:top w:val="single" w:sz="2" w:space="0" w:color="CCCCCC"/>
              <w:start w:val="single" w:sz="2" w:space="0" w:color="CCCCCC"/>
              <w:bottom w:val="single" w:sz="2" w:space="0" w:color="CCCCCC"/>
              <w:end w:val="single" w:sz="2" w:space="0" w:color="CCCCCC"/>
            </w:tcBorders>
            <w:shd w:fill="1E1B4B" w:val="clear"/>
          </w:tcPr>
          <w:p>
            <w:pPr>
              <w:pStyle w:val="Normal"/>
              <w:rPr/>
            </w:pPr>
            <w:r>
              <w:rPr>
                <w:rFonts w:eastAsia="Arial" w:cs="Arial"/>
                <w:b/>
                <w:bCs/>
                <w:color w:val="FFFFFF"/>
                <w:sz w:val="20"/>
                <w:szCs w:val="20"/>
              </w:rPr>
              <w:t>Source</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Loan number</w:t>
            </w:r>
          </w:p>
        </w:tc>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Derived from transaction order</w:t>
            </w:r>
          </w:p>
        </w:tc>
      </w:tr>
      <w:tr>
        <w:trPr/>
        <w:tc>
          <w:tcPr>
            <w:tcW w:w="468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Amount (SOL)</w:t>
            </w:r>
          </w:p>
        </w:tc>
        <w:tc>
          <w:tcPr>
            <w:tcW w:w="468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Parsed from transaction instruction data</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Status badge</w:t>
            </w:r>
          </w:p>
        </w:tc>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Derived from account state</w:t>
            </w:r>
          </w:p>
        </w:tc>
      </w:tr>
      <w:tr>
        <w:trPr/>
        <w:tc>
          <w:tcPr>
            <w:tcW w:w="468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Request date</w:t>
            </w:r>
          </w:p>
        </w:tc>
        <w:tc>
          <w:tcPr>
            <w:tcW w:w="468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Block timestamp of loan creation transaction</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Repayment date</w:t>
            </w:r>
          </w:p>
        </w:tc>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Block timestamp of repayment transaction</w:t>
            </w:r>
          </w:p>
        </w:tc>
      </w:tr>
      <w:tr>
        <w:trPr/>
        <w:tc>
          <w:tcPr>
            <w:tcW w:w="468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Solana Explorer links</w:t>
            </w:r>
          </w:p>
        </w:tc>
        <w:tc>
          <w:tcPr>
            <w:tcW w:w="468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Transaction signatures for both creation and repayment</w:t>
            </w:r>
          </w:p>
        </w:tc>
      </w:tr>
    </w:tbl>
    <w:p>
      <w:pPr>
        <w:pStyle w:val="Normal"/>
        <w:spacing w:before="0" w:after="80"/>
        <w:rPr/>
      </w:pPr>
      <w:r>
        <w:rPr/>
      </w:r>
    </w:p>
    <w:p>
      <w:pPr>
        <w:pStyle w:val="Normal"/>
        <w:spacing w:before="60" w:after="60"/>
        <w:jc w:val="start"/>
        <w:rPr/>
      </w:pPr>
      <w:r>
        <w:rPr>
          <w:rFonts w:eastAsia="Arial" w:cs="Arial"/>
          <w:b w:val="false"/>
          <w:bCs w:val="false"/>
          <w:i w:val="false"/>
          <w:iCs w:val="false"/>
          <w:color w:val="1F2937"/>
          <w:sz w:val="22"/>
          <w:szCs w:val="22"/>
        </w:rPr>
        <w:t>Summary statistics shown at top: total loans taken, total loans repaid, total SOL borrowed.</w:t>
      </w:r>
    </w:p>
    <w:p>
      <w:pPr>
        <w:pStyle w:val="Normal"/>
        <w:spacing w:before="0" w:after="200"/>
        <w:rPr/>
      </w:pPr>
      <w:r>
        <w:rPr/>
      </w:r>
    </w:p>
    <w:p>
      <w:pPr>
        <w:pStyle w:val="Heading2"/>
        <w:pBdr>
          <w:bottom w:val="single" w:sz="2" w:space="0" w:color="5B21B6"/>
        </w:pBdr>
        <w:spacing w:before="300" w:after="120"/>
        <w:rPr/>
      </w:pPr>
      <w:r>
        <w:rPr>
          <w:rFonts w:eastAsia="Arial" w:cs="Arial" w:ascii="Arial" w:hAnsi="Arial"/>
          <w:b/>
          <w:bCs/>
          <w:color w:val="1E1B4B"/>
          <w:sz w:val="24"/>
          <w:szCs w:val="24"/>
        </w:rPr>
        <w:t>3.8  Plain English Error Messages</w:t>
      </w:r>
    </w:p>
    <w:p>
      <w:pPr>
        <w:pStyle w:val="Normal"/>
        <w:spacing w:before="60" w:after="60"/>
        <w:jc w:val="start"/>
        <w:rPr/>
      </w:pPr>
      <w:r>
        <w:rPr>
          <w:rFonts w:eastAsia="Arial" w:cs="Arial"/>
          <w:b w:val="false"/>
          <w:bCs w:val="false"/>
          <w:i/>
          <w:iCs/>
          <w:color w:val="6B7280"/>
          <w:sz w:val="22"/>
          <w:szCs w:val="22"/>
        </w:rPr>
        <w:t>Files: src/useAimProgram.js, src/FarmerID.jsx, src/Microloan.jsx, src/RepayLoan.jsx</w:t>
      </w:r>
    </w:p>
    <w:p>
      <w:pPr>
        <w:pStyle w:val="Normal"/>
        <w:spacing w:before="0" w:after="80"/>
        <w:rPr/>
      </w:pPr>
      <w:r>
        <w:rPr/>
      </w:r>
    </w:p>
    <w:p>
      <w:pPr>
        <w:pStyle w:val="Normal"/>
        <w:spacing w:before="60" w:after="60"/>
        <w:jc w:val="start"/>
        <w:rPr/>
      </w:pPr>
      <w:r>
        <w:rPr>
          <w:rFonts w:eastAsia="Arial" w:cs="Arial"/>
          <w:b w:val="false"/>
          <w:bCs w:val="false"/>
          <w:i w:val="false"/>
          <w:iCs w:val="false"/>
          <w:color w:val="1F2937"/>
          <w:sz w:val="22"/>
          <w:szCs w:val="22"/>
        </w:rPr>
        <w:t>A parseAnchorError() helper function was added to useAimProgram.js. It maps every raw Solana and Anchor error code to a human-readable message displayed inline in the UI:</w:t>
      </w:r>
    </w:p>
    <w:p>
      <w:pPr>
        <w:pStyle w:val="Normal"/>
        <w:spacing w:before="0" w:after="120"/>
        <w:rPr/>
      </w:pPr>
      <w:r>
        <w:rPr/>
      </w:r>
    </w:p>
    <w:tbl>
      <w:tblPr>
        <w:tblW w:w="9360" w:type="dxa"/>
        <w:jc w:val="start"/>
        <w:tblInd w:w="0" w:type="dxa"/>
        <w:tblLayout w:type="fixed"/>
        <w:tblCellMar>
          <w:top w:w="80" w:type="dxa"/>
          <w:start w:w="120" w:type="dxa"/>
          <w:bottom w:w="80" w:type="dxa"/>
          <w:end w:w="120" w:type="dxa"/>
        </w:tblCellMar>
      </w:tblPr>
      <w:tblGrid>
        <w:gridCol w:w="4680"/>
        <w:gridCol w:w="4680"/>
      </w:tblGrid>
      <w:tr>
        <w:trPr/>
        <w:tc>
          <w:tcPr>
            <w:tcW w:w="4680" w:type="dxa"/>
            <w:tcBorders>
              <w:top w:val="single" w:sz="2" w:space="0" w:color="CCCCCC"/>
              <w:start w:val="single" w:sz="2" w:space="0" w:color="CCCCCC"/>
              <w:bottom w:val="single" w:sz="2" w:space="0" w:color="CCCCCC"/>
              <w:end w:val="single" w:sz="2" w:space="0" w:color="CCCCCC"/>
            </w:tcBorders>
            <w:shd w:fill="1E1B4B" w:val="clear"/>
          </w:tcPr>
          <w:p>
            <w:pPr>
              <w:pStyle w:val="Normal"/>
              <w:rPr/>
            </w:pPr>
            <w:r>
              <w:rPr>
                <w:rFonts w:eastAsia="Arial" w:cs="Arial"/>
                <w:b/>
                <w:bCs/>
                <w:color w:val="FFFFFF"/>
                <w:sz w:val="20"/>
                <w:szCs w:val="20"/>
              </w:rPr>
              <w:t>Raw Error</w:t>
            </w:r>
          </w:p>
        </w:tc>
        <w:tc>
          <w:tcPr>
            <w:tcW w:w="4680" w:type="dxa"/>
            <w:tcBorders>
              <w:top w:val="single" w:sz="2" w:space="0" w:color="CCCCCC"/>
              <w:start w:val="single" w:sz="2" w:space="0" w:color="CCCCCC"/>
              <w:bottom w:val="single" w:sz="2" w:space="0" w:color="CCCCCC"/>
              <w:end w:val="single" w:sz="2" w:space="0" w:color="CCCCCC"/>
            </w:tcBorders>
            <w:shd w:fill="1E1B4B" w:val="clear"/>
          </w:tcPr>
          <w:p>
            <w:pPr>
              <w:pStyle w:val="Normal"/>
              <w:rPr/>
            </w:pPr>
            <w:r>
              <w:rPr>
                <w:rFonts w:eastAsia="Arial" w:cs="Arial"/>
                <w:b/>
                <w:bCs/>
                <w:color w:val="FFFFFF"/>
                <w:sz w:val="20"/>
                <w:szCs w:val="20"/>
              </w:rPr>
              <w:t>Plain English Message</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custom program error: 0x0</w:t>
            </w:r>
          </w:p>
        </w:tc>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This account already exists on-chain</w:t>
            </w:r>
          </w:p>
        </w:tc>
      </w:tr>
      <w:tr>
        <w:trPr/>
        <w:tc>
          <w:tcPr>
            <w:tcW w:w="468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ActiveLoanExists</w:t>
            </w:r>
          </w:p>
        </w:tc>
        <w:tc>
          <w:tcPr>
            <w:tcW w:w="468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You already have an active loan. Repay it before requesting a new one.</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LoanAlreadyRepaid</w:t>
            </w:r>
          </w:p>
        </w:tc>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This loan has already been repaid.</w:t>
            </w:r>
          </w:p>
        </w:tc>
      </w:tr>
      <w:tr>
        <w:trPr/>
        <w:tc>
          <w:tcPr>
            <w:tcW w:w="468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AccountNotInitialized</w:t>
            </w:r>
          </w:p>
        </w:tc>
        <w:tc>
          <w:tcPr>
            <w:tcW w:w="468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Account not found. Please register your Farmer ID first.</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insufficient funds</w:t>
            </w:r>
          </w:p>
        </w:tc>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Not enough SOL in your wallet to complete this transaction.</w:t>
            </w:r>
          </w:p>
        </w:tc>
      </w:tr>
      <w:tr>
        <w:trPr/>
        <w:tc>
          <w:tcPr>
            <w:tcW w:w="468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User rejected</w:t>
            </w:r>
          </w:p>
        </w:tc>
        <w:tc>
          <w:tcPr>
            <w:tcW w:w="468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Transaction cancelled. Please try again when ready.</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BlockhashNotFound</w:t>
            </w:r>
          </w:p>
        </w:tc>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Network timeout. Please try again.</w:t>
            </w:r>
          </w:p>
        </w:tc>
      </w:tr>
    </w:tbl>
    <w:p>
      <w:pPr>
        <w:pStyle w:val="Normal"/>
        <w:spacing w:before="0" w:after="200"/>
        <w:rPr/>
      </w:pPr>
      <w:r>
        <w:rPr/>
      </w:r>
    </w:p>
    <w:p>
      <w:pPr>
        <w:pStyle w:val="Heading2"/>
        <w:pBdr>
          <w:bottom w:val="single" w:sz="2" w:space="0" w:color="5B21B6"/>
        </w:pBdr>
        <w:spacing w:before="300" w:after="120"/>
        <w:rPr/>
      </w:pPr>
      <w:r>
        <w:rPr>
          <w:rFonts w:eastAsia="Arial" w:cs="Arial" w:ascii="Arial" w:hAnsi="Arial"/>
          <w:b/>
          <w:bCs/>
          <w:color w:val="1E1B4B"/>
          <w:sz w:val="24"/>
          <w:szCs w:val="24"/>
        </w:rPr>
        <w:t>3.9  Devnet SOL &amp; Network Warning Banner</w:t>
      </w:r>
    </w:p>
    <w:p>
      <w:pPr>
        <w:pStyle w:val="Normal"/>
        <w:spacing w:before="60" w:after="60"/>
        <w:jc w:val="start"/>
        <w:rPr/>
      </w:pPr>
      <w:r>
        <w:rPr>
          <w:rFonts w:eastAsia="Arial" w:cs="Arial"/>
          <w:b w:val="false"/>
          <w:bCs w:val="false"/>
          <w:i/>
          <w:iCs/>
          <w:color w:val="6B7280"/>
          <w:sz w:val="22"/>
          <w:szCs w:val="22"/>
        </w:rPr>
        <w:t>Files: src/WalletStatus.jsx  (NEW), src/Layout.jsx  (UPDATED)</w:t>
      </w:r>
    </w:p>
    <w:p>
      <w:pPr>
        <w:pStyle w:val="Normal"/>
        <w:spacing w:before="0" w:after="80"/>
        <w:rPr/>
      </w:pPr>
      <w:r>
        <w:rPr/>
      </w:r>
    </w:p>
    <w:p>
      <w:pPr>
        <w:pStyle w:val="Normal"/>
        <w:spacing w:before="60" w:after="60"/>
        <w:jc w:val="start"/>
        <w:rPr/>
      </w:pPr>
      <w:r>
        <w:rPr>
          <w:rFonts w:eastAsia="Arial" w:cs="Arial"/>
          <w:b w:val="false"/>
          <w:bCs w:val="false"/>
          <w:i w:val="false"/>
          <w:iCs w:val="false"/>
          <w:color w:val="1F2937"/>
          <w:sz w:val="22"/>
          <w:szCs w:val="22"/>
        </w:rPr>
        <w:t>A persistent banner renders on every screen when a wallet is connected. It detects two conditions and warns the user before any transaction attempt fails silently:</w:t>
      </w:r>
    </w:p>
    <w:p>
      <w:pPr>
        <w:pStyle w:val="Normal"/>
        <w:spacing w:before="0" w:after="120"/>
        <w:rPr/>
      </w:pPr>
      <w:r>
        <w:rPr/>
      </w:r>
    </w:p>
    <w:tbl>
      <w:tblPr>
        <w:tblW w:w="9360" w:type="dxa"/>
        <w:jc w:val="start"/>
        <w:tblInd w:w="0" w:type="dxa"/>
        <w:tblLayout w:type="fixed"/>
        <w:tblCellMar>
          <w:top w:w="80" w:type="dxa"/>
          <w:start w:w="120" w:type="dxa"/>
          <w:bottom w:w="80" w:type="dxa"/>
          <w:end w:w="120" w:type="dxa"/>
        </w:tblCellMar>
      </w:tblPr>
      <w:tblGrid>
        <w:gridCol w:w="2730"/>
        <w:gridCol w:w="3510"/>
        <w:gridCol w:w="3120"/>
      </w:tblGrid>
      <w:tr>
        <w:trPr/>
        <w:tc>
          <w:tcPr>
            <w:tcW w:w="2730" w:type="dxa"/>
            <w:tcBorders>
              <w:top w:val="single" w:sz="2" w:space="0" w:color="CCCCCC"/>
              <w:start w:val="single" w:sz="2" w:space="0" w:color="CCCCCC"/>
              <w:bottom w:val="single" w:sz="2" w:space="0" w:color="CCCCCC"/>
              <w:end w:val="single" w:sz="2" w:space="0" w:color="CCCCCC"/>
            </w:tcBorders>
            <w:shd w:fill="1E1B4B" w:val="clear"/>
          </w:tcPr>
          <w:p>
            <w:pPr>
              <w:pStyle w:val="Normal"/>
              <w:rPr/>
            </w:pPr>
            <w:r>
              <w:rPr>
                <w:rFonts w:eastAsia="Arial" w:cs="Arial"/>
                <w:b/>
                <w:bCs/>
                <w:color w:val="FFFFFF"/>
                <w:sz w:val="20"/>
                <w:szCs w:val="20"/>
              </w:rPr>
              <w:t>Condition</w:t>
            </w:r>
          </w:p>
        </w:tc>
        <w:tc>
          <w:tcPr>
            <w:tcW w:w="3510" w:type="dxa"/>
            <w:tcBorders>
              <w:top w:val="single" w:sz="2" w:space="0" w:color="CCCCCC"/>
              <w:start w:val="single" w:sz="2" w:space="0" w:color="CCCCCC"/>
              <w:bottom w:val="single" w:sz="2" w:space="0" w:color="CCCCCC"/>
              <w:end w:val="single" w:sz="2" w:space="0" w:color="CCCCCC"/>
            </w:tcBorders>
            <w:shd w:fill="1E1B4B" w:val="clear"/>
          </w:tcPr>
          <w:p>
            <w:pPr>
              <w:pStyle w:val="Normal"/>
              <w:rPr/>
            </w:pPr>
            <w:r>
              <w:rPr>
                <w:rFonts w:eastAsia="Arial" w:cs="Arial"/>
                <w:b/>
                <w:bCs/>
                <w:color w:val="FFFFFF"/>
                <w:sz w:val="20"/>
                <w:szCs w:val="20"/>
              </w:rPr>
              <w:t>Banner</w:t>
            </w:r>
          </w:p>
        </w:tc>
        <w:tc>
          <w:tcPr>
            <w:tcW w:w="3120" w:type="dxa"/>
            <w:tcBorders>
              <w:top w:val="single" w:sz="2" w:space="0" w:color="CCCCCC"/>
              <w:start w:val="single" w:sz="2" w:space="0" w:color="CCCCCC"/>
              <w:bottom w:val="single" w:sz="2" w:space="0" w:color="CCCCCC"/>
              <w:end w:val="single" w:sz="2" w:space="0" w:color="CCCCCC"/>
            </w:tcBorders>
            <w:shd w:fill="1E1B4B" w:val="clear"/>
          </w:tcPr>
          <w:p>
            <w:pPr>
              <w:pStyle w:val="Normal"/>
              <w:rPr/>
            </w:pPr>
            <w:r>
              <w:rPr>
                <w:rFonts w:eastAsia="Arial" w:cs="Arial"/>
                <w:b/>
                <w:bCs/>
                <w:color w:val="FFFFFF"/>
                <w:sz w:val="20"/>
                <w:szCs w:val="20"/>
              </w:rPr>
              <w:t>Action Provided</w:t>
            </w:r>
          </w:p>
        </w:tc>
      </w:tr>
      <w:tr>
        <w:trPr/>
        <w:tc>
          <w:tcPr>
            <w:tcW w:w="273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Wrong network (not devnet)</w:t>
            </w:r>
          </w:p>
        </w:tc>
        <w:tc>
          <w:tcPr>
            <w:tcW w:w="351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Red — This app runs on Solana Devnet</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Instructions to switch network in Phantom</w:t>
            </w:r>
          </w:p>
        </w:tc>
      </w:tr>
      <w:tr>
        <w:trPr/>
        <w:tc>
          <w:tcPr>
            <w:tcW w:w="273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Low SOL balance</w:t>
            </w:r>
          </w:p>
        </w:tc>
        <w:tc>
          <w:tcPr>
            <w:tcW w:w="351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Yellow — Low devnet SOL detected</w:t>
            </w:r>
          </w:p>
        </w:tc>
        <w:tc>
          <w:tcPr>
            <w:tcW w:w="312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Direct link to faucet.solana.com</w:t>
            </w:r>
          </w:p>
        </w:tc>
      </w:tr>
    </w:tbl>
    <w:p>
      <w:pPr>
        <w:pStyle w:val="Normal"/>
        <w:spacing w:before="0" w:after="120"/>
        <w:rPr/>
      </w:pPr>
      <w:r>
        <w:rPr/>
      </w:r>
    </w:p>
    <w:p>
      <w:pPr>
        <w:pStyle w:val="Normal"/>
        <w:spacing w:before="60" w:after="60"/>
        <w:jc w:val="start"/>
        <w:rPr/>
      </w:pPr>
      <w:r>
        <w:rPr>
          <w:rFonts w:eastAsia="Arial" w:cs="Arial"/>
          <w:b w:val="false"/>
          <w:bCs w:val="false"/>
          <w:i w:val="false"/>
          <w:iCs w:val="false"/>
          <w:color w:val="1F2937"/>
          <w:sz w:val="22"/>
          <w:szCs w:val="22"/>
        </w:rPr>
        <w:t>Network is detected via genesis hash comparison — reliable across all Phantom versions and wallet types. Both banners are dismissable.</w:t>
      </w:r>
    </w:p>
    <w:p>
      <w:pPr>
        <w:pStyle w:val="Normal"/>
        <w:spacing w:before="0" w:after="200"/>
        <w:rPr/>
      </w:pPr>
      <w:r>
        <w:rPr/>
      </w:r>
    </w:p>
    <w:p>
      <w:pPr>
        <w:pStyle w:val="Heading2"/>
        <w:pBdr>
          <w:bottom w:val="single" w:sz="2" w:space="0" w:color="5B21B6"/>
        </w:pBdr>
        <w:spacing w:before="300" w:after="120"/>
        <w:rPr/>
      </w:pPr>
      <w:r>
        <w:rPr>
          <w:rFonts w:eastAsia="Arial" w:cs="Arial" w:ascii="Arial" w:hAnsi="Arial"/>
          <w:b/>
          <w:bCs/>
          <w:color w:val="1E1B4B"/>
          <w:sz w:val="24"/>
          <w:szCs w:val="24"/>
        </w:rPr>
        <w:t>3.10  Mobile Responsive Fixes</w:t>
      </w:r>
    </w:p>
    <w:p>
      <w:pPr>
        <w:pStyle w:val="Normal"/>
        <w:spacing w:before="60" w:after="60"/>
        <w:jc w:val="start"/>
        <w:rPr/>
      </w:pPr>
      <w:r>
        <w:rPr>
          <w:rFonts w:eastAsia="Arial" w:cs="Arial"/>
          <w:b w:val="false"/>
          <w:bCs w:val="false"/>
          <w:i/>
          <w:iCs/>
          <w:color w:val="6B7280"/>
          <w:sz w:val="22"/>
          <w:szCs w:val="22"/>
        </w:rPr>
        <w:t>Files: src/App.jsx, src/Microloan.jsx</w:t>
      </w:r>
    </w:p>
    <w:p>
      <w:pPr>
        <w:pStyle w:val="Normal"/>
        <w:spacing w:before="0" w:after="80"/>
        <w:rPr/>
      </w:pPr>
      <w:r>
        <w:rPr/>
      </w:r>
    </w:p>
    <w:p>
      <w:pPr>
        <w:pStyle w:val="ListParagraph"/>
        <w:numPr>
          <w:ilvl w:val="0"/>
          <w:numId w:val="1"/>
        </w:numPr>
        <w:spacing w:before="40" w:after="40"/>
        <w:rPr/>
      </w:pPr>
      <w:r>
        <w:rPr>
          <w:rFonts w:eastAsia="Arial" w:cs="Arial"/>
          <w:color w:val="1F2937"/>
          <w:sz w:val="22"/>
          <w:szCs w:val="22"/>
        </w:rPr>
        <w:t>Home screen action buttons now full width on mobile</w:t>
      </w:r>
    </w:p>
    <w:p>
      <w:pPr>
        <w:pStyle w:val="ListParagraph"/>
        <w:numPr>
          <w:ilvl w:val="0"/>
          <w:numId w:val="1"/>
        </w:numPr>
        <w:spacing w:before="40" w:after="40"/>
        <w:rPr/>
      </w:pPr>
      <w:r>
        <w:rPr>
          <w:rFonts w:eastAsia="Arial" w:cs="Arial"/>
          <w:color w:val="1F2937"/>
          <w:sz w:val="22"/>
          <w:szCs w:val="22"/>
        </w:rPr>
        <w:t>Badge text no longer truncates on small screens</w:t>
      </w:r>
    </w:p>
    <w:p>
      <w:pPr>
        <w:pStyle w:val="ListParagraph"/>
        <w:numPr>
          <w:ilvl w:val="0"/>
          <w:numId w:val="1"/>
        </w:numPr>
        <w:spacing w:before="40" w:after="40"/>
        <w:rPr/>
      </w:pPr>
      <w:r>
        <w:rPr>
          <w:rFonts w:eastAsia="Arial" w:cs="Arial"/>
          <w:color w:val="1F2937"/>
          <w:sz w:val="22"/>
          <w:szCs w:val="22"/>
        </w:rPr>
        <w:t>Active loan warning banner no longer wraps awkwardly on narrow viewports</w:t>
      </w:r>
    </w:p>
    <w:p>
      <w:pPr>
        <w:pStyle w:val="ListParagraph"/>
        <w:numPr>
          <w:ilvl w:val="0"/>
          <w:numId w:val="1"/>
        </w:numPr>
        <w:spacing w:before="40" w:after="40"/>
        <w:rPr/>
      </w:pPr>
      <w:r>
        <w:rPr>
          <w:rFonts w:eastAsia="Arial" w:cs="Arial"/>
          <w:color w:val="1F2937"/>
          <w:sz w:val="22"/>
          <w:szCs w:val="22"/>
        </w:rPr>
        <w:t>All screens tested at 375px width (iPhone SE — minimum supported viewport)</w:t>
      </w:r>
    </w:p>
    <w:p>
      <w:pPr>
        <w:pStyle w:val="Normal"/>
        <w:rPr/>
      </w:pPr>
      <w:r>
        <w:rPr/>
        <w:br/>
      </w:r>
    </w:p>
    <w:p>
      <w:pPr>
        <w:pStyle w:val="Heading1"/>
        <w:shd w:val="clear" w:fill="1E1B4B"/>
        <w:spacing w:before="360" w:after="160"/>
        <w:ind w:start="180" w:end="180"/>
        <w:rPr/>
      </w:pPr>
      <w:r>
        <w:rPr>
          <w:rFonts w:eastAsia="Arial" w:cs="Arial" w:ascii="Arial" w:hAnsi="Arial"/>
          <w:b/>
          <w:bCs/>
          <w:color w:val="FFFFFF"/>
          <w:sz w:val="30"/>
          <w:szCs w:val="30"/>
        </w:rPr>
        <w:t>4. File Changelog</w:t>
      </w:r>
    </w:p>
    <w:p>
      <w:pPr>
        <w:pStyle w:val="Normal"/>
        <w:spacing w:before="0" w:after="120"/>
        <w:rPr/>
      </w:pPr>
      <w:r>
        <w:rPr/>
      </w:r>
    </w:p>
    <w:tbl>
      <w:tblPr>
        <w:tblW w:w="9360" w:type="dxa"/>
        <w:jc w:val="start"/>
        <w:tblInd w:w="0" w:type="dxa"/>
        <w:tblLayout w:type="fixed"/>
        <w:tblCellMar>
          <w:top w:w="80" w:type="dxa"/>
          <w:start w:w="120" w:type="dxa"/>
          <w:bottom w:w="80" w:type="dxa"/>
          <w:end w:w="120" w:type="dxa"/>
        </w:tblCellMar>
      </w:tblPr>
      <w:tblGrid>
        <w:gridCol w:w="3510"/>
        <w:gridCol w:w="1170"/>
        <w:gridCol w:w="4680"/>
      </w:tblGrid>
      <w:tr>
        <w:trPr/>
        <w:tc>
          <w:tcPr>
            <w:tcW w:w="3510" w:type="dxa"/>
            <w:tcBorders>
              <w:top w:val="single" w:sz="2" w:space="0" w:color="CCCCCC"/>
              <w:start w:val="single" w:sz="2" w:space="0" w:color="CCCCCC"/>
              <w:bottom w:val="single" w:sz="2" w:space="0" w:color="CCCCCC"/>
              <w:end w:val="single" w:sz="2" w:space="0" w:color="CCCCCC"/>
            </w:tcBorders>
            <w:shd w:fill="1E1B4B" w:val="clear"/>
          </w:tcPr>
          <w:p>
            <w:pPr>
              <w:pStyle w:val="Normal"/>
              <w:rPr/>
            </w:pPr>
            <w:r>
              <w:rPr>
                <w:rFonts w:eastAsia="Arial" w:cs="Arial"/>
                <w:b/>
                <w:bCs/>
                <w:color w:val="FFFFFF"/>
                <w:sz w:val="20"/>
                <w:szCs w:val="20"/>
              </w:rPr>
              <w:t>File</w:t>
            </w:r>
          </w:p>
        </w:tc>
        <w:tc>
          <w:tcPr>
            <w:tcW w:w="1170" w:type="dxa"/>
            <w:tcBorders>
              <w:top w:val="single" w:sz="2" w:space="0" w:color="CCCCCC"/>
              <w:start w:val="single" w:sz="2" w:space="0" w:color="CCCCCC"/>
              <w:bottom w:val="single" w:sz="2" w:space="0" w:color="CCCCCC"/>
              <w:end w:val="single" w:sz="2" w:space="0" w:color="CCCCCC"/>
            </w:tcBorders>
            <w:shd w:fill="1E1B4B" w:val="clear"/>
          </w:tcPr>
          <w:p>
            <w:pPr>
              <w:pStyle w:val="Normal"/>
              <w:rPr/>
            </w:pPr>
            <w:r>
              <w:rPr>
                <w:rFonts w:eastAsia="Arial" w:cs="Arial"/>
                <w:b/>
                <w:bCs/>
                <w:color w:val="FFFFFF"/>
                <w:sz w:val="20"/>
                <w:szCs w:val="20"/>
              </w:rPr>
              <w:t>Status</w:t>
            </w:r>
          </w:p>
        </w:tc>
        <w:tc>
          <w:tcPr>
            <w:tcW w:w="4680" w:type="dxa"/>
            <w:tcBorders>
              <w:top w:val="single" w:sz="2" w:space="0" w:color="CCCCCC"/>
              <w:start w:val="single" w:sz="2" w:space="0" w:color="CCCCCC"/>
              <w:bottom w:val="single" w:sz="2" w:space="0" w:color="CCCCCC"/>
              <w:end w:val="single" w:sz="2" w:space="0" w:color="CCCCCC"/>
            </w:tcBorders>
            <w:shd w:fill="1E1B4B" w:val="clear"/>
          </w:tcPr>
          <w:p>
            <w:pPr>
              <w:pStyle w:val="Normal"/>
              <w:rPr/>
            </w:pPr>
            <w:r>
              <w:rPr>
                <w:rFonts w:eastAsia="Arial" w:cs="Arial"/>
                <w:b/>
                <w:bCs/>
                <w:color w:val="FFFFFF"/>
                <w:sz w:val="20"/>
                <w:szCs w:val="20"/>
              </w:rPr>
              <w:t>What Changed</w:t>
            </w:r>
          </w:p>
        </w:tc>
      </w:tr>
      <w:tr>
        <w:trPr/>
        <w:tc>
          <w:tcPr>
            <w:tcW w:w="351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programs/aim-program/src/lib.rs</w:t>
            </w:r>
          </w:p>
        </w:tc>
        <w:tc>
          <w:tcPr>
            <w:tcW w:w="117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Updated</w:t>
            </w:r>
          </w:p>
        </w:tc>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PDA seeds for farmer and loan accounts, close constraint on repayment, close_loan instruction, bump storage</w:t>
            </w:r>
          </w:p>
        </w:tc>
      </w:tr>
      <w:tr>
        <w:trPr/>
        <w:tc>
          <w:tcPr>
            <w:tcW w:w="351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tests/aim-program.ts</w:t>
            </w:r>
          </w:p>
        </w:tc>
        <w:tc>
          <w:tcPr>
            <w:tcW w:w="117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Updated</w:t>
            </w:r>
          </w:p>
        </w:tc>
        <w:tc>
          <w:tcPr>
            <w:tcW w:w="468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Full 5-test suite replacing default Anchor boilerplate</w:t>
            </w:r>
          </w:p>
        </w:tc>
      </w:tr>
      <w:tr>
        <w:trPr/>
        <w:tc>
          <w:tcPr>
            <w:tcW w:w="351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src/useAimProgram.js</w:t>
            </w:r>
          </w:p>
        </w:tc>
        <w:tc>
          <w:tcPr>
            <w:tcW w:w="117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Updated</w:t>
            </w:r>
          </w:p>
        </w:tc>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PDA derivation replacing keypairs, repayLoan, closeLoan, fetchFarmer, fetchLoan functions added, parseAnchorError helper</w:t>
            </w:r>
          </w:p>
        </w:tc>
      </w:tr>
      <w:tr>
        <w:trPr/>
        <w:tc>
          <w:tcPr>
            <w:tcW w:w="351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src/FarmerID.jsx</w:t>
            </w:r>
          </w:p>
        </w:tc>
        <w:tc>
          <w:tcPr>
            <w:tcW w:w="117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Updated</w:t>
            </w:r>
          </w:p>
        </w:tc>
        <w:tc>
          <w:tcPr>
            <w:tcW w:w="468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PDA-based registration, already-registered detection and display</w:t>
            </w:r>
          </w:p>
        </w:tc>
      </w:tr>
      <w:tr>
        <w:trPr/>
        <w:tc>
          <w:tcPr>
            <w:tcW w:w="351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src/Microloan.jsx</w:t>
            </w:r>
          </w:p>
        </w:tc>
        <w:tc>
          <w:tcPr>
            <w:tcW w:w="117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Updated</w:t>
            </w:r>
          </w:p>
        </w:tc>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PDA-based loan request, active loan detection, error messages, mobile fix</w:t>
            </w:r>
          </w:p>
        </w:tc>
      </w:tr>
      <w:tr>
        <w:trPr/>
        <w:tc>
          <w:tcPr>
            <w:tcW w:w="351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src/App.jsx</w:t>
            </w:r>
          </w:p>
        </w:tc>
        <w:tc>
          <w:tcPr>
            <w:tcW w:w="117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Updated</w:t>
            </w:r>
          </w:p>
        </w:tc>
        <w:tc>
          <w:tcPr>
            <w:tcW w:w="468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New routes: dashboard, repayeloan, loanhistory — mobile button width fix</w:t>
            </w:r>
          </w:p>
        </w:tc>
      </w:tr>
      <w:tr>
        <w:trPr/>
        <w:tc>
          <w:tcPr>
            <w:tcW w:w="351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src/Dashboard.jsx</w:t>
            </w:r>
          </w:p>
        </w:tc>
        <w:tc>
          <w:tcPr>
            <w:tcW w:w="117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New</w:t>
            </w:r>
          </w:p>
        </w:tc>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Farmer profile card, loan status card, adaptive action buttons, loan history navigation</w:t>
            </w:r>
          </w:p>
        </w:tc>
      </w:tr>
      <w:tr>
        <w:trPr/>
        <w:tc>
          <w:tcPr>
            <w:tcW w:w="351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src/RepayLoan.jsx</w:t>
            </w:r>
          </w:p>
        </w:tc>
        <w:tc>
          <w:tcPr>
            <w:tcW w:w="117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New</w:t>
            </w:r>
          </w:p>
        </w:tc>
        <w:tc>
          <w:tcPr>
            <w:tcW w:w="468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Loan repayment screen with real-time ACTIVE, OVERDUE, REPAID status detection</w:t>
            </w:r>
          </w:p>
        </w:tc>
      </w:tr>
      <w:tr>
        <w:trPr/>
        <w:tc>
          <w:tcPr>
            <w:tcW w:w="351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src/LoanHistory.jsx</w:t>
            </w:r>
          </w:p>
        </w:tc>
        <w:tc>
          <w:tcPr>
            <w:tcW w:w="117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New</w:t>
            </w:r>
          </w:p>
        </w:tc>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On-chain transaction history parser with per-loan detail and summary stats</w:t>
            </w:r>
          </w:p>
        </w:tc>
      </w:tr>
      <w:tr>
        <w:trPr/>
        <w:tc>
          <w:tcPr>
            <w:tcW w:w="351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src/WalletStatus.jsx</w:t>
            </w:r>
          </w:p>
        </w:tc>
        <w:tc>
          <w:tcPr>
            <w:tcW w:w="117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New</w:t>
            </w:r>
          </w:p>
        </w:tc>
        <w:tc>
          <w:tcPr>
            <w:tcW w:w="468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Persistent network and balance warning banner</w:t>
            </w:r>
          </w:p>
        </w:tc>
      </w:tr>
      <w:tr>
        <w:trPr/>
        <w:tc>
          <w:tcPr>
            <w:tcW w:w="351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src/Layout.jsx</w:t>
            </w:r>
          </w:p>
        </w:tc>
        <w:tc>
          <w:tcPr>
            <w:tcW w:w="117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Updated</w:t>
            </w:r>
          </w:p>
        </w:tc>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F2937"/>
                <w:sz w:val="20"/>
                <w:szCs w:val="20"/>
              </w:rPr>
              <w:t>WalletStatus banner integration</w:t>
            </w:r>
          </w:p>
        </w:tc>
      </w:tr>
      <w:tr>
        <w:trPr/>
        <w:tc>
          <w:tcPr>
            <w:tcW w:w="351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src/idl/aim_program.json</w:t>
            </w:r>
          </w:p>
        </w:tc>
        <w:tc>
          <w:tcPr>
            <w:tcW w:w="117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Updated</w:t>
            </w:r>
          </w:p>
        </w:tc>
        <w:tc>
          <w:tcPr>
            <w:tcW w:w="4680" w:type="dxa"/>
            <w:tcBorders>
              <w:top w:val="single" w:sz="2" w:space="0" w:color="CCCCCC"/>
              <w:start w:val="single" w:sz="2" w:space="0" w:color="CCCCCC"/>
              <w:bottom w:val="single" w:sz="2" w:space="0" w:color="CCCCCC"/>
              <w:end w:val="single" w:sz="2" w:space="0" w:color="CCCCCC"/>
            </w:tcBorders>
            <w:shd w:fill="F5F3FF" w:val="clear"/>
          </w:tcPr>
          <w:p>
            <w:pPr>
              <w:pStyle w:val="Normal"/>
              <w:rPr/>
            </w:pPr>
            <w:r>
              <w:rPr>
                <w:rFonts w:eastAsia="Arial" w:cs="Arial"/>
                <w:b w:val="false"/>
                <w:bCs w:val="false"/>
                <w:color w:val="1F2937"/>
                <w:sz w:val="20"/>
                <w:szCs w:val="20"/>
              </w:rPr>
              <w:t>V2.1 IDL reflecting PDA seeds and close_loan instruction</w:t>
            </w:r>
          </w:p>
        </w:tc>
      </w:tr>
    </w:tbl>
    <w:p>
      <w:pPr>
        <w:pStyle w:val="Normal"/>
        <w:spacing w:before="0" w:after="200"/>
        <w:rPr/>
      </w:pPr>
      <w:r>
        <w:rPr/>
      </w:r>
    </w:p>
    <w:p>
      <w:pPr>
        <w:pStyle w:val="Heading1"/>
        <w:shd w:val="clear" w:fill="1E1B4B"/>
        <w:spacing w:before="360" w:after="160"/>
        <w:ind w:start="180" w:end="180"/>
        <w:rPr/>
      </w:pPr>
      <w:r>
        <w:rPr>
          <w:rFonts w:eastAsia="Arial" w:cs="Arial" w:ascii="Arial" w:hAnsi="Arial"/>
          <w:b/>
          <w:bCs/>
          <w:color w:val="FFFFFF"/>
          <w:sz w:val="30"/>
          <w:szCs w:val="30"/>
        </w:rPr>
        <w:t>5. V2.2 Roadmap</w:t>
      </w:r>
    </w:p>
    <w:p>
      <w:pPr>
        <w:pStyle w:val="Normal"/>
        <w:spacing w:before="0" w:after="120"/>
        <w:rPr/>
      </w:pPr>
      <w:r>
        <w:rPr/>
      </w:r>
    </w:p>
    <w:p>
      <w:pPr>
        <w:pStyle w:val="Heading2"/>
        <w:pBdr>
          <w:bottom w:val="single" w:sz="2" w:space="0" w:color="5B21B6"/>
        </w:pBdr>
        <w:spacing w:before="300" w:after="120"/>
        <w:rPr/>
      </w:pPr>
      <w:r>
        <w:rPr>
          <w:rFonts w:eastAsia="Arial" w:cs="Arial" w:ascii="Arial" w:hAnsi="Arial"/>
          <w:b/>
          <w:bCs/>
          <w:color w:val="1E1B4B"/>
          <w:sz w:val="24"/>
          <w:szCs w:val="24"/>
        </w:rPr>
        <w:t>Smart Contract</w:t>
      </w:r>
    </w:p>
    <w:p>
      <w:pPr>
        <w:pStyle w:val="ListParagraph"/>
        <w:numPr>
          <w:ilvl w:val="0"/>
          <w:numId w:val="1"/>
        </w:numPr>
        <w:spacing w:before="40" w:after="40"/>
        <w:rPr/>
      </w:pPr>
      <w:r>
        <w:rPr>
          <w:rFonts w:eastAsia="Arial" w:cs="Arial"/>
          <w:color w:val="1F2937"/>
          <w:sz w:val="22"/>
          <w:szCs w:val="22"/>
        </w:rPr>
        <w:t>Credit scoring based on repayment history — stored in FarmerAccount</w:t>
      </w:r>
    </w:p>
    <w:p>
      <w:pPr>
        <w:pStyle w:val="ListParagraph"/>
        <w:numPr>
          <w:ilvl w:val="0"/>
          <w:numId w:val="1"/>
        </w:numPr>
        <w:spacing w:before="40" w:after="40"/>
        <w:rPr/>
      </w:pPr>
      <w:r>
        <w:rPr>
          <w:rFonts w:eastAsia="Arial" w:cs="Arial"/>
          <w:color w:val="1F2937"/>
          <w:sz w:val="22"/>
          <w:szCs w:val="22"/>
        </w:rPr>
        <w:t>Loan counter per farmer for proper history indexing</w:t>
      </w:r>
    </w:p>
    <w:p>
      <w:pPr>
        <w:pStyle w:val="ListParagraph"/>
        <w:numPr>
          <w:ilvl w:val="0"/>
          <w:numId w:val="1"/>
        </w:numPr>
        <w:spacing w:before="40" w:after="40"/>
        <w:rPr/>
      </w:pPr>
      <w:r>
        <w:rPr>
          <w:rFonts w:eastAsia="Arial" w:cs="Arial"/>
          <w:color w:val="1F2937"/>
          <w:sz w:val="22"/>
          <w:szCs w:val="22"/>
        </w:rPr>
        <w:t>USDC stablecoin disbursement replacing SOL — removes price volatility</w:t>
      </w:r>
    </w:p>
    <w:p>
      <w:pPr>
        <w:pStyle w:val="ListParagraph"/>
        <w:numPr>
          <w:ilvl w:val="0"/>
          <w:numId w:val="1"/>
        </w:numPr>
        <w:spacing w:before="40" w:after="40"/>
        <w:rPr/>
      </w:pPr>
      <w:r>
        <w:rPr>
          <w:rFonts w:eastAsia="Arial" w:cs="Arial"/>
          <w:color w:val="1F2937"/>
          <w:sz w:val="22"/>
          <w:szCs w:val="22"/>
        </w:rPr>
        <w:t>Oracle integration for crop price feeds</w:t>
      </w:r>
    </w:p>
    <w:p>
      <w:pPr>
        <w:pStyle w:val="ListParagraph"/>
        <w:numPr>
          <w:ilvl w:val="0"/>
          <w:numId w:val="1"/>
        </w:numPr>
        <w:spacing w:before="40" w:after="40"/>
        <w:rPr/>
      </w:pPr>
      <w:r>
        <w:rPr>
          <w:rFonts w:eastAsia="Arial" w:cs="Arial"/>
          <w:color w:val="1F2937"/>
          <w:sz w:val="22"/>
          <w:szCs w:val="22"/>
        </w:rPr>
        <w:t>Multi-sig loan approval for cooperative governance</w:t>
      </w:r>
    </w:p>
    <w:p>
      <w:pPr>
        <w:pStyle w:val="Normal"/>
        <w:spacing w:before="0" w:after="120"/>
        <w:rPr/>
      </w:pPr>
      <w:r>
        <w:rPr/>
      </w:r>
    </w:p>
    <w:p>
      <w:pPr>
        <w:pStyle w:val="Heading2"/>
        <w:pBdr>
          <w:bottom w:val="single" w:sz="2" w:space="0" w:color="5B21B6"/>
        </w:pBdr>
        <w:spacing w:before="300" w:after="120"/>
        <w:rPr/>
      </w:pPr>
      <w:r>
        <w:rPr>
          <w:rFonts w:eastAsia="Arial" w:cs="Arial" w:ascii="Arial" w:hAnsi="Arial"/>
          <w:b/>
          <w:bCs/>
          <w:color w:val="1E1B4B"/>
          <w:sz w:val="24"/>
          <w:szCs w:val="24"/>
        </w:rPr>
        <w:t>Frontend</w:t>
      </w:r>
    </w:p>
    <w:p>
      <w:pPr>
        <w:pStyle w:val="ListParagraph"/>
        <w:numPr>
          <w:ilvl w:val="0"/>
          <w:numId w:val="1"/>
        </w:numPr>
        <w:spacing w:before="40" w:after="40"/>
        <w:rPr/>
      </w:pPr>
      <w:r>
        <w:rPr>
          <w:rFonts w:eastAsia="Arial" w:cs="Arial"/>
          <w:color w:val="1F2937"/>
          <w:sz w:val="22"/>
          <w:szCs w:val="22"/>
        </w:rPr>
        <w:t>Admin dashboard — view all registered farmers and loans live from devnet</w:t>
      </w:r>
    </w:p>
    <w:p>
      <w:pPr>
        <w:pStyle w:val="ListParagraph"/>
        <w:numPr>
          <w:ilvl w:val="0"/>
          <w:numId w:val="1"/>
        </w:numPr>
        <w:spacing w:before="40" w:after="40"/>
        <w:rPr/>
      </w:pPr>
      <w:r>
        <w:rPr>
          <w:rFonts w:eastAsia="Arial" w:cs="Arial"/>
          <w:color w:val="1F2937"/>
          <w:sz w:val="22"/>
          <w:szCs w:val="22"/>
        </w:rPr>
        <w:t>Public farmer profile lookup by wallet address</w:t>
      </w:r>
    </w:p>
    <w:p>
      <w:pPr>
        <w:pStyle w:val="ListParagraph"/>
        <w:numPr>
          <w:ilvl w:val="0"/>
          <w:numId w:val="1"/>
        </w:numPr>
        <w:spacing w:before="40" w:after="40"/>
        <w:rPr/>
      </w:pPr>
      <w:r>
        <w:rPr>
          <w:rFonts w:eastAsia="Arial" w:cs="Arial"/>
          <w:color w:val="1F2937"/>
          <w:sz w:val="22"/>
          <w:szCs w:val="22"/>
        </w:rPr>
        <w:t>KYC integration — government ID verification for donor compliance</w:t>
      </w:r>
    </w:p>
    <w:p>
      <w:pPr>
        <w:pStyle w:val="ListParagraph"/>
        <w:numPr>
          <w:ilvl w:val="0"/>
          <w:numId w:val="1"/>
        </w:numPr>
        <w:spacing w:before="40" w:after="40"/>
        <w:rPr/>
      </w:pPr>
      <w:r>
        <w:rPr>
          <w:rFonts w:eastAsia="Arial" w:cs="Arial"/>
          <w:color w:val="1F2937"/>
          <w:sz w:val="22"/>
          <w:szCs w:val="22"/>
        </w:rPr>
        <w:t>Push notifications for loan deadlines</w:t>
      </w:r>
    </w:p>
    <w:p>
      <w:pPr>
        <w:pStyle w:val="Normal"/>
        <w:spacing w:before="0" w:after="120"/>
        <w:rPr/>
      </w:pPr>
      <w:r>
        <w:rPr/>
      </w:r>
    </w:p>
    <w:p>
      <w:pPr>
        <w:pStyle w:val="Heading2"/>
        <w:pBdr>
          <w:bottom w:val="single" w:sz="2" w:space="0" w:color="5B21B6"/>
        </w:pBdr>
        <w:spacing w:before="300" w:after="120"/>
        <w:rPr/>
      </w:pPr>
      <w:r>
        <w:rPr>
          <w:rFonts w:eastAsia="Arial" w:cs="Arial" w:ascii="Arial" w:hAnsi="Arial"/>
          <w:b/>
          <w:bCs/>
          <w:color w:val="1E1B4B"/>
          <w:sz w:val="24"/>
          <w:szCs w:val="24"/>
        </w:rPr>
        <w:t>Infrastructure</w:t>
      </w:r>
    </w:p>
    <w:p>
      <w:pPr>
        <w:pStyle w:val="ListParagraph"/>
        <w:numPr>
          <w:ilvl w:val="0"/>
          <w:numId w:val="1"/>
        </w:numPr>
        <w:spacing w:before="40" w:after="40"/>
        <w:rPr/>
      </w:pPr>
      <w:r>
        <w:rPr>
          <w:rFonts w:eastAsia="Arial" w:cs="Arial"/>
          <w:color w:val="1F2937"/>
          <w:sz w:val="22"/>
          <w:szCs w:val="22"/>
        </w:rPr>
        <w:t>Mainnet migration following security audit</w:t>
      </w:r>
    </w:p>
    <w:p>
      <w:pPr>
        <w:pStyle w:val="ListParagraph"/>
        <w:numPr>
          <w:ilvl w:val="0"/>
          <w:numId w:val="1"/>
        </w:numPr>
        <w:spacing w:before="40" w:after="40"/>
        <w:rPr/>
      </w:pPr>
      <w:r>
        <w:rPr>
          <w:rFonts w:eastAsia="Arial" w:cs="Arial"/>
          <w:color w:val="1F2937"/>
          <w:sz w:val="22"/>
          <w:szCs w:val="22"/>
        </w:rPr>
        <w:t>Custom domain via Aadios Systems</w:t>
      </w:r>
    </w:p>
    <w:p>
      <w:pPr>
        <w:pStyle w:val="ListParagraph"/>
        <w:numPr>
          <w:ilvl w:val="0"/>
          <w:numId w:val="1"/>
        </w:numPr>
        <w:spacing w:before="40" w:after="40"/>
        <w:rPr/>
      </w:pPr>
      <w:r>
        <w:rPr>
          <w:rFonts w:eastAsia="Arial" w:cs="Arial"/>
          <w:color w:val="1F2937"/>
          <w:sz w:val="22"/>
          <w:szCs w:val="22"/>
        </w:rPr>
        <w:t>Private production repository</w:t>
      </w:r>
    </w:p>
    <w:p>
      <w:pPr>
        <w:pStyle w:val="ListParagraph"/>
        <w:numPr>
          <w:ilvl w:val="0"/>
          <w:numId w:val="1"/>
        </w:numPr>
        <w:spacing w:before="40" w:after="40"/>
        <w:rPr/>
      </w:pPr>
      <w:r>
        <w:rPr>
          <w:rFonts w:eastAsia="Arial" w:cs="Arial"/>
          <w:color w:val="1F2937"/>
          <w:sz w:val="22"/>
          <w:szCs w:val="22"/>
        </w:rPr>
        <w:t>Analytics and monitoring</w:t>
      </w:r>
    </w:p>
    <w:p>
      <w:pPr>
        <w:pStyle w:val="Normal"/>
        <w:spacing w:before="0" w:after="120"/>
        <w:rPr/>
      </w:pPr>
      <w:r>
        <w:rPr/>
      </w:r>
    </w:p>
    <w:p>
      <w:pPr>
        <w:pStyle w:val="Heading2"/>
        <w:pBdr>
          <w:bottom w:val="single" w:sz="2" w:space="0" w:color="5B21B6"/>
        </w:pBdr>
        <w:spacing w:before="300" w:after="120"/>
        <w:rPr/>
      </w:pPr>
      <w:r>
        <w:rPr>
          <w:rFonts w:eastAsia="Arial" w:cs="Arial" w:ascii="Arial" w:hAnsi="Arial"/>
          <w:b/>
          <w:bCs/>
          <w:color w:val="1E1B4B"/>
          <w:sz w:val="24"/>
          <w:szCs w:val="24"/>
        </w:rPr>
        <w:t>Business</w:t>
      </w:r>
    </w:p>
    <w:p>
      <w:pPr>
        <w:pStyle w:val="ListParagraph"/>
        <w:numPr>
          <w:ilvl w:val="0"/>
          <w:numId w:val="1"/>
        </w:numPr>
        <w:spacing w:before="40" w:after="40"/>
        <w:rPr/>
      </w:pPr>
      <w:r>
        <w:rPr>
          <w:rFonts w:eastAsia="Arial" w:cs="Arial"/>
          <w:color w:val="1F2937"/>
          <w:sz w:val="22"/>
          <w:szCs w:val="22"/>
        </w:rPr>
        <w:t>Pilot with one African farming cooperative</w:t>
      </w:r>
    </w:p>
    <w:p>
      <w:pPr>
        <w:pStyle w:val="ListParagraph"/>
        <w:numPr>
          <w:ilvl w:val="0"/>
          <w:numId w:val="1"/>
        </w:numPr>
        <w:spacing w:before="40" w:after="40"/>
        <w:rPr/>
      </w:pPr>
      <w:r>
        <w:rPr>
          <w:rFonts w:eastAsia="Arial" w:cs="Arial"/>
          <w:color w:val="1F2937"/>
          <w:sz w:val="22"/>
          <w:szCs w:val="22"/>
        </w:rPr>
        <w:t>Superteam Africa chapter application</w:t>
      </w:r>
    </w:p>
    <w:p>
      <w:pPr>
        <w:pStyle w:val="ListParagraph"/>
        <w:numPr>
          <w:ilvl w:val="0"/>
          <w:numId w:val="1"/>
        </w:numPr>
        <w:spacing w:before="40" w:after="40"/>
        <w:rPr/>
      </w:pPr>
      <w:r>
        <w:rPr>
          <w:rFonts w:eastAsia="Arial" w:cs="Arial"/>
          <w:color w:val="1F2937"/>
          <w:sz w:val="22"/>
          <w:szCs w:val="22"/>
        </w:rPr>
        <w:t>Grant applications: IFAD, World Bank, Solana Foundation</w:t>
      </w:r>
    </w:p>
    <w:p>
      <w:pPr>
        <w:pStyle w:val="ListParagraph"/>
        <w:numPr>
          <w:ilvl w:val="0"/>
          <w:numId w:val="1"/>
        </w:numPr>
        <w:spacing w:before="40" w:after="40"/>
        <w:rPr/>
      </w:pPr>
      <w:r>
        <w:rPr>
          <w:rFonts w:eastAsia="Arial" w:cs="Arial"/>
          <w:color w:val="1F2937"/>
          <w:sz w:val="22"/>
          <w:szCs w:val="22"/>
        </w:rPr>
        <w:t>Aadios Systems platform launch</w:t>
      </w:r>
    </w:p>
    <w:p>
      <w:pPr>
        <w:pStyle w:val="Normal"/>
        <w:spacing w:before="0" w:after="200"/>
        <w:rPr/>
      </w:pPr>
      <w:r>
        <w:rPr/>
      </w:r>
    </w:p>
    <w:p>
      <w:pPr>
        <w:pStyle w:val="Normal"/>
        <w:pBdr>
          <w:bottom w:val="single" w:sz="6" w:space="0" w:color="5B21B6"/>
        </w:pBdr>
        <w:spacing w:before="0" w:after="80"/>
        <w:rPr/>
      </w:pPr>
      <w:r>
        <w:rPr/>
      </w:r>
    </w:p>
    <w:p>
      <w:pPr>
        <w:pStyle w:val="Normal"/>
        <w:spacing w:before="0" w:after="160"/>
        <w:rPr/>
      </w:pPr>
      <w:r>
        <w:rPr/>
      </w:r>
    </w:p>
    <w:p>
      <w:pPr>
        <w:pStyle w:val="Normal"/>
        <w:jc w:val="center"/>
        <w:rPr/>
      </w:pPr>
      <w:r>
        <w:rPr>
          <w:rFonts w:eastAsia="Arial" w:cs="Arial"/>
          <w:b/>
          <w:bCs/>
          <w:i/>
          <w:iCs/>
          <w:color w:val="1E1B4B"/>
          <w:sz w:val="24"/>
          <w:szCs w:val="24"/>
        </w:rPr>
        <w:t>AIM Protocol V2.1 — Production foundation complete. Built from Sierra Leone.</w:t>
      </w:r>
    </w:p>
    <w:p>
      <w:pPr>
        <w:pStyle w:val="Normal"/>
        <w:spacing w:before="0" w:after="80"/>
        <w:rPr/>
      </w:pPr>
      <w:r>
        <w:rPr/>
      </w:r>
    </w:p>
    <w:p>
      <w:pPr>
        <w:pStyle w:val="Normal"/>
        <w:jc w:val="center"/>
        <w:rPr/>
      </w:pPr>
      <w:r>
        <w:rPr>
          <w:rFonts w:eastAsia="Arial" w:cs="Arial"/>
          <w:color w:val="6B7280"/>
          <w:sz w:val="20"/>
          <w:szCs w:val="20"/>
        </w:rPr>
        <w:t>Amjad Kamara  |  Aadios Systems (SL) Ltd.  |  https://aim-protocol.vercel.app</w:t>
      </w:r>
    </w:p>
    <w:p>
      <w:pPr>
        <w:pStyle w:val="Normal"/>
        <w:spacing w:before="40" w:after="0"/>
        <w:jc w:val="center"/>
        <w:rPr/>
      </w:pPr>
      <w:r>
        <w:rPr>
          <w:rFonts w:eastAsia="Arial" w:cs="Arial"/>
          <w:i/>
          <w:iCs/>
          <w:color w:val="6B7280"/>
          <w:sz w:val="20"/>
          <w:szCs w:val="20"/>
        </w:rPr>
        <w:t>Built from Sierra Leone</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5B21B6"/>
      </w:pBdr>
      <w:spacing w:before="100" w:after="0"/>
      <w:rPr/>
    </w:pPr>
    <w:r>
      <w:rPr>
        <w:rFonts w:eastAsia="Arial" w:cs="Arial"/>
        <w:color w:val="6B7280"/>
        <w:sz w:val="18"/>
        <w:szCs w:val="18"/>
      </w:rPr>
      <w:t xml:space="preserve">aim-protocol.vercel.app   |   Aadios Systems (SL) Ltd., Freetown, Sierra Leone   |   Page </w:t>
    </w:r>
    <w:r>
      <w:rPr>
        <w:rFonts w:eastAsia="Arial" w:cs="Arial"/>
        <w:i/>
        <w:iCs/>
        <w:color w:val="6B7280"/>
        <w:sz w:val="20"/>
        <w:szCs w:val="20"/>
      </w:rPr>
      <w:fldChar w:fldCharType="begin"/>
    </w:r>
    <w:r>
      <w:rPr>
        <w:rFonts w:eastAsia="Arial" w:cs="Arial"/>
        <w:i/>
        <w:iCs/>
        <w:color w:val="6B7280"/>
        <w:sz w:val="20"/>
        <w:szCs w:val="20"/>
      </w:rPr>
      <w:instrText xml:space="preserve"> PAGE </w:instrText>
    </w:r>
    <w:r>
      <w:rPr>
        <w:rFonts w:eastAsia="Arial" w:cs="Arial"/>
        <w:i/>
        <w:iCs/>
        <w:color w:val="6B7280"/>
        <w:sz w:val="20"/>
        <w:szCs w:val="20"/>
      </w:rPr>
      <w:fldChar w:fldCharType="separate"/>
    </w:r>
    <w:r>
      <w:rPr>
        <w:rFonts w:eastAsia="Arial" w:cs="Arial"/>
        <w:i/>
        <w:iCs/>
        <w:color w:val="6B7280"/>
        <w:sz w:val="20"/>
        <w:szCs w:val="20"/>
      </w:rPr>
      <w:t>8</w:t>
    </w:r>
    <w:r>
      <w:rPr>
        <w:rFonts w:eastAsia="Arial" w:cs="Arial"/>
        <w:i/>
        <w:iCs/>
        <w:color w:val="6B7280"/>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5B21B6"/>
      </w:pBdr>
      <w:spacing w:before="100" w:after="0"/>
      <w:rPr/>
    </w:pPr>
    <w:r>
      <w:rPr>
        <w:rFonts w:eastAsia="Arial" w:cs="Arial"/>
        <w:color w:val="6B7280"/>
        <w:sz w:val="18"/>
        <w:szCs w:val="18"/>
      </w:rPr>
      <w:t xml:space="preserve">aim-protocol.vercel.app   |   Aadios Systems (SL) Ltd., Freetown, Sierra Leone   |   Page </w:t>
    </w:r>
    <w:r>
      <w:rPr>
        <w:rFonts w:eastAsia="Arial" w:cs="Arial"/>
        <w:i/>
        <w:iCs/>
        <w:color w:val="6B7280"/>
        <w:sz w:val="20"/>
        <w:szCs w:val="20"/>
      </w:rPr>
      <w:fldChar w:fldCharType="begin"/>
    </w:r>
    <w:r>
      <w:rPr>
        <w:rFonts w:eastAsia="Arial" w:cs="Arial"/>
        <w:i/>
        <w:iCs/>
        <w:color w:val="6B7280"/>
        <w:sz w:val="20"/>
        <w:szCs w:val="20"/>
      </w:rPr>
      <w:instrText xml:space="preserve"> PAGE </w:instrText>
    </w:r>
    <w:r>
      <w:rPr>
        <w:rFonts w:eastAsia="Arial" w:cs="Arial"/>
        <w:i/>
        <w:iCs/>
        <w:color w:val="6B7280"/>
        <w:sz w:val="20"/>
        <w:szCs w:val="20"/>
      </w:rPr>
      <w:fldChar w:fldCharType="separate"/>
    </w:r>
    <w:r>
      <w:rPr>
        <w:rFonts w:eastAsia="Arial" w:cs="Arial"/>
        <w:i/>
        <w:iCs/>
        <w:color w:val="6B7280"/>
        <w:sz w:val="20"/>
        <w:szCs w:val="20"/>
      </w:rPr>
      <w:t>8</w:t>
    </w:r>
    <w:r>
      <w:rPr>
        <w:rFonts w:eastAsia="Arial" w:cs="Arial"/>
        <w:i/>
        <w:iCs/>
        <w:color w:val="6B7280"/>
        <w:sz w:val="20"/>
        <w:szCs w:val="2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5B21B6"/>
      </w:pBdr>
      <w:spacing w:before="0" w:after="100"/>
      <w:rPr/>
    </w:pPr>
    <w:r>
      <w:rPr>
        <w:rFonts w:eastAsia="Arial" w:cs="Arial"/>
        <w:b/>
        <w:bCs/>
        <w:color w:val="1E1B4B"/>
        <w:sz w:val="18"/>
        <w:szCs w:val="18"/>
      </w:rPr>
      <w:t>AIM PROTOCOL</w:t>
    </w:r>
    <w:r>
      <w:rPr>
        <w:rFonts w:eastAsia="Arial" w:cs="Arial"/>
        <w:color w:val="6B7280"/>
        <w:sz w:val="18"/>
        <w:szCs w:val="18"/>
      </w:rPr>
      <w:t xml:space="preserve">   |   Version 2.1 — Release Notes &amp; Technical Reference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5B21B6"/>
      </w:pBdr>
      <w:spacing w:before="0" w:after="100"/>
      <w:rPr/>
    </w:pPr>
    <w:r>
      <w:rPr>
        <w:rFonts w:eastAsia="Arial" w:cs="Arial"/>
        <w:b/>
        <w:bCs/>
        <w:color w:val="1E1B4B"/>
        <w:sz w:val="18"/>
        <w:szCs w:val="18"/>
      </w:rPr>
      <w:t>AIM PROTOCOL</w:t>
    </w:r>
    <w:r>
      <w:rPr>
        <w:rFonts w:eastAsia="Arial" w:cs="Arial"/>
        <w:color w:val="6B7280"/>
        <w:sz w:val="18"/>
        <w:szCs w:val="18"/>
      </w:rPr>
      <w:t xml:space="preserve">   |   Version 2.1 — Release Notes &amp; Technical Reference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GB"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GB" w:eastAsia="zh-CN" w:bidi="hi-IN"/>
    </w:rPr>
  </w:style>
  <w:style w:type="paragraph" w:styleId="Heading1">
    <w:name w:val="heading 1"/>
    <w:basedOn w:val="Heading"/>
    <w:qFormat/>
    <w:pPr>
      <w:spacing w:before="360" w:after="160"/>
      <w:outlineLvl w:val="0"/>
    </w:pPr>
    <w:rPr>
      <w:rFonts w:ascii="Arial" w:hAnsi="Arial" w:eastAsia="Arial" w:cs="Arial"/>
      <w:b/>
      <w:bCs/>
      <w:color w:val="FFFFFF"/>
      <w:sz w:val="30"/>
      <w:szCs w:val="30"/>
    </w:rPr>
  </w:style>
  <w:style w:type="paragraph" w:styleId="Heading2">
    <w:name w:val="heading 2"/>
    <w:basedOn w:val="Heading"/>
    <w:qFormat/>
    <w:pPr>
      <w:spacing w:before="300" w:after="120"/>
      <w:outlineLvl w:val="1"/>
    </w:pPr>
    <w:rPr>
      <w:rFonts w:ascii="Arial" w:hAnsi="Arial" w:eastAsia="Arial" w:cs="Arial"/>
      <w:b/>
      <w:bCs/>
      <w:color w:val="1E1B4B"/>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GB"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GB"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LibreOffice/25.8.6.2$Windows_X86_64 LibreOffice_project/b4b39682cd9868fa725bc664aff94278d315bd04</Application>
  <AppVersion>15.0000</AppVersion>
  <Pages>8</Pages>
  <Words>1420</Words>
  <Characters>8771</Characters>
  <CharactersWithSpaces>10024</CharactersWithSpaces>
  <Paragraphs>217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2026-06-09T20:17:20Z</dcterms:created>
  <dc:creator>Un-named</dc:creator>
  <dc:description/>
  <dc:language>en-GB</dc:language>
  <cp:lastModifiedBy/>
  <dcterms:modified xsi:type="dcterms:W3CDTF">2026-06-09T20:19:43Z</dcterms:modified>
  <cp:revision>2</cp:revision>
  <dc:subject/>
  <dc:title/>
</cp:coreProperties>
</file>