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79C08" w14:textId="5B14025A" w:rsidR="00DE17BC" w:rsidRDefault="00DE17BC" w:rsidP="00DE17BC">
      <w:pPr>
        <w:ind w:firstLine="0"/>
      </w:pPr>
      <w:r w:rsidRPr="005505F8">
        <w:rPr>
          <w:noProof/>
        </w:rPr>
        <w:drawing>
          <wp:anchor distT="0" distB="0" distL="114300" distR="114300" simplePos="0" relativeHeight="251659264" behindDoc="0" locked="0" layoutInCell="1" allowOverlap="1" wp14:anchorId="2DAE404A" wp14:editId="29AB1F99">
            <wp:simplePos x="0" y="0"/>
            <wp:positionH relativeFrom="margin">
              <wp:align>left</wp:align>
            </wp:positionH>
            <wp:positionV relativeFrom="paragraph">
              <wp:posOffset>49530</wp:posOffset>
            </wp:positionV>
            <wp:extent cx="4229100" cy="3330575"/>
            <wp:effectExtent l="0" t="0" r="0" b="3175"/>
            <wp:wrapTopAndBottom/>
            <wp:docPr id="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1"/>
                    <a:stretch/>
                  </pic:blipFill>
                  <pic:spPr bwMode="auto">
                    <a:xfrm>
                      <a:off x="0" y="0"/>
                      <a:ext cx="4229100" cy="333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5CDE6" w14:textId="30613A88" w:rsidR="00DE17BC" w:rsidRDefault="00DE17BC" w:rsidP="00DE17BC">
      <w:pPr>
        <w:ind w:firstLine="0"/>
      </w:pPr>
      <w:r>
        <w:t xml:space="preserve">Supp. </w:t>
      </w:r>
      <w:r w:rsidRPr="00DE17BC">
        <w:t xml:space="preserve">Figure </w:t>
      </w:r>
      <w:r>
        <w:t>1</w:t>
      </w:r>
      <w:r w:rsidRPr="00DE17BC">
        <w:t>. Number of sequences per year</w:t>
      </w:r>
    </w:p>
    <w:p w14:paraId="587183CC" w14:textId="0BCFA0F8" w:rsidR="008E043E" w:rsidRDefault="00DE17BC" w:rsidP="00DE17BC">
      <w:pPr>
        <w:ind w:firstLine="0"/>
      </w:pPr>
      <w:r w:rsidRPr="00DE17BC">
        <w:t xml:space="preserve">Note:  This line graph indicates the number of sequences recorded during each year of the study program for both strains of RSV. </w:t>
      </w:r>
      <w:r>
        <w:t xml:space="preserve">The pink color line indicates RSV A, while the </w:t>
      </w:r>
      <w:r w:rsidRPr="00DE17BC">
        <w:t xml:space="preserve">blue color line indicates RSV B. The number of sequences presented here in the figure </w:t>
      </w:r>
      <w:r>
        <w:t>represents the</w:t>
      </w:r>
      <w:r w:rsidRPr="00DE17BC">
        <w:t xml:space="preserve"> complete coding regions of fusion protein after deduplication and cleansing process of datasets, hence may vary from raw datasets from NCBI and GISAID</w:t>
      </w:r>
    </w:p>
    <w:sectPr w:rsidR="008E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Q0MjE3sTQzsLQwNzNT0lEKTi0uzszPAykwrAUAsV0u3iwAAAA="/>
  </w:docVars>
  <w:rsids>
    <w:rsidRoot w:val="00DE17BC"/>
    <w:rsid w:val="00093738"/>
    <w:rsid w:val="001F3553"/>
    <w:rsid w:val="002F22FE"/>
    <w:rsid w:val="003151B1"/>
    <w:rsid w:val="00452B94"/>
    <w:rsid w:val="00637B97"/>
    <w:rsid w:val="008E043E"/>
    <w:rsid w:val="00C72BDA"/>
    <w:rsid w:val="00DE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07467"/>
  <w15:chartTrackingRefBased/>
  <w15:docId w15:val="{5D6206C0-6182-4E50-BEDB-58848348B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637B97"/>
    <w:pPr>
      <w:widowControl w:val="0"/>
      <w:spacing w:after="0" w:line="360" w:lineRule="auto"/>
      <w:ind w:firstLine="475"/>
      <w:jc w:val="both"/>
    </w:pPr>
    <w:rPr>
      <w:rFonts w:ascii="Times New Roman" w:hAnsi="Times New Roman" w:cs="Times New Roman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7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7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7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7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7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BC"/>
    <w:rPr>
      <w:rFonts w:eastAsiaTheme="majorEastAsia" w:cstheme="majorBidi"/>
      <w:i/>
      <w:iCs/>
      <w:color w:val="0F4761" w:themeColor="accent1" w:themeShade="BF"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BC"/>
    <w:rPr>
      <w:rFonts w:eastAsiaTheme="majorEastAsia" w:cstheme="majorBidi"/>
      <w:color w:val="0F4761" w:themeColor="accent1" w:themeShade="BF"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7BC"/>
    <w:rPr>
      <w:rFonts w:eastAsiaTheme="majorEastAsia" w:cstheme="majorBidi"/>
      <w:i/>
      <w:iCs/>
      <w:color w:val="595959" w:themeColor="text1" w:themeTint="A6"/>
      <w:sz w:val="24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7BC"/>
    <w:rPr>
      <w:rFonts w:eastAsiaTheme="majorEastAsia" w:cstheme="majorBidi"/>
      <w:color w:val="595959" w:themeColor="text1" w:themeTint="A6"/>
      <w:sz w:val="24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7BC"/>
    <w:rPr>
      <w:rFonts w:eastAsiaTheme="majorEastAsia" w:cstheme="majorBidi"/>
      <w:i/>
      <w:iCs/>
      <w:color w:val="272727" w:themeColor="text1" w:themeTint="D8"/>
      <w:sz w:val="24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7BC"/>
    <w:rPr>
      <w:rFonts w:eastAsiaTheme="majorEastAsia" w:cstheme="majorBidi"/>
      <w:color w:val="272727" w:themeColor="text1" w:themeTint="D8"/>
      <w:sz w:val="24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E1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7BC"/>
    <w:pPr>
      <w:numPr>
        <w:ilvl w:val="1"/>
      </w:numPr>
      <w:spacing w:after="160"/>
      <w:ind w:firstLine="475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7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7BC"/>
    <w:rPr>
      <w:rFonts w:ascii="Times New Roman" w:hAnsi="Times New Roman" w:cs="Times New Roman"/>
      <w:i/>
      <w:iCs/>
      <w:color w:val="404040" w:themeColor="text1" w:themeTint="BF"/>
      <w:sz w:val="24"/>
      <w:szCs w:val="28"/>
    </w:rPr>
  </w:style>
  <w:style w:type="paragraph" w:styleId="ListParagraph">
    <w:name w:val="List Paragraph"/>
    <w:basedOn w:val="Normal"/>
    <w:uiPriority w:val="34"/>
    <w:qFormat/>
    <w:rsid w:val="00DE1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7BC"/>
    <w:rPr>
      <w:rFonts w:ascii="Times New Roman" w:hAnsi="Times New Roman" w:cs="Times New Roman"/>
      <w:i/>
      <w:iCs/>
      <w:color w:val="0F4761" w:themeColor="accent1" w:themeShade="BF"/>
      <w:sz w:val="24"/>
      <w:szCs w:val="28"/>
    </w:rPr>
  </w:style>
  <w:style w:type="character" w:styleId="IntenseReference">
    <w:name w:val="Intense Reference"/>
    <w:basedOn w:val="DefaultParagraphFont"/>
    <w:uiPriority w:val="32"/>
    <w:qFormat/>
    <w:rsid w:val="00DE1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Nabeel Amjad</dc:creator>
  <cp:keywords/>
  <dc:description/>
  <cp:lastModifiedBy>Muhammad Nabeel Amjad</cp:lastModifiedBy>
  <cp:revision>1</cp:revision>
  <dcterms:created xsi:type="dcterms:W3CDTF">2025-12-02T04:52:00Z</dcterms:created>
  <dcterms:modified xsi:type="dcterms:W3CDTF">2025-12-02T04:54:00Z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d71d5679-8bca-4ba7-ac0e-88e92f0ebb9f</vt:lpwstr>
  </property>
</Properties>
</file>