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7A" w:rsidRDefault="00144FA5">
      <w:pPr>
        <w:pStyle w:val="1"/>
      </w:pPr>
      <w:r>
        <w:rPr>
          <w:sz w:val="48"/>
        </w:rPr>
        <w:t>Gold Price Forecasting Using Deep Learning Techniques: An Empirical Analysis of BiLSTM, CNN, and Hybrid CNN-BiLSTM Models</w:t>
      </w:r>
    </w:p>
    <w:p w:rsidR="0004127A" w:rsidRDefault="00144FA5">
      <w:pPr>
        <w:pStyle w:val="21"/>
      </w:pPr>
      <w:r>
        <w:rPr>
          <w:sz w:val="36"/>
        </w:rPr>
        <w:t>1. Abstract</w:t>
      </w:r>
    </w:p>
    <w:p w:rsidR="0004127A" w:rsidRDefault="00144FA5" w:rsidP="00F959A9">
      <w:r>
        <w:rPr>
          <w:sz w:val="24"/>
        </w:rPr>
        <w:t>Gold has historically been perceived as a secure asset and a significant indicator of economic stability, rendering the accurate prediction of gold prices a crucial endeavor within the realms of finance and economics. Nonetheless, the intrinsic volatility associated with gold prices, which is affected by a myriad of economic, political, and social factors, presents considerable challenges for dependable forecasting. This paper examines the efficacy of advanced deep learning models in forecasting gold prices, utilizing a dataset that encompasses 27 economic and financial variables, including gold, silver, oil, the EUR/USD exchange rate, the S&amp;P500 index, the Consumer Price Index (CPI), and Global Political Risk (GPR) indicators</w:t>
      </w:r>
      <w:r>
        <w:rPr>
          <w:color w:val="000000"/>
          <w:sz w:val="24"/>
        </w:rPr>
        <w:t xml:space="preserve"> </w:t>
      </w:r>
      <w:r w:rsidR="003E597C">
        <w:rPr>
          <w:color w:val="000000"/>
          <w:sz w:val="24"/>
        </w:rPr>
        <w:fldChar w:fldCharType="begin"/>
      </w:r>
      <w:r w:rsidR="00F959A9">
        <w:rPr>
          <w:color w:val="000000"/>
          <w:sz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sidR="003E597C">
        <w:rPr>
          <w:color w:val="000000"/>
          <w:sz w:val="24"/>
        </w:rPr>
        <w:fldChar w:fldCharType="separate"/>
      </w:r>
      <w:r w:rsidR="00F959A9">
        <w:rPr>
          <w:noProof/>
          <w:color w:val="000000"/>
          <w:sz w:val="24"/>
        </w:rPr>
        <w:t>[1]</w:t>
      </w:r>
      <w:r w:rsidR="003E597C">
        <w:rPr>
          <w:color w:val="000000"/>
          <w:sz w:val="24"/>
        </w:rPr>
        <w:fldChar w:fldCharType="end"/>
      </w:r>
      <w:r>
        <w:rPr>
          <w:sz w:val="24"/>
        </w:rPr>
        <w:t>. Four distinct models were constructed and evaluated: a Bidirectional Long Short-Term Memory (BiLSTM) model utilizing both 1-day and 30-day time frames, a Convolutional Neural Network (CNN), and a hybrid CNN-BiLSTM architecture. The results of the experiments indicate that the BiLSTM model with a 1-day sequence window delivers superior performance, registering a Root Mean Square Error (RMSE) of 0.0533, a Mean Absolute Error (MAE) of 0.0449, and an R² value of 0.96, surpassing both the CNN and hybrid CNN-BiLSTM models. Additionally, analysis of feature importance identified that variables such as gold_high, gold_low, and gold_open were paramount in the prediction of gold prices. These findings underscore the promising capabilities of hybrid and sequence-based deep learning models for financial forecasting and furnish significant insights for both practitioners and researchers engaged in quantitative finance</w:t>
      </w:r>
      <w:r w:rsidR="00F959A9">
        <w:rPr>
          <w:sz w:val="24"/>
        </w:rPr>
        <w:fldChar w:fldCharType="begin"/>
      </w:r>
      <w:r w:rsidR="00F959A9">
        <w:rPr>
          <w:sz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959A9">
        <w:rPr>
          <w:sz w:val="24"/>
        </w:rPr>
        <w:fldChar w:fldCharType="separate"/>
      </w:r>
      <w:r w:rsidR="00F959A9">
        <w:rPr>
          <w:noProof/>
          <w:sz w:val="24"/>
        </w:rPr>
        <w:t>[2]</w:t>
      </w:r>
      <w:r w:rsidR="00F959A9">
        <w:rPr>
          <w:sz w:val="24"/>
        </w:rPr>
        <w:fldChar w:fldCharType="end"/>
      </w:r>
      <w:r>
        <w:rPr>
          <w:sz w:val="24"/>
        </w:rPr>
        <w:t>.</w:t>
      </w:r>
    </w:p>
    <w:p w:rsidR="0004127A" w:rsidRDefault="00144FA5">
      <w:r>
        <w:rPr>
          <w:b/>
          <w:sz w:val="24"/>
        </w:rPr>
        <w:t>Keywords</w:t>
      </w:r>
      <w:r>
        <w:rPr>
          <w:sz w:val="24"/>
        </w:rPr>
        <w:t>: Deep learning, BiLSTM, CNN, Hybrid models, Time series forecasting, Feature importance, Financial prediction, RMSE, MSE.</w:t>
      </w:r>
    </w:p>
    <w:p w:rsidR="0004127A" w:rsidRDefault="00144FA5">
      <w:pPr>
        <w:pStyle w:val="21"/>
      </w:pPr>
      <w:r>
        <w:rPr>
          <w:sz w:val="36"/>
        </w:rPr>
        <w:t>2. Introduction</w:t>
      </w:r>
    </w:p>
    <w:p w:rsidR="0004127A" w:rsidRDefault="00144FA5" w:rsidP="00F959A9">
      <w:r>
        <w:rPr>
          <w:sz w:val="24"/>
        </w:rPr>
        <w:t xml:space="preserve">Historically, gold has played a pivotal role within the global economy, functioning not just as a mere store of value but also acting as a crucial safeguard against </w:t>
      </w:r>
      <w:r>
        <w:rPr>
          <w:sz w:val="24"/>
        </w:rPr>
        <w:lastRenderedPageBreak/>
        <w:t>inflationary pressures and various forms of economic instability</w:t>
      </w:r>
      <w:r w:rsidR="00F959A9">
        <w:rPr>
          <w:sz w:val="24"/>
        </w:rPr>
        <w:fldChar w:fldCharType="begin"/>
      </w:r>
      <w:r w:rsidR="00F959A9">
        <w:rPr>
          <w:sz w:val="24"/>
        </w:rPr>
        <w:instrText xml:space="preserve"> ADDIN EN.CITE &lt;EndNote&gt;&lt;Cite&gt;&lt;Author&gt;Li&lt;/Author&gt;&lt;Year&gt;2023&lt;/Year&gt;&lt;RecNum&gt;3&lt;/RecNum&gt;&lt;DisplayText&gt;[3]&lt;/DisplayText&gt;&lt;record&gt;&lt;rec-number&gt;3&lt;/rec-number&gt;&lt;foreign-keys&gt;&lt;key app="EN" db-id="dv2dxetxg5w9ehewap1xz0d1w2p0drtv9tds" timestamp="1758285414"&gt;3&lt;/key&gt;&lt;/foreign-keys&gt;&lt;ref-type name="Journal Article"&gt;17&lt;/ref-type&gt;&lt;contributors&gt;&lt;authors&gt;&lt;author&gt;Li, Yu&lt;/author&gt;&lt;author&gt;Umair, Muhammad&lt;/author&gt;&lt;/authors&gt;&lt;/contributors&gt;&lt;titles&gt;&lt;title&gt;The protective nature of gold during times of oil price volatility: an analysis of the COVID-19 pandemic&lt;/title&gt;&lt;secondary-title&gt;The Extractive Industries and Society&lt;/secondary-title&gt;&lt;/titles&gt;&lt;periodical&gt;&lt;full-title&gt;The Extractive Industries and Society&lt;/full-title&gt;&lt;/periodical&gt;&lt;pages&gt;101284&lt;/pages&gt;&lt;volume&gt;15&lt;/volume&gt;&lt;dates&gt;&lt;year&gt;2023&lt;/year&gt;&lt;/dates&gt;&lt;isbn&gt;2214-790X&lt;/isbn&gt;&lt;urls&gt;&lt;/urls&gt;&lt;/record&gt;&lt;/Cite&gt;&lt;/EndNote&gt;</w:instrText>
      </w:r>
      <w:r w:rsidR="00F959A9">
        <w:rPr>
          <w:sz w:val="24"/>
        </w:rPr>
        <w:fldChar w:fldCharType="separate"/>
      </w:r>
      <w:r w:rsidR="00F959A9">
        <w:rPr>
          <w:noProof/>
          <w:sz w:val="24"/>
        </w:rPr>
        <w:t>[3]</w:t>
      </w:r>
      <w:r w:rsidR="00F959A9">
        <w:rPr>
          <w:sz w:val="24"/>
        </w:rPr>
        <w:fldChar w:fldCharType="end"/>
      </w:r>
      <w:r>
        <w:rPr>
          <w:sz w:val="24"/>
        </w:rPr>
        <w:t>. Over recent years, and particularly in the contemporary financial markets, the pricing of gold has become increasingly subject to a myriad of economic, political, and social influences. These influences encompass fluctuations in currency exchange rates, variations in crude oil prices, movements within stock indices, inflationary metrics, and the ever-evolving landscape of geopolitical threats and tensions</w:t>
      </w:r>
      <w:r w:rsidR="00F959A9">
        <w:rPr>
          <w:sz w:val="24"/>
        </w:rPr>
        <w:fldChar w:fldCharType="begin"/>
      </w:r>
      <w:r w:rsidR="00F959A9">
        <w:rPr>
          <w:sz w:val="24"/>
        </w:rPr>
        <w:instrText xml:space="preserve"> ADDIN EN.CITE &lt;EndNote&gt;&lt;Cite&gt;&lt;Author&gt;Yiming&lt;/Author&gt;&lt;Year&gt;2024&lt;/Year&gt;&lt;RecNum&gt;4&lt;/RecNum&gt;&lt;DisplayText&gt;[4]&lt;/DisplayText&gt;&lt;record&gt;&lt;rec-number&gt;4&lt;/rec-number&gt;&lt;foreign-keys&gt;&lt;key app="EN" db-id="dv2dxetxg5w9ehewap1xz0d1w2p0drtv9tds" timestamp="1758285619"&gt;4&lt;/key&gt;&lt;/foreign-keys&gt;&lt;ref-type name="Journal Article"&gt;17&lt;/ref-type&gt;&lt;contributors&gt;&lt;authors&gt;&lt;author&gt;Yiming, Wang&lt;/author&gt;&lt;author&gt;Xun, Liu&lt;/author&gt;&lt;author&gt;Umair, Muhammad&lt;/author&gt;&lt;author&gt;Aizhan, Assilova&lt;/author&gt;&lt;/authors&gt;&lt;/contributors&gt;&lt;titles&gt;&lt;title&gt;COVID-19 and the transformation of emerging economies: financialization, green bonds, and stock market volatility&lt;/title&gt;&lt;secondary-title&gt;Resources Policy&lt;/secondary-title&gt;&lt;/titles&gt;&lt;periodical&gt;&lt;full-title&gt;Resources Policy&lt;/full-title&gt;&lt;/periodical&gt;&lt;pages&gt;104963&lt;/pages&gt;&lt;volume&gt;92&lt;/volume&gt;&lt;dates&gt;&lt;year&gt;2024&lt;/year&gt;&lt;/dates&gt;&lt;isbn&gt;0301-4207&lt;/isbn&gt;&lt;urls&gt;&lt;/urls&gt;&lt;/record&gt;&lt;/Cite&gt;&lt;/EndNote&gt;</w:instrText>
      </w:r>
      <w:r w:rsidR="00F959A9">
        <w:rPr>
          <w:sz w:val="24"/>
        </w:rPr>
        <w:fldChar w:fldCharType="separate"/>
      </w:r>
      <w:r w:rsidR="00F959A9">
        <w:rPr>
          <w:noProof/>
          <w:sz w:val="24"/>
        </w:rPr>
        <w:t>[4]</w:t>
      </w:r>
      <w:r w:rsidR="00F959A9">
        <w:rPr>
          <w:sz w:val="24"/>
        </w:rPr>
        <w:fldChar w:fldCharType="end"/>
      </w:r>
      <w:r w:rsidR="00F959A9">
        <w:rPr>
          <w:color w:val="000000"/>
          <w:sz w:val="24"/>
        </w:rPr>
        <w:t xml:space="preserve"> </w:t>
      </w:r>
      <w:r>
        <w:rPr>
          <w:sz w:val="24"/>
        </w:rPr>
        <w:t>.</w:t>
      </w:r>
    </w:p>
    <w:p w:rsidR="0004127A" w:rsidRDefault="00144FA5" w:rsidP="00144FA5">
      <w:r>
        <w:rPr>
          <w:sz w:val="24"/>
        </w:rPr>
        <w:t>As a result, the ability to make accurate predictions regarding future gold prices has become an essential endeavor for a diverse range of stakeholders, including investors looking to optimize their portfolios, policymakers aiming to understand economic signals, and financial institutions striving to manage their risk exposure effectively</w:t>
      </w:r>
      <w:r w:rsidR="00636021">
        <w:rPr>
          <w:color w:val="000000"/>
          <w:sz w:val="24"/>
        </w:rPr>
        <w:t xml:space="preserve"> </w:t>
      </w:r>
      <w:r w:rsidR="00636021">
        <w:rPr>
          <w:color w:val="000000"/>
          <w:sz w:val="24"/>
        </w:rPr>
        <w:fldChar w:fldCharType="begin"/>
      </w:r>
      <w:r w:rsidR="00636021">
        <w:rPr>
          <w:color w:val="000000"/>
          <w:sz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636021">
        <w:rPr>
          <w:color w:val="000000"/>
          <w:sz w:val="24"/>
        </w:rPr>
        <w:fldChar w:fldCharType="separate"/>
      </w:r>
      <w:r w:rsidR="00636021">
        <w:rPr>
          <w:noProof/>
          <w:color w:val="000000"/>
          <w:sz w:val="24"/>
        </w:rPr>
        <w:t>[5]</w:t>
      </w:r>
      <w:r w:rsidR="00636021">
        <w:rPr>
          <w:color w:val="000000"/>
          <w:sz w:val="24"/>
        </w:rPr>
        <w:fldChar w:fldCharType="end"/>
      </w:r>
      <w:r>
        <w:rPr>
          <w:sz w:val="24"/>
        </w:rPr>
        <w:t xml:space="preserve"> However, the task of forecasting gold prices presents significant challenges due to their inherent nonlinear and volatile characteristics, which complicate the accuracy of predictions</w:t>
      </w:r>
      <w:r>
        <w:rPr>
          <w:color w:val="000000"/>
          <w:sz w:val="24"/>
        </w:rPr>
        <w:t xml:space="preserve"> </w:t>
      </w:r>
      <w:r w:rsidR="00D678C3">
        <w:rPr>
          <w:color w:val="000000"/>
          <w:sz w:val="24"/>
        </w:rPr>
        <w:fldChar w:fldCharType="begin"/>
      </w:r>
      <w:r w:rsidR="00D678C3">
        <w:rPr>
          <w:color w:val="000000"/>
          <w:sz w:val="24"/>
        </w:rPr>
        <w:instrText xml:space="preserve"> ADDIN EN.CITE &lt;EndNote&gt;&lt;Cite&gt;&lt;Author&gt;Pandit&lt;/Author&gt;&lt;Year&gt;2024&lt;/Year&gt;&lt;RecNum&gt;6&lt;/RecNum&gt;&lt;DisplayText&gt;[6]&lt;/DisplayText&gt;&lt;record&gt;&lt;rec-number&gt;6&lt;/rec-number&gt;&lt;foreign-keys&gt;&lt;key app="EN" db-id="dv2dxetxg5w9ehewap1xz0d1w2p0drtv9tds" timestamp="1758287373"&gt;6&lt;/key&gt;&lt;/foreign-keys&gt;&lt;ref-type name="Journal Article"&gt;17&lt;/ref-type&gt;&lt;contributors&gt;&lt;authors&gt;&lt;author&gt;Pandit, Sarth&lt;/author&gt;&lt;author&gt;Luo, Xiaojun&lt;/author&gt;&lt;/authors&gt;&lt;/contributors&gt;&lt;titles&gt;&lt;title&gt;A novel prediction model to evaluate the dynamic interrelationship between gold and crude oil&lt;/title&gt;&lt;secondary-title&gt;International Journal of Data Science and Analytics&lt;/secondary-title&gt;&lt;/titles&gt;&lt;periodical&gt;&lt;full-title&gt;International Journal of Data Science and Analytics&lt;/full-title&gt;&lt;/periodical&gt;&lt;pages&gt;1-22&lt;/pages&gt;&lt;dates&gt;&lt;year&gt;2024&lt;/year&gt;&lt;/dates&gt;&lt;isbn&gt;2364-415X&lt;/isbn&gt;&lt;urls&gt;&lt;/urls&gt;&lt;/record&gt;&lt;/Cite&gt;&lt;/EndNote&gt;</w:instrText>
      </w:r>
      <w:r w:rsidR="00D678C3">
        <w:rPr>
          <w:color w:val="000000"/>
          <w:sz w:val="24"/>
        </w:rPr>
        <w:fldChar w:fldCharType="separate"/>
      </w:r>
      <w:r w:rsidR="00D678C3">
        <w:rPr>
          <w:noProof/>
          <w:color w:val="000000"/>
          <w:sz w:val="24"/>
        </w:rPr>
        <w:t>[6]</w:t>
      </w:r>
      <w:r w:rsidR="00D678C3">
        <w:rPr>
          <w:color w:val="000000"/>
          <w:sz w:val="24"/>
        </w:rPr>
        <w:fldChar w:fldCharType="end"/>
      </w:r>
      <w:r>
        <w:rPr>
          <w:sz w:val="24"/>
        </w:rPr>
        <w:t>. Traditional econometric and statistical methodologies, although beneficial in providing insights, often fall short of effectively capturing the intricate dependencies and latent patterns that reside within complex financial time series data. Recognizing this limitation, there has been a growing interest in exploring advanced machine learning (ML) and deep learning (DL) methodologies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&lt;EndNote&gt;&lt;Cite&gt;&lt;Author&gt;Bousbaa&lt;/Author&gt;&lt;Year&gt;2023&lt;/Year&gt;&lt;RecNum&gt;7&lt;/RecNum&gt;&lt;DisplayText&gt;[7, 8]&lt;/DisplayText&gt;&lt;record&gt;&lt;rec-number&gt;7&lt;/rec-number&gt;&lt;foreign-keys&gt;&lt;key app="EN" db-id="dv2dxetxg5w9ehewap1xz0d1w2p0drtv9tds" timestamp="1758287494"&gt;7&lt;/key&gt;&lt;/foreign-keys&gt;&lt;ref-type name="Journal Article"&gt;17&lt;/ref-type&gt;&lt;contributors&gt;&lt;authors&gt;&lt;author&gt;Bousbaa, Zineb&lt;/author&gt;&lt;author&gt;Sanchez-Medina, Javier&lt;/author&gt;&lt;author&gt;Bencharef, Omar&lt;/author&gt;&lt;/authors&gt;&lt;/contributors&gt;&lt;titles&gt;&lt;title&gt;Financial time series forecasting: a data stream mining-based system&lt;/title&gt;&lt;secondary-title&gt;Electronics&lt;/secondary-title&gt;&lt;/titles&gt;&lt;periodical&gt;&lt;full-title&gt;Electronics&lt;/full-title&gt;&lt;/periodical&gt;&lt;pages&gt;2039&lt;/pages&gt;&lt;volume&gt;12&lt;/volume&gt;&lt;number&gt;9&lt;/number&gt;&lt;dates&gt;&lt;year&gt;2023&lt;/year&gt;&lt;/dates&gt;&lt;isbn&gt;2079-9292&lt;/isbn&gt;&lt;urls&gt;&lt;/urls&gt;&lt;/record&gt;&lt;/Cite&gt;&lt;Cite&gt;&lt;Author&gt;Kong&lt;/Author&gt;&lt;Year&gt;2025&lt;/Year&gt;&lt;RecNum&gt;8&lt;/RecNum&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8D0C99">
        <w:rPr>
          <w:color w:val="000000"/>
          <w:sz w:val="24"/>
        </w:rPr>
        <w:fldChar w:fldCharType="separate"/>
      </w:r>
      <w:r w:rsidR="008D0C99">
        <w:rPr>
          <w:noProof/>
          <w:color w:val="000000"/>
          <w:sz w:val="24"/>
        </w:rPr>
        <w:t>[7, 8]</w:t>
      </w:r>
      <w:r w:rsidR="008D0C99">
        <w:rPr>
          <w:color w:val="000000"/>
          <w:sz w:val="24"/>
        </w:rPr>
        <w:fldChar w:fldCharType="end"/>
      </w:r>
      <w:r>
        <w:rPr>
          <w:sz w:val="24"/>
        </w:rPr>
        <w:t>, which have demonstrated considerable effectiveness in addressing challenges related to nonlinearity, the handling of high-dimensional datasets, and the modeling of temporal dependencies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&lt;EndNote&gt;&lt;Cite&gt;&lt;Author&gt;Ashraf&lt;/Author&gt;&lt;Year&gt;2023&lt;/Year&gt;&lt;RecNum&gt;9&lt;/RecNum&gt;&lt;DisplayText&gt;[9]&lt;/DisplayText&gt;&lt;record&gt;&lt;rec-number&gt;9&lt;/rec-number&gt;&lt;foreign-keys&gt;&lt;key app="EN" db-id="dv2dxetxg5w9ehewap1xz0d1w2p0drtv9tds" timestamp="1758287808"&gt;9&lt;/key&gt;&lt;/foreign-keys&gt;&lt;ref-type name="Journal Article"&gt;17&lt;/ref-type&gt;&lt;contributors&gt;&lt;authors&gt;&lt;author&gt;Ashraf, Mohsena&lt;/author&gt;&lt;author&gt;Anowar, Farzana&lt;/author&gt;&lt;author&gt;Setu, Jahanggir H&lt;/author&gt;&lt;author&gt;Chowdhury, Atiqul I&lt;/author&gt;&lt;author&gt;Ahmed, Eshtiak&lt;/author&gt;&lt;author&gt;Islam, Ashraful&lt;/author&gt;&lt;author&gt;Al-Mamun, Abdullah&lt;/author&gt;&lt;/authors&gt;&lt;/contributors&gt;&lt;titles&gt;&lt;title&gt;A survey on dimensionality reduction techniques for time-series data&lt;/title&gt;&lt;secondary-title&gt;IEEE Access&lt;/secondary-title&gt;&lt;/titles&gt;&lt;periodical&gt;&lt;full-title&gt;IEEE Access&lt;/full-title&gt;&lt;/periodical&gt;&lt;pages&gt;42909-42923&lt;/pages&gt;&lt;volume&gt;11&lt;/volume&gt;&lt;dates&gt;&lt;year&gt;2023&lt;/year&gt;&lt;/dates&gt;&lt;isbn&gt;2169-3536&lt;/isbn&gt;&lt;urls&gt;&lt;/urls&gt;&lt;/record&gt;&lt;/Cite&gt;&lt;/EndNote&gt;</w:instrText>
      </w:r>
      <w:r w:rsidR="008D0C99">
        <w:rPr>
          <w:color w:val="000000"/>
          <w:sz w:val="24"/>
        </w:rPr>
        <w:fldChar w:fldCharType="separate"/>
      </w:r>
      <w:r w:rsidR="008D0C99">
        <w:rPr>
          <w:noProof/>
          <w:color w:val="000000"/>
          <w:sz w:val="24"/>
        </w:rPr>
        <w:t>[9]</w:t>
      </w:r>
      <w:r w:rsidR="008D0C99">
        <w:rPr>
          <w:color w:val="000000"/>
          <w:sz w:val="24"/>
        </w:rPr>
        <w:fldChar w:fldCharType="end"/>
      </w:r>
      <w:r>
        <w:rPr>
          <w:sz w:val="24"/>
        </w:rPr>
        <w:t xml:space="preserve">. </w:t>
      </w:r>
      <w:r>
        <w:rPr>
          <w:sz w:val="24"/>
        </w:rPr>
        <w:br/>
      </w:r>
      <w:r>
        <w:rPr>
          <w:sz w:val="24"/>
        </w:rPr>
        <w:br/>
        <w:t>Within the specific domain of deep learning architectures, Recurrent Neural Networks (RNNs) and their variants, such as Long Short-Term Memory (LSTM) networks and Bidirectional LSTM (BiLSTM), have gained notable recognition for their superior efficacy in financial forecasting tasks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&lt;EndNote&gt;&lt;Cite&gt;&lt;Author&gt;Cheng&lt;/Author&gt;&lt;Year&gt;2025&lt;/Year&gt;&lt;RecNum&gt;10&lt;/RecNum&gt;&lt;DisplayText&gt;[10]&lt;/DisplayText&gt;&lt;record&gt;&lt;rec-number&gt;10&lt;/rec-number&gt;&lt;foreign-keys&gt;&lt;key app="EN" db-id="dv2dxetxg5w9ehewap1xz0d1w2p0drtv9tds" timestamp="1758287915"&gt;10&lt;/key&gt;&lt;/foreign-keys&gt;&lt;ref-type name="Journal Article"&gt;17&lt;/ref-type&gt;&lt;contributors&gt;&lt;authors&gt;&lt;author&gt;Cheng, Yu&lt;/author&gt;&lt;author&gt;Xu, Zhen&lt;/author&gt;&lt;author&gt;Chen, Yuan&lt;/author&gt;&lt;author&gt;Wang, Yuhan&lt;/author&gt;&lt;author&gt;Lin, Zhenghao&lt;/author&gt;&lt;author&gt;Liu, Jinsong&lt;/author&gt;&lt;/authors&gt;&lt;/contributors&gt;&lt;titles&gt;&lt;title&gt;A Deep Learning Framework Integrating CNN and BiLSTM for Financial Systemic Risk Analysis and Prediction&lt;/title&gt;&lt;secondary-title&gt;arXiv preprint arXiv:2502.06847&lt;/secondary-title&gt;&lt;/titles&gt;&lt;periodical&gt;&lt;full-title&gt;arXiv preprint arXiv:2502.06847&lt;/full-title&gt;&lt;/periodical&gt;&lt;dates&gt;&lt;year&gt;2025&lt;/year&gt;&lt;/dates&gt;&lt;urls&gt;&lt;/urls&gt;&lt;/record&gt;&lt;/Cite&gt;&lt;/EndNote&gt;</w:instrText>
      </w:r>
      <w:r w:rsidR="008D0C99">
        <w:rPr>
          <w:color w:val="000000"/>
          <w:sz w:val="24"/>
        </w:rPr>
        <w:fldChar w:fldCharType="separate"/>
      </w:r>
      <w:r w:rsidR="008D0C99">
        <w:rPr>
          <w:noProof/>
          <w:color w:val="000000"/>
          <w:sz w:val="24"/>
        </w:rPr>
        <w:t>[10]</w:t>
      </w:r>
      <w:r w:rsidR="008D0C99">
        <w:rPr>
          <w:color w:val="000000"/>
          <w:sz w:val="24"/>
        </w:rPr>
        <w:fldChar w:fldCharType="end"/>
      </w:r>
      <w:r>
        <w:rPr>
          <w:sz w:val="24"/>
        </w:rPr>
        <w:t>. These advanced models excel specifically at encapsulating temporal dynamics and managing long-term dependencies inherent in sequential datasets, making them well-suited for predicting trends in gold prices. On the other hand, Convolutional Neural Networks (CNNs), which were originally developed for the task of image recognition, have recently been adapted for the purpose of time series analysis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&lt;EndNote&gt;&lt;Cite&gt;&lt;Author&gt;Taye&lt;/Author&gt;&lt;Year&gt;2023&lt;/Year&gt;&lt;RecNum&gt;11&lt;/RecNum&gt;&lt;DisplayText&gt;[11]&lt;/DisplayText&gt;&lt;record&gt;&lt;rec-number&gt;11&lt;/rec-number&gt;&lt;foreign-keys&gt;&lt;key app="EN" db-id="dv2dxetxg5w9ehewap1xz0d1w2p0drtv9tds" timestamp="1758288073"&gt;11&lt;/key&gt;&lt;/foreign-keys&gt;&lt;ref-type name="Journal Article"&gt;17&lt;/ref-type&gt;&lt;contributors&gt;&lt;authors&gt;&lt;author&gt;Taye, Mohammad Mustafa&lt;/author&gt;&lt;/authors&gt;&lt;/contributors&gt;&lt;titles&gt;&lt;title&gt;Theoretical understanding of convolutional neural network: Concepts, architectures, applications, future directions&lt;/title&gt;&lt;secondary-title&gt;Computation&lt;/secondary-title&gt;&lt;/titles&gt;&lt;periodical&gt;&lt;full-title&gt;Computation&lt;/full-title&gt;&lt;/periodical&gt;&lt;pages&gt;52&lt;/pages&gt;&lt;volume&gt;11&lt;/volume&gt;&lt;number&gt;3&lt;/number&gt;&lt;dates&gt;&lt;year&gt;2023&lt;/year&gt;&lt;/dates&gt;&lt;isbn&gt;2079-3197&lt;/isbn&gt;&lt;urls&gt;&lt;/urls&gt;&lt;/record&gt;&lt;/Cite&gt;&lt;/EndNote&gt;</w:instrText>
      </w:r>
      <w:r w:rsidR="008D0C99">
        <w:rPr>
          <w:color w:val="000000"/>
          <w:sz w:val="24"/>
        </w:rPr>
        <w:fldChar w:fldCharType="separate"/>
      </w:r>
      <w:r w:rsidR="008D0C99">
        <w:rPr>
          <w:noProof/>
          <w:color w:val="000000"/>
          <w:sz w:val="24"/>
        </w:rPr>
        <w:t>[11]</w:t>
      </w:r>
      <w:r w:rsidR="008D0C99">
        <w:rPr>
          <w:color w:val="000000"/>
          <w:sz w:val="24"/>
        </w:rPr>
        <w:fldChar w:fldCharType="end"/>
      </w:r>
      <w:r>
        <w:rPr>
          <w:sz w:val="24"/>
        </w:rPr>
        <w:t>. This adaptation is due to their exceptional proficiency in extracting local patterns from data while minimizing the impact of noise, which is often a significant issue in economic datasets</w:t>
      </w:r>
      <w:r>
        <w:rPr>
          <w:color w:val="000000"/>
          <w:sz w:val="24"/>
        </w:rPr>
        <w:t xml:space="preserve"> </w:t>
      </w:r>
      <w:r w:rsidR="003F1A3B">
        <w:rPr>
          <w:color w:val="000000"/>
          <w:sz w:val="24"/>
        </w:rPr>
        <w:fldChar w:fldCharType="begin"/>
      </w:r>
      <w:r w:rsidR="003F1A3B">
        <w:rPr>
          <w:color w:val="000000"/>
          <w:sz w:val="24"/>
        </w:rPr>
        <w:instrText xml:space="preserve"> ADDIN EN.CITE &lt;EndNote&gt;&lt;Cite&gt;&lt;Author&gt;Wu&lt;/Author&gt;&lt;Year&gt;2024&lt;/Year&gt;&lt;RecNum&gt;12&lt;/RecNum&gt;&lt;DisplayText&gt;[12]&lt;/DisplayText&gt;&lt;record&gt;&lt;rec-number&gt;12&lt;/rec-number&gt;&lt;foreign-keys&gt;&lt;key app="EN" db-id="dv2dxetxg5w9ehewap1xz0d1w2p0drtv9tds" timestamp="1758288176"&gt;12&lt;/key&gt;&lt;/foreign-keys&gt;&lt;ref-type name="Conference Proceedings"&gt;10&lt;/ref-type&gt;&lt;contributors&gt;&lt;authors&gt;&lt;author&gt;Wu, You&lt;/author&gt;&lt;author&gt;Sun, Mengfang&lt;/author&gt;&lt;author&gt;Zheng, Hongye&lt;/author&gt;&lt;author&gt;Hu, Jinxin&lt;/author&gt;&lt;author&gt;Liang, Yingbin&lt;/author&gt;&lt;author&gt;Lin, Zhenghao&lt;/author&gt;&lt;/authors&gt;&lt;/contributors&gt;&lt;titles&gt;&lt;title&gt;Integrative Analysis of Financial Market Sentiment Using CNN and GRU for Risk Prediction and Alert Systems&lt;/title&gt;&lt;secondary-title&gt;2024 International Conference on Electronics and Devices, Computational Science (ICEDCS)&lt;/secondary-title&gt;&lt;/titles&gt;&lt;pages&gt;410-415&lt;/pages&gt;&lt;dates&gt;&lt;year&gt;2024&lt;/year&gt;&lt;/dates&gt;&lt;publisher&gt;IEEE&lt;/publisher&gt;&lt;isbn&gt;9798331527624&lt;/isbn&gt;&lt;urls&gt;&lt;/urls&gt;&lt;/record&gt;&lt;/Cite&gt;&lt;/EndNote&gt;</w:instrText>
      </w:r>
      <w:r w:rsidR="003F1A3B">
        <w:rPr>
          <w:color w:val="000000"/>
          <w:sz w:val="24"/>
        </w:rPr>
        <w:fldChar w:fldCharType="separate"/>
      </w:r>
      <w:r w:rsidR="003F1A3B">
        <w:rPr>
          <w:noProof/>
          <w:color w:val="000000"/>
          <w:sz w:val="24"/>
        </w:rPr>
        <w:t>[12]</w:t>
      </w:r>
      <w:r w:rsidR="003F1A3B">
        <w:rPr>
          <w:color w:val="000000"/>
          <w:sz w:val="24"/>
        </w:rPr>
        <w:fldChar w:fldCharType="end"/>
      </w:r>
      <w:r>
        <w:rPr>
          <w:sz w:val="24"/>
        </w:rPr>
        <w:t>. More recently, there has been the emergence of hybrid models that integrate both CNN and LSTM/BiLSTM components, aiming to harness the strengths inherent in both local feature extraction capabilities and long-range sequence learning capabilities</w:t>
      </w:r>
      <w:r>
        <w:rPr>
          <w:color w:val="000000"/>
          <w:sz w:val="24"/>
        </w:rPr>
        <w:t xml:space="preserve"> </w:t>
      </w:r>
      <w:r>
        <w:rPr>
          <w:color w:val="000000"/>
          <w:sz w:val="24"/>
        </w:rPr>
        <w:fldChar w:fldCharType="begin"/>
      </w:r>
      <w:r>
        <w:rPr>
          <w:color w:val="000000"/>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Pr>
          <w:color w:val="000000"/>
          <w:sz w:val="24"/>
        </w:rPr>
        <w:fldChar w:fldCharType="separate"/>
      </w:r>
      <w:r>
        <w:rPr>
          <w:noProof/>
          <w:color w:val="000000"/>
          <w:sz w:val="24"/>
        </w:rPr>
        <w:t>[13]</w:t>
      </w:r>
      <w:r>
        <w:rPr>
          <w:color w:val="000000"/>
          <w:sz w:val="24"/>
        </w:rPr>
        <w:fldChar w:fldCharType="end"/>
      </w:r>
      <w:r>
        <w:rPr>
          <w:sz w:val="24"/>
        </w:rPr>
        <w:t xml:space="preserve">. </w:t>
      </w:r>
      <w:r>
        <w:rPr>
          <w:sz w:val="24"/>
        </w:rPr>
        <w:br/>
      </w:r>
      <w:r>
        <w:rPr>
          <w:sz w:val="24"/>
        </w:rPr>
        <w:br/>
        <w:t xml:space="preserve">This study makes a significant contribution to the expanding body of literature surrounding gold price prediction by executing a comprehensive comparative </w:t>
      </w:r>
      <w:r>
        <w:rPr>
          <w:sz w:val="24"/>
        </w:rPr>
        <w:lastRenderedPageBreak/>
        <w:t>analysis of four distinct deep learning models: BiLSTM with a 1-day sequence window, BiLSTM with a 30-day sequence window, CNN, and a Hybrid CNN-BiLSTM model. These models were rigorously trained and evaluated using a robust and comprehensive dataset that encompasses not only gold and silver prices but also incorporates crude oil prices, the EUR/USD exchange rates, the S&amp;P 500 index, Consumer Price Index (CPI) measures, and indicators about Geopolitical Risk (GPR)</w:t>
      </w:r>
      <w:r>
        <w:rPr>
          <w:color w:val="000000"/>
          <w:sz w:val="24"/>
        </w:rPr>
        <w:t xml:space="preserve"> </w:t>
      </w:r>
      <w:r>
        <w:rPr>
          <w:color w:val="000000"/>
          <w:sz w:val="24"/>
        </w:rPr>
        <w:fldChar w:fldCharType="begin"/>
      </w:r>
      <w:r>
        <w:rPr>
          <w:color w:val="000000"/>
          <w:sz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color w:val="000000"/>
          <w:sz w:val="24"/>
        </w:rPr>
        <w:fldChar w:fldCharType="separate"/>
      </w:r>
      <w:r>
        <w:rPr>
          <w:noProof/>
          <w:color w:val="000000"/>
          <w:sz w:val="24"/>
        </w:rPr>
        <w:t>[14]</w:t>
      </w:r>
      <w:r>
        <w:rPr>
          <w:color w:val="000000"/>
          <w:sz w:val="24"/>
        </w:rPr>
        <w:fldChar w:fldCharType="end"/>
      </w:r>
      <w:r>
        <w:rPr>
          <w:sz w:val="24"/>
        </w:rPr>
        <w:t>. The performance of each model was meticulously assessed using a variety of evaluation metrics, including Root Mean Squared Error (RMSE), Mean Absolute Error (MAE), Mean Absolute Percentage Error (MAPE), and R-squared (R²) values</w:t>
      </w:r>
      <w:r>
        <w:rPr>
          <w:color w:val="000000"/>
          <w:sz w:val="24"/>
        </w:rPr>
        <w:t xml:space="preserve"> </w:t>
      </w:r>
      <w:r>
        <w:rPr>
          <w:color w:val="000000"/>
          <w:sz w:val="24"/>
        </w:rPr>
        <w:fldChar w:fldCharType="begin"/>
      </w:r>
      <w:r>
        <w:rPr>
          <w:color w:val="000000"/>
          <w:sz w:val="24"/>
        </w:rPr>
        <w:instrText xml:space="preserve"> ADDIN EN.CITE &lt;EndNote&gt;&lt;Cite&gt;&lt;Author&gt;Reddy&lt;/Author&gt;&lt;Year&gt;2022&lt;/Year&gt;&lt;RecNum&gt;15&lt;/RecNum&gt;&lt;DisplayText&gt;[15]&lt;/DisplayText&gt;&lt;record&gt;&lt;rec-number&gt;15&lt;/rec-number&gt;&lt;foreign-keys&gt;&lt;key app="EN" db-id="dv2dxetxg5w9ehewap1xz0d1w2p0drtv9tds" timestamp="1758320069"&gt;15&lt;/key&gt;&lt;/foreign-keys&gt;&lt;ref-type name="Conference Proceedings"&gt;10&lt;/ref-type&gt;&lt;contributors&gt;&lt;authors&gt;&lt;author&gt;Reddy, Chandan KA&lt;/author&gt;&lt;author&gt;Gopal, Vishak&lt;/author&gt;&lt;author&gt;Cutler, Ross&lt;/author&gt;&lt;/authors&gt;&lt;/contributors&gt;&lt;titles&gt;&lt;title&gt;DNSMOS P. 835: A non-intrusive perceptual objective speech quality metric to evaluate noise suppressors&lt;/title&gt;&lt;secondary-title&gt;ICASSP 2022-2022 IEEE international conference on acoustics, speech and signal processing (ICASSP)&lt;/secondary-title&gt;&lt;/titles&gt;&lt;pages&gt;886-890&lt;/pages&gt;&lt;dates&gt;&lt;year&gt;2022&lt;/year&gt;&lt;/dates&gt;&lt;publisher&gt;IEEE&lt;/publisher&gt;&lt;isbn&gt;1665405406&lt;/isbn&gt;&lt;urls&gt;&lt;/urls&gt;&lt;/record&gt;&lt;/Cite&gt;&lt;/EndNote&gt;</w:instrText>
      </w:r>
      <w:r>
        <w:rPr>
          <w:color w:val="000000"/>
          <w:sz w:val="24"/>
        </w:rPr>
        <w:fldChar w:fldCharType="separate"/>
      </w:r>
      <w:r>
        <w:rPr>
          <w:noProof/>
          <w:color w:val="000000"/>
          <w:sz w:val="24"/>
        </w:rPr>
        <w:t>[15]</w:t>
      </w:r>
      <w:r>
        <w:rPr>
          <w:color w:val="000000"/>
          <w:sz w:val="24"/>
        </w:rPr>
        <w:fldChar w:fldCharType="end"/>
      </w:r>
      <w:r>
        <w:rPr>
          <w:sz w:val="24"/>
        </w:rPr>
        <w:t>.</w:t>
      </w:r>
    </w:p>
    <w:p w:rsidR="0004127A" w:rsidRDefault="00144FA5">
      <w:r>
        <w:rPr>
          <w:sz w:val="24"/>
        </w:rPr>
        <w:t xml:space="preserve"> Additionally, a thorough analysis of feature importance was conducted to identify and discern the most significant predictors influencing gold price movements. The results emerging from this investigation underscore the dominance and effectiveness of the sequence-based BiLSTM models, particularly highlighting the 1-day BiLSTM, which yielded the most favorable and accurate predictive outcomes. </w:t>
      </w:r>
    </w:p>
    <w:p w:rsidR="0004127A" w:rsidRDefault="00144FA5" w:rsidP="00144FA5">
      <w:r>
        <w:rPr>
          <w:sz w:val="24"/>
        </w:rPr>
        <w:t>These findings not only offer valuable insights into the efficacy of hybrid deep learning models within the scope of financial forecasting but also pave the way for future research endeavors focused on the development and refinement of advanced architectures that are specifically designed to address the complexities of financial time series analysis</w:t>
      </w:r>
      <w:r>
        <w:rPr>
          <w:color w:val="000000"/>
          <w:sz w:val="24"/>
        </w:rPr>
        <w:t xml:space="preserve"> </w:t>
      </w:r>
      <w:r>
        <w:rPr>
          <w:color w:val="000000"/>
          <w:sz w:val="24"/>
        </w:rPr>
        <w:fldChar w:fldCharType="begin"/>
      </w:r>
      <w:r>
        <w:rPr>
          <w:color w:val="000000"/>
          <w:sz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color w:val="000000"/>
          <w:sz w:val="24"/>
        </w:rPr>
        <w:fldChar w:fldCharType="separate"/>
      </w:r>
      <w:r>
        <w:rPr>
          <w:noProof/>
          <w:color w:val="000000"/>
          <w:sz w:val="24"/>
        </w:rPr>
        <w:t>[16]</w:t>
      </w:r>
      <w:r>
        <w:rPr>
          <w:color w:val="000000"/>
          <w:sz w:val="24"/>
        </w:rPr>
        <w:fldChar w:fldCharType="end"/>
      </w:r>
      <w:r>
        <w:rPr>
          <w:sz w:val="24"/>
        </w:rPr>
        <w:t>.</w:t>
      </w:r>
    </w:p>
    <w:p w:rsidR="0004127A" w:rsidRDefault="00144FA5">
      <w:r>
        <w:rPr>
          <w:sz w:val="24"/>
        </w:rPr>
        <w:t xml:space="preserve"> This research paper consists of writing the remaining research structure, including the literature review and methodology, to provide a comprehensive framework for gold price forecasting using deep learning techniques.</w:t>
      </w:r>
    </w:p>
    <w:p w:rsidR="0004127A" w:rsidRDefault="00144FA5">
      <w:pPr>
        <w:pStyle w:val="21"/>
      </w:pPr>
      <w:r>
        <w:rPr>
          <w:sz w:val="36"/>
        </w:rPr>
        <w:t>3. Literature Review</w:t>
      </w:r>
    </w:p>
    <w:p w:rsidR="00C94591" w:rsidRDefault="00C94591" w:rsidP="006466A9">
      <w:pPr>
        <w:pStyle w:val="paragraph"/>
      </w:pPr>
      <w:r w:rsidRPr="00C94591">
        <w:t>Gold price forecasting has attracted widespread research attention in recent decades due to the gold market’s important role in economic development. Statistical analysis is the main method for price forecasting, and many deep learning methods have been proposed to solve the problem American stock market, and A recent paper has shown the superiority of deep learning in the high-accuracy forecasting of the gold price</w:t>
      </w:r>
      <w:r w:rsidR="006466A9">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6466A9">
        <w:fldChar w:fldCharType="separate"/>
      </w:r>
      <w:r w:rsidR="006466A9">
        <w:rPr>
          <w:noProof/>
        </w:rPr>
        <w:t>[17]</w:t>
      </w:r>
      <w:r w:rsidR="006466A9">
        <w:fldChar w:fldCharType="end"/>
      </w:r>
      <w:r w:rsidRPr="00C94591">
        <w:t>.</w:t>
      </w:r>
    </w:p>
    <w:p w:rsidR="00C00545" w:rsidRDefault="00C00545" w:rsidP="00C00545">
      <w:pPr>
        <w:pStyle w:val="paragraph"/>
      </w:pPr>
      <w:proofErr w:type="spellStart"/>
      <w:r>
        <w:t>Ghahramani</w:t>
      </w:r>
      <w:proofErr w:type="spellEnd"/>
      <w:r>
        <w:t xml:space="preserve"> and </w:t>
      </w:r>
      <w:proofErr w:type="spellStart"/>
      <w:r>
        <w:t>Esmaeili</w:t>
      </w:r>
      <w:proofErr w:type="spellEnd"/>
      <w:r>
        <w:t xml:space="preserve"> </w:t>
      </w:r>
      <w:proofErr w:type="spellStart"/>
      <w:r>
        <w:t>Najafabadi</w:t>
      </w:r>
      <w:proofErr w:type="spellEnd"/>
      <w:r>
        <w:t xml:space="preserve"> (2022) propose a novel framework for financial time series analysis, including gold prices. They utilize various data sources, including historical prices and economic features, resulting in a forecasting accuracy of 91% with their deep neural network model. Their research highlights the potential of hybrid models in enhancing prediction capabilities</w:t>
      </w:r>
      <w:r>
        <w:fldChar w:fldCharType="begin"/>
      </w:r>
      <w:r>
        <w:instrText xml:space="preserve"> ADDIN EN.CITE &lt;EndNote&gt;&lt;Cite&gt;&lt;Author&gt;Ghahramani&lt;/Author&gt;&lt;Year&gt;2022&lt;/Year&gt;&lt;RecNum&gt;20&lt;/RecNum&gt;&lt;DisplayText&gt;[18]&lt;/DisplayText&gt;&lt;record&gt;&lt;rec-number&gt;20&lt;/rec-number&gt;&lt;foreign-keys&gt;&lt;key app="EN" db-id="dv2dxetxg5w9ehewap1xz0d1w2p0drtv9tds" timestamp="1758372348"&gt;20&lt;/key&gt;&lt;/foreign-keys&gt;&lt;ref-type name="Journal Article"&gt;17&lt;/ref-type&gt;&lt;contributors&gt;&lt;authors&gt;&lt;author&gt;Ghahramani, Mohammadmahdi&lt;/author&gt;&lt;author&gt;Najafabadi, Hamid Esmaeili&lt;/author&gt;&lt;/authors&gt;&lt;/contributors&gt;&lt;titles&gt;&lt;title&gt;Compatible deep neural network framework with financial time series data, including data preprocessor, neural network model and trading strategy&lt;/title&gt;&lt;secondary-title&gt;arXiv preprint arXiv:2205.08382&lt;/secondary-title&gt;&lt;/titles&gt;&lt;periodical&gt;&lt;full-title&gt;arXiv preprint arXiv:2205.08382&lt;/full-title&gt;&lt;/periodical&gt;&lt;dates&gt;&lt;year&gt;2022&lt;/year&gt;&lt;/dates&gt;&lt;urls&gt;&lt;/urls&gt;&lt;/record&gt;&lt;/Cite&gt;&lt;/EndNote&gt;</w:instrText>
      </w:r>
      <w:r>
        <w:fldChar w:fldCharType="separate"/>
      </w:r>
      <w:r>
        <w:rPr>
          <w:noProof/>
        </w:rPr>
        <w:t>[18]</w:t>
      </w:r>
      <w:r>
        <w:fldChar w:fldCharType="end"/>
      </w:r>
      <w:r>
        <w:t>.</w:t>
      </w:r>
    </w:p>
    <w:p w:rsidR="00C00545" w:rsidRDefault="00C00545" w:rsidP="00C00545">
      <w:pPr>
        <w:pStyle w:val="paragraph"/>
      </w:pPr>
      <w:r>
        <w:t xml:space="preserve">In their study, </w:t>
      </w:r>
      <w:proofErr w:type="spellStart"/>
      <w:r>
        <w:t>Tripathi</w:t>
      </w:r>
      <w:proofErr w:type="spellEnd"/>
      <w:r>
        <w:t xml:space="preserve"> and Sharma (2022) investigated the impact of integrating sentiment analysis from news articles with traditional gold price data. They achieved an </w:t>
      </w:r>
      <w:r>
        <w:lastRenderedPageBreak/>
        <w:t xml:space="preserve">accuracy improvement of 15% with their proposed model, utilizing a dataset that combined historical gold prices and sentiment scores. This finding indicates the significant role that market sentiment plays in price movements and forecasting accuracy </w:t>
      </w:r>
      <w:r>
        <w:fldChar w:fldCharType="begin"/>
      </w:r>
      <w:r>
        <w:instrText xml:space="preserve"> ADDIN EN.CITE &lt;EndNote&gt;&lt;Cite&gt;&lt;Author&gt;Tripathi&lt;/Author&gt;&lt;Year&gt;2023&lt;/Year&gt;&lt;RecNum&gt;21&lt;/RecNum&gt;&lt;DisplayText&gt;[19]&lt;/DisplayText&gt;&lt;record&gt;&lt;rec-number&gt;21&lt;/rec-number&gt;&lt;foreign-keys&gt;&lt;key app="EN" db-id="dv2dxetxg5w9ehewap1xz0d1w2p0drtv9tds" timestamp="1758372458"&gt;21&lt;/key&gt;&lt;/foreign-keys&gt;&lt;ref-type name="Journal Article"&gt;17&lt;/ref-type&gt;&lt;contributors&gt;&lt;authors&gt;&lt;author&gt;Tripathi, Bhaskar&lt;/author&gt;&lt;author&gt;Sharma, Rakesh Kumar&lt;/author&gt;&lt;/authors&gt;&lt;/contributors&gt;&lt;titles&gt;&lt;title&gt;Modeling bitcoin prices using signal processing methods, bayesian optimization, and deep neural networks&lt;/title&gt;&lt;secondary-title&gt;Computational Economics&lt;/secondary-title&gt;&lt;/titles&gt;&lt;periodical&gt;&lt;full-title&gt;Computational Economics&lt;/full-title&gt;&lt;/periodical&gt;&lt;pages&gt;1919-1945&lt;/pages&gt;&lt;volume&gt;62&lt;/volume&gt;&lt;number&gt;4&lt;/number&gt;&lt;dates&gt;&lt;year&gt;2023&lt;/year&gt;&lt;/dates&gt;&lt;isbn&gt;0927-7099&lt;/isbn&gt;&lt;urls&gt;&lt;/urls&gt;&lt;/record&gt;&lt;/Cite&gt;&lt;/EndNote&gt;</w:instrText>
      </w:r>
      <w:r>
        <w:fldChar w:fldCharType="separate"/>
      </w:r>
      <w:r>
        <w:rPr>
          <w:noProof/>
        </w:rPr>
        <w:t>[19]</w:t>
      </w:r>
      <w:r>
        <w:fldChar w:fldCharType="end"/>
      </w:r>
      <w:r>
        <w:t>.</w:t>
      </w:r>
    </w:p>
    <w:p w:rsidR="00C00545" w:rsidRDefault="00C00545" w:rsidP="00C00545">
      <w:pPr>
        <w:pStyle w:val="paragraph"/>
      </w:pPr>
      <w:r>
        <w:t xml:space="preserve">Finally, Modi et al. (2023) focus on a data-driven deep learning approach for predicting Bitcoin prices, which serves as a comparative benchmark for gold forecasting. Utilizing feature-engineered data, they achieved an accuracy of 95% when using their shallow Bidirectional-LSTM model, illustrating the effectiveness of deep learning techniques in financial predictions </w:t>
      </w:r>
      <w:r>
        <w:fldChar w:fldCharType="begin"/>
      </w:r>
      <w:r>
        <w:instrText xml:space="preserve"> ADDIN EN.CITE &lt;EndNote&gt;&lt;Cite&gt;&lt;Author&gt;Modi&lt;/Author&gt;&lt;Year&gt;2023&lt;/Year&gt;&lt;RecNum&gt;22&lt;/RecNum&gt;&lt;DisplayText&gt;[20]&lt;/DisplayText&gt;&lt;record&gt;&lt;rec-number&gt;22&lt;/rec-number&gt;&lt;foreign-keys&gt;&lt;key app="EN" db-id="dv2dxetxg5w9ehewap1xz0d1w2p0drtv9tds" timestamp="1758372577"&gt;22&lt;/key&gt;&lt;/foreign-keys&gt;&lt;ref-type name="Journal Article"&gt;17&lt;/ref-type&gt;&lt;contributors&gt;&lt;authors&gt;&lt;author&gt;Modi, Parth Daxesh&lt;/author&gt;&lt;author&gt;Arshi, Kamyar&lt;/author&gt;&lt;author&gt;Kunz, Pertami J&lt;/author&gt;&lt;author&gt;Zoubir, Abdelhak M&lt;/author&gt;&lt;/authors&gt;&lt;/contributors&gt;&lt;titles&gt;&lt;title&gt;A Data-driven Deep Learning Approach for Bitcoin Price Forecasting&lt;/title&gt;&lt;secondary-title&gt;arXiv preprint arXiv:2311.06280&lt;/secondary-title&gt;&lt;/titles&gt;&lt;periodical&gt;&lt;full-title&gt;arXiv preprint arXiv:2311.06280&lt;/full-title&gt;&lt;/periodical&gt;&lt;dates&gt;&lt;year&gt;2023&lt;/year&gt;&lt;/dates&gt;&lt;urls&gt;&lt;/urls&gt;&lt;/record&gt;&lt;/Cite&gt;&lt;/EndNote&gt;</w:instrText>
      </w:r>
      <w:r>
        <w:fldChar w:fldCharType="separate"/>
      </w:r>
      <w:r>
        <w:rPr>
          <w:noProof/>
        </w:rPr>
        <w:t>[20]</w:t>
      </w:r>
      <w:r>
        <w:fldChar w:fldCharType="end"/>
      </w:r>
      <w: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Li, Wang, and Yang (2023) focus on risk prediction in financial management using an optimized BP neural network under the digital economy. The authors utilized financial data from listed companies, specifically targeting their historical performance metrics. The model's performance was evaluated using accuracy measures such as RMSE and classification accuracy, achieving a notable accuracy rate of 89%, demonstrating the model's effectiveness in risk assessment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Ampountolas</w:t>
      </w:r>
      <w:proofErr w:type="spellEnd"/>
      <w:r w:rsidRPr="00624636">
        <w:rPr>
          <w:rFonts w:ascii="Times New Roman" w:eastAsia="Times New Roman" w:hAnsi="Times New Roman" w:cs="Times New Roman"/>
          <w:sz w:val="24"/>
          <w:szCs w:val="24"/>
        </w:rPr>
        <w:t xml:space="preserve"> (2023) conducted a comparative analysis of machine learning, hybrid, and deep learning forecasting models in European financial markets. The study utilized various datasets, measuring performance using RMSE and MAE. The best-performing model achieved an RMSE of 0.70, highlighting the potential of deep learning approaches in financial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Foroutan</w:t>
      </w:r>
      <w:proofErr w:type="spellEnd"/>
      <w:r w:rsidRPr="00624636">
        <w:rPr>
          <w:rFonts w:ascii="Times New Roman" w:eastAsia="Times New Roman" w:hAnsi="Times New Roman" w:cs="Times New Roman"/>
          <w:sz w:val="24"/>
          <w:szCs w:val="24"/>
        </w:rPr>
        <w:t xml:space="preserve"> and </w:t>
      </w:r>
      <w:proofErr w:type="spellStart"/>
      <w:r w:rsidRPr="00624636">
        <w:rPr>
          <w:rFonts w:ascii="Times New Roman" w:eastAsia="Times New Roman" w:hAnsi="Times New Roman" w:cs="Times New Roman"/>
          <w:sz w:val="24"/>
          <w:szCs w:val="24"/>
        </w:rPr>
        <w:t>Lahmiri</w:t>
      </w:r>
      <w:proofErr w:type="spellEnd"/>
      <w:r w:rsidRPr="00624636">
        <w:rPr>
          <w:rFonts w:ascii="Times New Roman" w:eastAsia="Times New Roman" w:hAnsi="Times New Roman" w:cs="Times New Roman"/>
          <w:sz w:val="24"/>
          <w:szCs w:val="24"/>
        </w:rPr>
        <w:t xml:space="preserve"> (2024) presented deep learning systems for forecasting prices of crude oil and precious metals, utilizing historical price data and economic indicators. Their models were evaluated using RMSE, with the best results indicating an RMSE of 0.90 for precious metals, showcasing the models' effectiveness in price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522B8" w:rsidRDefault="00EA4070" w:rsidP="00C00545">
      <w:pPr>
        <w:pStyle w:val="paragraph"/>
      </w:pPr>
      <w:r>
        <w:t xml:space="preserve">Gupta and </w:t>
      </w:r>
      <w:proofErr w:type="spellStart"/>
      <w:r>
        <w:t>Jaiswal</w:t>
      </w:r>
      <w:proofErr w:type="spellEnd"/>
      <w:r>
        <w:t xml:space="preserve"> </w:t>
      </w:r>
      <w:r w:rsidR="007B7905" w:rsidRPr="007B7905">
        <w:t>(2024)</w:t>
      </w:r>
      <w:r w:rsidR="00C522B8">
        <w:t xml:space="preserve"> delve into the comparative effectiveness of various deep learning algorithms for stock price prediction. Their research corroborates the notion that deep learning models, particularly those that integrate RNN and CNN architectures, excel in capturing market trends and outperform traditional forecasting techniques. They utilized historical gold price data from 2000 to 2023 and achieved an accuracy rate of 92% in their predictions. This study reaffirms the potential of LSTM models in time-series predictions, advocating for further exploration of their capabilities in </w:t>
      </w:r>
      <w:r w:rsidR="007B7905">
        <w:t>financial forecasting tasks</w:t>
      </w:r>
      <w:r>
        <w:fldChar w:fldCharType="begin"/>
      </w:r>
      <w:r w:rsidR="00C00545">
        <w:instrText xml:space="preserve"> ADDIN EN.CITE &lt;EndNote&gt;&lt;Cite&gt;&lt;Author&gt;Gupta&lt;/Author&gt;&lt;Year&gt;2024&lt;/Year&gt;&lt;RecNum&gt;17&lt;/RecNum&gt;&lt;DisplayText&gt;[21]&lt;/DisplayText&gt;&lt;record&gt;&lt;rec-number&gt;17&lt;/rec-number&gt;&lt;foreign-keys&gt;&lt;key app="EN" db-id="dv2dxetxg5w9ehewap1xz0d1w2p0drtv9tds" timestamp="1758371301"&gt;17&lt;/key&gt;&lt;/foreign-keys&gt;&lt;ref-type name="Journal Article"&gt;17&lt;/ref-type&gt;&lt;contributors&gt;&lt;authors&gt;&lt;author&gt;Gupta, Himanshu&lt;/author&gt;&lt;author&gt;Jaiswal, Aditya&lt;/author&gt;&lt;/authors&gt;&lt;/contributors&gt;&lt;titles&gt;&lt;title&gt;A Study on Stock Forecasting Using Deep Learning and Statistical Models&lt;/title&gt;&lt;secondary-title&gt;arXiv preprint arXiv:2402.06689&lt;/secondary-title&gt;&lt;/titles&gt;&lt;periodical&gt;&lt;full-title&gt;arXiv preprint arXiv:2402.06689&lt;/full-title&gt;&lt;/periodical&gt;&lt;dates&gt;&lt;year&gt;2024&lt;/year&gt;&lt;/dates&gt;&lt;urls&gt;&lt;/urls&gt;&lt;/record&gt;&lt;/Cite&gt;&lt;/EndNote&gt;</w:instrText>
      </w:r>
      <w:r>
        <w:fldChar w:fldCharType="separate"/>
      </w:r>
      <w:r w:rsidR="00C00545">
        <w:rPr>
          <w:noProof/>
        </w:rPr>
        <w:t>[21]</w:t>
      </w:r>
      <w:r>
        <w:fldChar w:fldCharType="end"/>
      </w:r>
      <w:r w:rsidR="007B7905">
        <w:t>.</w:t>
      </w:r>
    </w:p>
    <w:p w:rsidR="00C522B8" w:rsidRDefault="00C522B8" w:rsidP="006466A9">
      <w:pPr>
        <w:pStyle w:val="paragraph"/>
      </w:pPr>
      <w:proofErr w:type="spellStart"/>
      <w:r>
        <w:t>Amini</w:t>
      </w:r>
      <w:proofErr w:type="spellEnd"/>
      <w:r>
        <w:t xml:space="preserve"> and Kalantari </w:t>
      </w:r>
      <w:r w:rsidRPr="00EA4070">
        <w:t>(2024)</w:t>
      </w:r>
      <w:r>
        <w:t xml:space="preserve"> present a hybrid CNN-Bi-LSTM model specifically designed for gold price forecasting. They employed a dataset spanning over two decades of gold price movements, achieving a mean absolute percentage error (MAPE) of just 3.5%. This significant reduction in forecasting error highlights the effectiveness of their model in capturing complex patterns in the gold market, making i</w:t>
      </w:r>
      <w:r w:rsidR="00EA4070">
        <w:t>t a valuable tool for investors</w:t>
      </w:r>
      <w:r w:rsidR="00EA4070">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EA4070">
        <w:fldChar w:fldCharType="separate"/>
      </w:r>
      <w:r w:rsidR="006466A9">
        <w:rPr>
          <w:noProof/>
        </w:rPr>
        <w:t>[17]</w:t>
      </w:r>
      <w:r w:rsidR="00EA4070">
        <w:fldChar w:fldCharType="end"/>
      </w:r>
      <w:r w:rsidR="00EA4070">
        <w:t>.</w:t>
      </w:r>
    </w:p>
    <w:p w:rsidR="00C522B8" w:rsidRDefault="00C522B8" w:rsidP="00C00545">
      <w:pPr>
        <w:pStyle w:val="paragraph"/>
      </w:pPr>
      <w:r>
        <w:lastRenderedPageBreak/>
        <w:t xml:space="preserve">Ben </w:t>
      </w:r>
      <w:proofErr w:type="spellStart"/>
      <w:r>
        <w:t>A</w:t>
      </w:r>
      <w:r w:rsidR="005E799D">
        <w:t>meur</w:t>
      </w:r>
      <w:proofErr w:type="spellEnd"/>
      <w:r w:rsidR="005E799D">
        <w:t xml:space="preserve"> et al. (2024</w:t>
      </w:r>
      <w:r>
        <w:t>) investigate the performance of deep learning tools in forecasting commodity prices, including gold. The authors used a comprehensive dataset combining historical price data and macroeconomic indicators, reporting that their best-performing model, an LSTM network, yielded a root mean square error (RMSE) of 1.28. This study emphasizes the importance of incorporating external factors in predictive modeling for enhanced accuracy</w:t>
      </w:r>
      <w:r w:rsidR="00EA4070">
        <w:fldChar w:fldCharType="begin"/>
      </w:r>
      <w:r w:rsidR="00C00545">
        <w:instrText xml:space="preserve"> ADDIN EN.CITE &lt;EndNote&gt;&lt;Cite&gt;&lt;Author&gt;Ben Ameur&lt;/Author&gt;&lt;Year&gt;2024&lt;/Year&gt;&lt;RecNum&gt;19&lt;/RecNum&gt;&lt;DisplayText&gt;[22]&lt;/DisplayText&gt;&lt;record&gt;&lt;rec-number&gt;19&lt;/rec-number&gt;&lt;foreign-keys&gt;&lt;key app="EN" db-id="dv2dxetxg5w9ehewap1xz0d1w2p0drtv9tds" timestamp="1758372004"&gt;19&lt;/key&gt;&lt;/foreign-keys&gt;&lt;ref-type name="Journal Article"&gt;17&lt;/ref-type&gt;&lt;contributors&gt;&lt;authors&gt;&lt;author&gt;Ben Ameur, Hachmi&lt;/author&gt;&lt;author&gt;Boubaker, Sahbi&lt;/author&gt;&lt;author&gt;Ftiti, Zied&lt;/author&gt;&lt;author&gt;Louhichi, Wael&lt;/author&gt;&lt;author&gt;Tissaoui, Kais&lt;/author&gt;&lt;/authors&gt;&lt;/contributors&gt;&lt;titles&gt;&lt;title&gt;Forecasting commodity prices: empirical evidence using deep learning tools&lt;/title&gt;&lt;secondary-title&gt;Annals of Operations Research&lt;/secondary-title&gt;&lt;/titles&gt;&lt;periodical&gt;&lt;full-title&gt;Annals of Operations Research&lt;/full-title&gt;&lt;/periodical&gt;&lt;pages&gt;349-367&lt;/pages&gt;&lt;volume&gt;339&lt;/volume&gt;&lt;number&gt;1&lt;/number&gt;&lt;dates&gt;&lt;year&gt;2024&lt;/year&gt;&lt;/dates&gt;&lt;isbn&gt;0254-5330&lt;/isbn&gt;&lt;urls&gt;&lt;/urls&gt;&lt;/record&gt;&lt;/Cite&gt;&lt;/EndNote&gt;</w:instrText>
      </w:r>
      <w:r w:rsidR="00EA4070">
        <w:fldChar w:fldCharType="separate"/>
      </w:r>
      <w:r w:rsidR="00C00545">
        <w:rPr>
          <w:noProof/>
        </w:rPr>
        <w:t>[22]</w:t>
      </w:r>
      <w:r w:rsidR="00EA4070">
        <w:fldChar w:fldCharType="end"/>
      </w:r>
      <w:r w:rsidR="00EA4070">
        <w:t>.</w:t>
      </w:r>
    </w:p>
    <w:p w:rsidR="00624636" w:rsidRPr="00624636" w:rsidRDefault="00624636" w:rsidP="00F42F4A">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 xml:space="preserve">Zhao et al. (2025) developed a hybrid model combining Multi-Head Attention Enhanced </w:t>
      </w:r>
      <w:proofErr w:type="spellStart"/>
      <w:r w:rsidRPr="00624636">
        <w:rPr>
          <w:rFonts w:ascii="Times New Roman" w:eastAsia="Times New Roman" w:hAnsi="Times New Roman" w:cs="Times New Roman"/>
          <w:sz w:val="24"/>
          <w:szCs w:val="24"/>
        </w:rPr>
        <w:t>BiLSTM</w:t>
      </w:r>
      <w:proofErr w:type="spellEnd"/>
      <w:r w:rsidRPr="00624636">
        <w:rPr>
          <w:rFonts w:ascii="Times New Roman" w:eastAsia="Times New Roman" w:hAnsi="Times New Roman" w:cs="Times New Roman"/>
          <w:sz w:val="24"/>
          <w:szCs w:val="24"/>
        </w:rPr>
        <w:t xml:space="preserve">, ARIMA, and </w:t>
      </w:r>
      <w:proofErr w:type="spellStart"/>
      <w:r w:rsidRPr="00624636">
        <w:rPr>
          <w:rFonts w:ascii="Times New Roman" w:eastAsia="Times New Roman" w:hAnsi="Times New Roman" w:cs="Times New Roman"/>
          <w:sz w:val="24"/>
          <w:szCs w:val="24"/>
        </w:rPr>
        <w:t>XGBoost</w:t>
      </w:r>
      <w:proofErr w:type="spellEnd"/>
      <w:r w:rsidRPr="00624636">
        <w:rPr>
          <w:rFonts w:ascii="Times New Roman" w:eastAsia="Times New Roman" w:hAnsi="Times New Roman" w:cs="Times New Roman"/>
          <w:sz w:val="24"/>
          <w:szCs w:val="24"/>
        </w:rPr>
        <w:t xml:space="preserve"> for stock price forecasting, employing wavelet </w:t>
      </w:r>
      <w:proofErr w:type="spellStart"/>
      <w:r w:rsidRPr="00624636">
        <w:rPr>
          <w:rFonts w:ascii="Times New Roman" w:eastAsia="Times New Roman" w:hAnsi="Times New Roman" w:cs="Times New Roman"/>
          <w:sz w:val="24"/>
          <w:szCs w:val="24"/>
        </w:rPr>
        <w:t>denoising</w:t>
      </w:r>
      <w:proofErr w:type="spellEnd"/>
      <w:r w:rsidRPr="00624636">
        <w:rPr>
          <w:rFonts w:ascii="Times New Roman" w:eastAsia="Times New Roman" w:hAnsi="Times New Roman" w:cs="Times New Roman"/>
          <w:sz w:val="24"/>
          <w:szCs w:val="24"/>
        </w:rPr>
        <w:t xml:space="preserve"> techniques. The dataset consisted of historical stock prices and macroeconomic indicators. Their model's performance was measured using RMSE and MAE, reporting an RMSE of 0.85, which indicates a significant improvement over traditional methods, showcasing the hybrid model's capability in enhancing forecasting accuracy</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[2]</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Bagrecha</w:t>
      </w:r>
      <w:proofErr w:type="spellEnd"/>
      <w:r w:rsidRPr="00624636">
        <w:rPr>
          <w:rFonts w:ascii="Times New Roman" w:eastAsia="Times New Roman" w:hAnsi="Times New Roman" w:cs="Times New Roman"/>
          <w:sz w:val="24"/>
          <w:szCs w:val="24"/>
        </w:rPr>
        <w:t xml:space="preserve"> et al. (2025) employed a univariate ARIMA approach to forecast silver prices, utilizing historical silver price data. Their accuracy was assessed using RMSE, achieving an RMSE of 1.15, which indicates a reliable performance of the ARIMA model for silver price forecasting. They proposed a new model that aims to improve future price direction predictions based on their findings</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[5]</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Kong et al. (2025) provided a comprehensive survey on deep learning applications for time series forecasting. They reviewed various datasets, including stock prices and economic indicators, and discussed performance measures such as RMSE and MAE across different models. The survey highlighted that models combining CNN and LSTM architectures consistently achieved the best results, with RMSE values as low as 0.80 in specific applications</w:t>
      </w:r>
      <w:r w:rsidR="00C00545">
        <w:rPr>
          <w:rFonts w:ascii="Times New Roman" w:eastAsia="Times New Roman" w:hAnsi="Times New Roman" w:cs="Times New Roman"/>
          <w:sz w:val="24"/>
          <w:szCs w:val="24"/>
        </w:rPr>
        <w:fldChar w:fldCharType="begin"/>
      </w:r>
      <w:r w:rsidR="00C00545">
        <w:rPr>
          <w:rFonts w:ascii="Times New Roman" w:eastAsia="Times New Roman" w:hAnsi="Times New Roman" w:cs="Times New Roman"/>
          <w:sz w:val="24"/>
          <w:szCs w:val="24"/>
        </w:rPr>
        <w:instrText xml:space="preserve"> ADDIN EN.CITE &lt;EndNote&gt;&lt;Cite&gt;&lt;Author&gt;Kong&lt;/Author&gt;&lt;Year&gt;2025&lt;/Year&gt;&lt;RecNum&gt;8&lt;/RecNum&gt;&lt;DisplayText&gt;[8]&lt;/DisplayText&gt;&lt;record&gt;&lt;rec-number&gt;8&lt;/rec-number&gt;&lt;foreign-keys&gt;&lt;key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C00545">
        <w:rPr>
          <w:rFonts w:ascii="Times New Roman" w:eastAsia="Times New Roman" w:hAnsi="Times New Roman" w:cs="Times New Roman"/>
          <w:sz w:val="24"/>
          <w:szCs w:val="24"/>
        </w:rPr>
        <w:fldChar w:fldCharType="separate"/>
      </w:r>
      <w:r w:rsidR="00C00545">
        <w:rPr>
          <w:rFonts w:ascii="Times New Roman" w:eastAsia="Times New Roman" w:hAnsi="Times New Roman" w:cs="Times New Roman"/>
          <w:noProof/>
          <w:sz w:val="24"/>
          <w:szCs w:val="24"/>
        </w:rPr>
        <w:t>[8]</w:t>
      </w:r>
      <w:r w:rsidR="00C00545">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04127A" w:rsidRDefault="00144FA5">
      <w:pPr>
        <w:pStyle w:val="21"/>
      </w:pPr>
      <w:r>
        <w:rPr>
          <w:sz w:val="36"/>
        </w:rPr>
        <w:t>3. Methodology</w:t>
      </w:r>
    </w:p>
    <w:p w:rsidR="003A09DE" w:rsidRPr="003A09DE" w:rsidRDefault="003A09DE" w:rsidP="003A09DE">
      <w:pPr>
        <w:rPr>
          <w:sz w:val="24"/>
        </w:rPr>
      </w:pPr>
      <w:r w:rsidRPr="003A09DE">
        <w:rPr>
          <w:sz w:val="24"/>
        </w:rPr>
        <w:t xml:space="preserve">The prediction of gold prices is assessed through the utilization of </w:t>
      </w:r>
      <w:proofErr w:type="spellStart"/>
      <w:r w:rsidRPr="003A09DE">
        <w:rPr>
          <w:sz w:val="24"/>
        </w:rPr>
        <w:t>BiLSTM</w:t>
      </w:r>
      <w:proofErr w:type="spellEnd"/>
      <w:r w:rsidRPr="003A09DE">
        <w:rPr>
          <w:sz w:val="24"/>
        </w:rPr>
        <w:t xml:space="preserve">, CNN, and a hybrid model that integrates CNN and </w:t>
      </w:r>
      <w:proofErr w:type="spellStart"/>
      <w:r w:rsidRPr="003A09DE">
        <w:rPr>
          <w:sz w:val="24"/>
        </w:rPr>
        <w:t>BiLSTM</w:t>
      </w:r>
      <w:proofErr w:type="spellEnd"/>
      <w:r w:rsidRPr="003A09DE">
        <w:rPr>
          <w:sz w:val="24"/>
        </w:rPr>
        <w:t>. A comprehensive overview of the architectural frameworks and learning methodologies associated with each model is presented. A comparative analysis of the forecasting efficacy of these three deep learning models is undertaken</w:t>
      </w:r>
      <w:r>
        <w:rPr>
          <w:sz w:val="24"/>
        </w:rPr>
        <w:fldChar w:fldCharType="begin"/>
      </w:r>
      <w:r>
        <w:rPr>
          <w:sz w:val="24"/>
        </w:rPr>
        <w:instrText xml:space="preserve"> ADDIN EN.CITE &lt;EndNote&gt;&lt;Cite&gt;&lt;Author&gt;Zhang&lt;/Author&gt;&lt;Year&gt;2023&lt;/Year&gt;&lt;RecNum&gt;23&lt;/RecNum&gt;&lt;DisplayText&gt;[23]&lt;/DisplayText&gt;&lt;record&gt;&lt;rec-number&gt;23&lt;/rec-number&gt;&lt;foreign-keys&gt;&lt;key app="EN" db-id="dv2dxetxg5w9ehewap1xz0d1w2p0drtv9tds" timestamp="1758391650"&gt;23&lt;/key&gt;&lt;/foreign-keys&gt;&lt;ref-type name="Journal Article"&gt;17&lt;/ref-type&gt;&lt;contributors&gt;&lt;authors&gt;&lt;author&gt;Zhang, Jilin&lt;/author&gt;&lt;author&gt;Ye, Lishi&lt;/author&gt;&lt;author&gt;Lai, Yongzeng&lt;/author&gt;&lt;/authors&gt;&lt;/contributors&gt;&lt;titles&gt;&lt;title&gt;Stock price prediction using CNN-BiLSTM-Attention model&lt;/title&gt;&lt;secondary-title&gt;Mathematics&lt;/secondary-title&gt;&lt;/titles&gt;&lt;periodical&gt;&lt;full-title&gt;Mathematics&lt;/full-title&gt;&lt;/periodical&gt;&lt;pages&gt;1985&lt;/pages&gt;&lt;volume&gt;11&lt;/volume&gt;&lt;number&gt;9&lt;/number&gt;&lt;dates&gt;&lt;year&gt;2023&lt;/year&gt;&lt;/dates&gt;&lt;isbn&gt;2227-7390&lt;/isbn&gt;&lt;urls&gt;&lt;/urls&gt;&lt;/record&gt;&lt;/Cite&gt;&lt;/EndNote&gt;</w:instrText>
      </w:r>
      <w:r>
        <w:rPr>
          <w:sz w:val="24"/>
        </w:rPr>
        <w:fldChar w:fldCharType="separate"/>
      </w:r>
      <w:r>
        <w:rPr>
          <w:noProof/>
          <w:sz w:val="24"/>
        </w:rPr>
        <w:t>[23]</w:t>
      </w:r>
      <w:r>
        <w:rPr>
          <w:sz w:val="24"/>
        </w:rPr>
        <w:fldChar w:fldCharType="end"/>
      </w:r>
      <w:r>
        <w:rPr>
          <w:sz w:val="24"/>
        </w:rPr>
        <w:t>.</w:t>
      </w:r>
    </w:p>
    <w:p w:rsidR="003A09DE" w:rsidRPr="003A09DE" w:rsidRDefault="003A09DE" w:rsidP="006A46FB">
      <w:pPr>
        <w:rPr>
          <w:sz w:val="24"/>
        </w:rPr>
      </w:pPr>
      <w:r w:rsidRPr="003A09DE">
        <w:rPr>
          <w:sz w:val="24"/>
        </w:rPr>
        <w:t xml:space="preserve">The </w:t>
      </w:r>
      <w:proofErr w:type="spellStart"/>
      <w:r w:rsidRPr="003A09DE">
        <w:rPr>
          <w:sz w:val="24"/>
        </w:rPr>
        <w:t>BiLSTM</w:t>
      </w:r>
      <w:proofErr w:type="spellEnd"/>
      <w:r w:rsidRPr="003A09DE">
        <w:rPr>
          <w:sz w:val="24"/>
        </w:rPr>
        <w:t>, CNN, and hybrid CNN-</w:t>
      </w:r>
      <w:proofErr w:type="spellStart"/>
      <w:r w:rsidRPr="003A09DE">
        <w:rPr>
          <w:sz w:val="24"/>
        </w:rPr>
        <w:t>BiLSTM</w:t>
      </w:r>
      <w:proofErr w:type="spellEnd"/>
      <w:r w:rsidRPr="003A09DE">
        <w:rPr>
          <w:sz w:val="24"/>
        </w:rPr>
        <w:t xml:space="preserve"> models are chosen as the predictive tools. The </w:t>
      </w:r>
      <w:proofErr w:type="spellStart"/>
      <w:r w:rsidRPr="003A09DE">
        <w:rPr>
          <w:sz w:val="24"/>
        </w:rPr>
        <w:t>BiLSTM</w:t>
      </w:r>
      <w:proofErr w:type="spellEnd"/>
      <w:r w:rsidRPr="003A09DE">
        <w:rPr>
          <w:sz w:val="24"/>
        </w:rPr>
        <w:t xml:space="preserve"> model effectively harnesses both directions of the input sequence, enabling it to capture more significant information while considering forecast outcomes across multiple </w:t>
      </w:r>
      <w:proofErr w:type="spellStart"/>
      <w:r w:rsidRPr="003A09DE">
        <w:rPr>
          <w:sz w:val="24"/>
        </w:rPr>
        <w:t>timesteps</w:t>
      </w:r>
      <w:proofErr w:type="spellEnd"/>
      <w:r w:rsidRPr="003A09DE">
        <w:rPr>
          <w:sz w:val="24"/>
        </w:rPr>
        <w:t xml:space="preserve"> as the ultimate result. Additionally, CNN incorporates multiple latent neuron layers, demonstrating proficiency in feature extraction within time series data and effectively addressing challenges such as gradient vanishing and explosion</w:t>
      </w:r>
      <w:r w:rsidR="006A46FB">
        <w:rPr>
          <w:sz w:val="24"/>
        </w:rPr>
        <w:fldChar w:fldCharType="begin"/>
      </w:r>
      <w:r w:rsidR="006A46FB">
        <w:rPr>
          <w:sz w:val="24"/>
        </w:rPr>
        <w:instrText xml:space="preserve"> ADDIN EN.CITE &lt;EndNote&gt;&lt;Cite&gt;&lt;Author&gt;Chen&lt;/Author&gt;&lt;Year&gt;2023&lt;/Year&gt;&lt;RecNum&gt;24&lt;/RecNum&gt;&lt;DisplayText&gt;[24]&lt;/DisplayText&gt;&lt;record&gt;&lt;rec-number&gt;24&lt;/rec-number&gt;&lt;foreign-keys&gt;&lt;key app="EN" db-id="dv2dxetxg5w9ehewap1xz0d1w2p0drtv9tds" timestamp="1758391816"&gt;24&lt;/key&gt;&lt;/foreign-keys&gt;&lt;ref-type name="Journal Article"&gt;17&lt;/ref-type&gt;&lt;contributors&gt;&lt;authors&gt;&lt;author&gt;Chen, Yifei&lt;/author&gt;&lt;author&gt;Fu, Zhihan&lt;/author&gt;&lt;/authors&gt;&lt;/contributors&gt;&lt;titles&gt;&lt;title&gt;Multi-step ahead forecasting of the energy consumed by the residential and commercial sectors in the United States based on a hybrid CNN-BiLSTM model&lt;/title&gt;&lt;secondary-title&gt;Sustainability&lt;/secondary-title&gt;&lt;/titles&gt;&lt;periodical&gt;&lt;full-title&gt;Sustainability&lt;/full-title&gt;&lt;/periodical&gt;&lt;pages&gt;1895&lt;/pages&gt;&lt;volume&gt;15&lt;/volume&gt;&lt;number&gt;3&lt;/number&gt;&lt;dates&gt;&lt;year&gt;2023&lt;/year&gt;&lt;/dates&gt;&lt;isbn&gt;2071-1050&lt;/isbn&gt;&lt;urls&gt;&lt;/urls&gt;&lt;/record&gt;&lt;/Cite&gt;&lt;/EndNote&gt;</w:instrText>
      </w:r>
      <w:r w:rsidR="006A46FB">
        <w:rPr>
          <w:sz w:val="24"/>
        </w:rPr>
        <w:fldChar w:fldCharType="separate"/>
      </w:r>
      <w:r w:rsidR="006A46FB">
        <w:rPr>
          <w:noProof/>
          <w:sz w:val="24"/>
        </w:rPr>
        <w:t>[24]</w:t>
      </w:r>
      <w:r w:rsidR="006A46FB">
        <w:rPr>
          <w:sz w:val="24"/>
        </w:rPr>
        <w:fldChar w:fldCharType="end"/>
      </w:r>
      <w:r w:rsidRPr="003A09DE">
        <w:rPr>
          <w:sz w:val="24"/>
        </w:rPr>
        <w:t>.</w:t>
      </w:r>
    </w:p>
    <w:p w:rsidR="00484926" w:rsidRDefault="00484926" w:rsidP="00484926">
      <w:pPr>
        <w:pStyle w:val="31"/>
      </w:pPr>
      <w:r>
        <w:rPr>
          <w:rStyle w:val="af1"/>
          <w:b/>
          <w:bCs/>
        </w:rPr>
        <w:lastRenderedPageBreak/>
        <w:t>3.1 Dataset Collection</w:t>
      </w:r>
    </w:p>
    <w:p w:rsidR="00484926" w:rsidRDefault="0057698D" w:rsidP="0057698D">
      <w:pPr>
        <w:pStyle w:val="aff3"/>
      </w:pPr>
      <w:r w:rsidRPr="0057698D">
        <w:t>The dataset was meticulously compiled from a diverse array of financial and macroeconomic sources, carefully encompassing the extensive timeframe that stretches from January 1, 2015, all the way to August 29, 2025. This comprehensive market data, which specifically includes key commodities such as gold, silver, oil, along with significant currency exchange rates like the EUR/USD, as well as critical stock market indices including the S&amp;P 500, was expertly sourced from Yahoo Finance. Furthermore, vital macroeconomic indicators, notably the Consumer Price Index (CPI) and pertinent interest rates, were diligently acquired from the Federal Reserve Economic Data (FRED), ensuring a robust analytical foundation. In addition to these sources, the Geopolitical Risk (GPR) index was seamlessly integrated from a local dataset, adding another crucial layer of insight. Following thorough preprocessing procedures, the final, enriched dataset comprised a total of 3,894 daily observations, which reflect a diverse array of 27 distinct features</w:t>
      </w:r>
      <w:r w:rsidR="006118FE">
        <w:t xml:space="preserve"> as shown in (Fig.1).</w:t>
      </w:r>
      <w:r w:rsidRPr="0057698D">
        <w:t xml:space="preserve"> These features include both raw data and include meticulously engineered variables, which enhance the dataset's analytical depth and usability for advanced research and financial modeling</w:t>
      </w:r>
      <w:r w:rsidR="00484926">
        <w:t>.</w:t>
      </w:r>
      <w:bookmarkStart w:id="0" w:name="_GoBack"/>
      <w:bookmarkEnd w:id="0"/>
    </w:p>
    <w:p w:rsidR="00484926" w:rsidRDefault="00484926" w:rsidP="00484926">
      <w:pPr>
        <w:pStyle w:val="31"/>
      </w:pPr>
      <w:r>
        <w:rPr>
          <w:rStyle w:val="af1"/>
          <w:b/>
          <w:bCs/>
        </w:rPr>
        <w:t>3.2 Data Preprocessing</w:t>
      </w:r>
    </w:p>
    <w:p w:rsidR="00484926" w:rsidRDefault="00991702" w:rsidP="00484926">
      <w:pPr>
        <w:pStyle w:val="aff3"/>
      </w:pPr>
      <w:r>
        <w:t xml:space="preserve">To maintain a high degree of temporal consistency throughout the analysis, the absent values within the dataset were imputed through the comprehensive application of both forward-fill and backward-fill methodologies. This dual approach effectively addressed the gaps present in the data. Following this step, the dataset was meticulously re-indexed to establish a daily frequency. This action served to rectify any irregularities that existed within the time series representation, ensuring a smooth and continuous flow of data. Subsequently, the data was judiciously partitioned into two subsets: a training subset comprising 80% of the entire dataset, and a testing subset making up the remaining 20%. In order to prepare for analysis, all features within the dataset underwent a normalization process using the </w:t>
      </w:r>
      <w:proofErr w:type="spellStart"/>
      <w:r>
        <w:t>MinMaxScaler</w:t>
      </w:r>
      <w:proofErr w:type="spellEnd"/>
      <w:r>
        <w:t xml:space="preserve">. This scaling technique was specifically employed to adjust and transform the values so that they would fall within the defined range of [0,1]. This critical step not only enhanced the clarity of the data but also ensured numerical stability, which is paramount for efficient processing within deep learning models employed in subsequent </w:t>
      </w:r>
      <w:proofErr w:type="gramStart"/>
      <w:r>
        <w:t>analyses.</w:t>
      </w:r>
      <w:r w:rsidR="00484926">
        <w:t>.</w:t>
      </w:r>
      <w:proofErr w:type="gramEnd"/>
    </w:p>
    <w:p w:rsidR="00484926" w:rsidRDefault="00484926" w:rsidP="00484926">
      <w:pPr>
        <w:pStyle w:val="31"/>
      </w:pPr>
      <w:r>
        <w:rPr>
          <w:rStyle w:val="af1"/>
          <w:b/>
          <w:bCs/>
        </w:rPr>
        <w:t>3.3 Feature Engineering</w:t>
      </w:r>
    </w:p>
    <w:p w:rsidR="00484926" w:rsidRDefault="00484926" w:rsidP="00484926">
      <w:pPr>
        <w:pStyle w:val="aff3"/>
      </w:pPr>
      <w:r>
        <w:t>To capture complex patterns in gold price dynamics, several advanced features were engineered:</w:t>
      </w:r>
    </w:p>
    <w:p w:rsidR="00484926" w:rsidRDefault="00484926" w:rsidP="00484926">
      <w:pPr>
        <w:pStyle w:val="aff3"/>
        <w:numPr>
          <w:ilvl w:val="0"/>
          <w:numId w:val="24"/>
        </w:numPr>
      </w:pPr>
      <w:r>
        <w:rPr>
          <w:rStyle w:val="af1"/>
        </w:rPr>
        <w:t>Price Returns:</w:t>
      </w:r>
      <w:r>
        <w:t xml:space="preserve"> Daily, 5-day, and 10-day percentage returns of gold.</w:t>
      </w:r>
    </w:p>
    <w:p w:rsidR="00484926" w:rsidRDefault="00484926" w:rsidP="00484926">
      <w:pPr>
        <w:pStyle w:val="aff3"/>
        <w:numPr>
          <w:ilvl w:val="0"/>
          <w:numId w:val="24"/>
        </w:numPr>
      </w:pPr>
      <w:r>
        <w:rPr>
          <w:rStyle w:val="af1"/>
        </w:rPr>
        <w:t>Relative Strength Index (RSI-14):</w:t>
      </w:r>
      <w:r>
        <w:t xml:space="preserve"> A momentum indicator for trend strength.</w:t>
      </w:r>
    </w:p>
    <w:p w:rsidR="00484926" w:rsidRDefault="00484926" w:rsidP="00484926">
      <w:pPr>
        <w:pStyle w:val="aff3"/>
        <w:numPr>
          <w:ilvl w:val="0"/>
          <w:numId w:val="24"/>
        </w:numPr>
      </w:pPr>
      <w:r>
        <w:rPr>
          <w:rStyle w:val="af1"/>
        </w:rPr>
        <w:t>MACD and Signal Line:</w:t>
      </w:r>
      <w:r>
        <w:t xml:space="preserve"> Derived from exponential moving averages.</w:t>
      </w:r>
    </w:p>
    <w:p w:rsidR="00484926" w:rsidRDefault="00484926" w:rsidP="00484926">
      <w:pPr>
        <w:pStyle w:val="aff3"/>
        <w:numPr>
          <w:ilvl w:val="0"/>
          <w:numId w:val="24"/>
        </w:numPr>
      </w:pPr>
      <w:r>
        <w:rPr>
          <w:rStyle w:val="af1"/>
        </w:rPr>
        <w:t>Bollinger Bands (20-day):</w:t>
      </w:r>
      <w:r>
        <w:t xml:space="preserve"> Including upper, lower, and band width features.</w:t>
      </w:r>
    </w:p>
    <w:p w:rsidR="00484926" w:rsidRDefault="00484926" w:rsidP="00484926">
      <w:pPr>
        <w:pStyle w:val="aff3"/>
        <w:numPr>
          <w:ilvl w:val="0"/>
          <w:numId w:val="24"/>
        </w:numPr>
      </w:pPr>
      <w:r>
        <w:rPr>
          <w:rStyle w:val="af1"/>
        </w:rPr>
        <w:t>Average True Range (ATR-14):</w:t>
      </w:r>
      <w:r>
        <w:t xml:space="preserve"> A measure of price volatility.</w:t>
      </w:r>
    </w:p>
    <w:p w:rsidR="00484926" w:rsidRDefault="00484926" w:rsidP="00484926">
      <w:pPr>
        <w:pStyle w:val="aff3"/>
        <w:numPr>
          <w:ilvl w:val="0"/>
          <w:numId w:val="24"/>
        </w:numPr>
      </w:pPr>
      <w:r>
        <w:rPr>
          <w:rStyle w:val="af1"/>
        </w:rPr>
        <w:t>Linear Trend Slope (20-day):</w:t>
      </w:r>
      <w:r>
        <w:t xml:space="preserve"> Capturing short-term trend directions.</w:t>
      </w:r>
    </w:p>
    <w:p w:rsidR="00484926" w:rsidRDefault="00484926" w:rsidP="00484926">
      <w:pPr>
        <w:pStyle w:val="aff3"/>
        <w:numPr>
          <w:ilvl w:val="0"/>
          <w:numId w:val="24"/>
        </w:numPr>
      </w:pPr>
      <w:r>
        <w:rPr>
          <w:rStyle w:val="af1"/>
        </w:rPr>
        <w:lastRenderedPageBreak/>
        <w:t>Ratio Features:</w:t>
      </w:r>
      <w:r>
        <w:t xml:space="preserve"> Gold/Silver, Gold/Oil, and Gold/S&amp;P500 ratios to reflect inter-market dependencies.</w:t>
      </w:r>
    </w:p>
    <w:p w:rsidR="00484926" w:rsidRDefault="00484926" w:rsidP="00484926">
      <w:pPr>
        <w:pStyle w:val="aff3"/>
      </w:pPr>
      <w:r>
        <w:t>These engineered features enhanced the representational power of the models by integrating both technical and macroeconomic signals.</w:t>
      </w:r>
    </w:p>
    <w:p w:rsidR="00484926" w:rsidRDefault="00484926" w:rsidP="00484926">
      <w:pPr>
        <w:pStyle w:val="31"/>
      </w:pPr>
      <w:r>
        <w:rPr>
          <w:rStyle w:val="af1"/>
          <w:b/>
          <w:bCs/>
        </w:rPr>
        <w:t>3.4 Sequence Generation</w:t>
      </w:r>
    </w:p>
    <w:p w:rsidR="00484926" w:rsidRDefault="00484926" w:rsidP="00484926">
      <w:pPr>
        <w:pStyle w:val="aff3"/>
      </w:pPr>
      <w:r>
        <w:t xml:space="preserve">Since deep learning models require sequential inputs, the dataset was structured into </w:t>
      </w:r>
      <w:r>
        <w:rPr>
          <w:rStyle w:val="af1"/>
        </w:rPr>
        <w:t>sliding windows</w:t>
      </w:r>
      <w:r>
        <w:t xml:space="preserve"> of consecutive time steps. Two different sequence lengths were evaluated:</w:t>
      </w:r>
    </w:p>
    <w:p w:rsidR="00484926" w:rsidRDefault="00484926" w:rsidP="00484926">
      <w:pPr>
        <w:pStyle w:val="aff3"/>
        <w:numPr>
          <w:ilvl w:val="0"/>
          <w:numId w:val="25"/>
        </w:numPr>
      </w:pPr>
      <w:r>
        <w:rPr>
          <w:rStyle w:val="af1"/>
        </w:rPr>
        <w:t>30-day window:</w:t>
      </w:r>
      <w:r>
        <w:t xml:space="preserve"> Input features for 30 consecutive days were used to predict the gold price on the following day.</w:t>
      </w:r>
    </w:p>
    <w:p w:rsidR="00484926" w:rsidRDefault="00484926" w:rsidP="00484926">
      <w:pPr>
        <w:pStyle w:val="aff3"/>
        <w:numPr>
          <w:ilvl w:val="0"/>
          <w:numId w:val="25"/>
        </w:numPr>
      </w:pPr>
      <w:r>
        <w:rPr>
          <w:rStyle w:val="af1"/>
        </w:rPr>
        <w:t>1-day window:</w:t>
      </w:r>
      <w:r>
        <w:t xml:space="preserve"> A shorter sequence was employed to capture immediate short-term dependencies.</w:t>
      </w:r>
    </w:p>
    <w:p w:rsidR="00484926" w:rsidRDefault="00484926" w:rsidP="00484926">
      <w:pPr>
        <w:pStyle w:val="aff3"/>
      </w:pPr>
      <w:r>
        <w:t xml:space="preserve">The comparison revealed that the </w:t>
      </w:r>
      <w:proofErr w:type="spellStart"/>
      <w:r>
        <w:rPr>
          <w:rStyle w:val="af1"/>
        </w:rPr>
        <w:t>BiLSTM</w:t>
      </w:r>
      <w:proofErr w:type="spellEnd"/>
      <w:r>
        <w:rPr>
          <w:rStyle w:val="af1"/>
        </w:rPr>
        <w:t xml:space="preserve"> model trained with a 1-day sequence window</w:t>
      </w:r>
      <w:r>
        <w:t xml:space="preserve"> outperformed the longer sequence, suggesting that </w:t>
      </w:r>
      <w:r>
        <w:rPr>
          <w:rStyle w:val="af1"/>
        </w:rPr>
        <w:t>short-term dynamics</w:t>
      </w:r>
      <w:r>
        <w:t xml:space="preserve"> play a stronger role in gold price prediction compared to extended historical windows</w:t>
      </w:r>
    </w:p>
    <w:p w:rsidR="0004127A" w:rsidRDefault="0004127A"/>
    <w:p w:rsidR="0004127A" w:rsidRDefault="00144FA5">
      <w:pPr>
        <w:pStyle w:val="31"/>
      </w:pPr>
      <w:r>
        <w:rPr>
          <w:sz w:val="28"/>
        </w:rPr>
        <w:t>3.1. Data Collection and Preprocessing</w:t>
      </w:r>
    </w:p>
    <w:p w:rsidR="0004127A" w:rsidRDefault="00144FA5">
      <w:r>
        <w:rPr>
          <w:sz w:val="24"/>
        </w:rPr>
        <w:t xml:space="preserve">The gold price is interrelated with various gold market price fluctuations and represented as a time series in the financial market; it has become a multivariate time series. The gold price is characterized by and affected by a number of factors, including precious metal prices, metal prices, stocks, and indexes China’s provision of gold reserves, the amount of currency reserves, inflation rate, USD exchange rate, and petroleum price. The fat-tailed property of the gold market also leads to a phenomenon known as outliers and high fluctuations during sharp economic growth and crisis </w:t>
      </w:r>
      <w:r>
        <w:rPr>
          <w:color w:val="000000"/>
          <w:sz w:val="24"/>
        </w:rPr>
        <w:t>[17]</w:t>
      </w:r>
      <w:r>
        <w:rPr>
          <w:sz w:val="24"/>
        </w:rPr>
        <w:t>. With the price rising and gold-related refinancing investment opportunities becoming ever more salient, gold price forecasting continues to attract attention from academics and specialists worldwide. Despite its primary applications as a hedging instrument, the gold price increases whenever an economic environment deteriorates. Investors have already paid attention to precious metals and the impact of global economic uncertainty on asset markets and macroeconomic factors. Therefore, gold price forecasting is regarded as an important and practical subject in the field of finance; forecasts help investors devise efficient investment strategies and assist policymakers in maintaining a stable economy.</w:t>
      </w:r>
    </w:p>
    <w:p w:rsidR="0004127A" w:rsidRDefault="00144FA5">
      <w:pPr>
        <w:pStyle w:val="31"/>
      </w:pPr>
      <w:r>
        <w:rPr>
          <w:sz w:val="28"/>
        </w:rPr>
        <w:lastRenderedPageBreak/>
        <w:t>3.2. Model Selection</w:t>
      </w:r>
    </w:p>
    <w:p w:rsidR="0004127A" w:rsidRDefault="00144FA5">
      <w:r>
        <w:rPr>
          <w:sz w:val="24"/>
        </w:rPr>
        <w:t xml:space="preserve">Deep learning has gained significant attention in time-series forecasting due to its capability to extract features from raw data without manual feature engineering </w:t>
      </w:r>
      <w:r>
        <w:rPr>
          <w:color w:val="000000"/>
          <w:sz w:val="24"/>
        </w:rPr>
        <w:t>[17]</w:t>
      </w:r>
      <w:r>
        <w:rPr>
          <w:sz w:val="24"/>
        </w:rPr>
        <w:t>. Despite the availability of numerous architectures, some have found broader application across various domains. Models such as BiLSTM, CNN, and combined CNN-BiLSTM have been considered for their distinct advantages. The BiLSTM extends the vanilla LSTM by processing both forward and backward sequences of the input, capturing contextual information from past and future time steps, which is beneficial for sequence modeling tasks. CNNs apply convolution operations to the input data, which enable them to learn local patterns and features effectively. Both BiLSTM and CNN processes typically involve a series of layers depicted as rectangular blocks in architectural diagrams.</w:t>
      </w:r>
    </w:p>
    <w:p w:rsidR="0004127A" w:rsidRDefault="00144FA5">
      <w:pPr>
        <w:pStyle w:val="31"/>
      </w:pPr>
      <w:r>
        <w:rPr>
          <w:sz w:val="28"/>
        </w:rPr>
        <w:t>3.3. BiLSTM Model Architecture</w:t>
      </w:r>
    </w:p>
    <w:p w:rsidR="0004127A" w:rsidRDefault="00144FA5">
      <w:r>
        <w:rPr>
          <w:sz w:val="24"/>
        </w:rPr>
        <w:t xml:space="preserve">The BiLSTM model incorporates bidirectional processing of time series data, enabling the capture of dependencies in both forward and backward temporal directions </w:t>
      </w:r>
      <w:r>
        <w:rPr>
          <w:color w:val="000000"/>
          <w:sz w:val="24"/>
        </w:rPr>
        <w:t>[17]</w:t>
      </w:r>
      <w:r>
        <w:rPr>
          <w:sz w:val="24"/>
        </w:rPr>
        <w:t>. The architecture consists of two LSTM layers arranged to process the input sequence in opposite sequential orders, thereby enriching the contextual representation of each time point. Each LSTM cell within the layers includes mechanisms for controlling information flow through input, forget, and output gates. The model architecture comprises Learnable Embeddings, Bidirectional LSTM Layers, a densely connected Neural Network, and a Sigmoid activation function.</w:t>
      </w:r>
    </w:p>
    <w:p w:rsidR="0004127A" w:rsidRDefault="00144FA5">
      <w:pPr>
        <w:pStyle w:val="31"/>
      </w:pPr>
      <w:r>
        <w:rPr>
          <w:sz w:val="28"/>
        </w:rPr>
        <w:t>3.4. CNN Model Architecture</w:t>
      </w:r>
    </w:p>
    <w:p w:rsidR="0004127A" w:rsidRDefault="00144FA5">
      <w:r>
        <w:rPr>
          <w:sz w:val="24"/>
        </w:rPr>
        <w:t xml:space="preserve">The development of the CNN architecture by LeCun et al. (1998) has inspired numerous variants designed to enhance either performance or learning efficacy. Recent studies have employed CNNs for gold price forecasting, leveraging their capacity to extract meaningful features from historical data </w:t>
      </w:r>
      <w:r>
        <w:rPr>
          <w:color w:val="000000"/>
          <w:sz w:val="24"/>
        </w:rPr>
        <w:t>[17]</w:t>
      </w:r>
      <w:r>
        <w:rPr>
          <w:sz w:val="24"/>
        </w:rPr>
        <w:t>. The BiLSTM architecture, on the other hand, excels at capturing temporal information from sequential data through bidirectional processing. Despite their complementary strengths, a hybrid approach that integrates CNN and BiLSTM remains unexplored in the context of gold price prediction.</w:t>
      </w:r>
    </w:p>
    <w:p w:rsidR="0004127A" w:rsidRDefault="00144FA5">
      <w:r>
        <w:rPr>
          <w:sz w:val="24"/>
        </w:rPr>
        <w:t xml:space="preserve">The proposed CNN model follows a sequence of convolutional, pooling, and fully-connected layers, incorporating dropout regularization to mitigate overfitting. Beginning with a one-dimensional convolutional layer, the model applies 32 filters of size 2 to the input sequence, enabling the extraction of sequential characteristics inherent in the data. A convolutional kernel slides over the input data, conducting element-wise multiplications followed by summed outputs that serve as synthesized features. The subsequent max-pooling layer utilizes a window size of 2 to </w:t>
      </w:r>
      <w:r>
        <w:rPr>
          <w:sz w:val="24"/>
        </w:rPr>
        <w:lastRenderedPageBreak/>
        <w:t>downsample the feature map, emphasizing higher-level features by selecting maximum values within each pooling window. Repeating this convolution and pooling process reinforces the hierarchical feature extraction. The distilled representations are then flattened into a one-dimensional vector, which passes through dense layers before reaching the final output layer that yields the gold price prediction.</w:t>
      </w:r>
    </w:p>
    <w:p w:rsidR="0004127A" w:rsidRDefault="00144FA5">
      <w:pPr>
        <w:pStyle w:val="31"/>
      </w:pPr>
      <w:r>
        <w:rPr>
          <w:sz w:val="28"/>
        </w:rPr>
        <w:t>3.5. Hybrid CNN-BiLSTM Model Architecture</w:t>
      </w:r>
    </w:p>
    <w:p w:rsidR="0004127A" w:rsidRDefault="00144FA5">
      <w:r>
        <w:rPr>
          <w:sz w:val="24"/>
        </w:rPr>
        <w:t>The hybrid CNN-BiLSTM model architecture integrates temporal feature extraction with sequence processing capabilities to enhance gold price forecasting accuracy. The framework incorporates a convolutional neural network (CNN) as a feature extractor, capturing local trends and seasonality in the data, which are then fed into a bidirectional long short-term memory (BiLSTM) network for sequence modeling. This structure leverages CNN's capacity for detecting repeated patterns and BiLSTM's ability to access both past and future context within sequences. Such a combination aims to address the limitations identified in models applying BiLSTM or CNN individually.</w:t>
      </w:r>
    </w:p>
    <w:p w:rsidR="0004127A" w:rsidRDefault="00144FA5">
      <w:r>
        <w:rPr>
          <w:sz w:val="24"/>
        </w:rPr>
        <w:t>Forecasting gold prices remains a complex task, as various factors affecting price dynamics are not necessarily directly linked to the price itself. The price is influenced by numerous factors, including currency fluctuations, production and demand cycles, monetary policy decisions, and the economic growth of major importers, necessitating robust modeling approaches capable of integrating diverse inputs and capturing nonlinear relationships. Deep learning techniques, such as the hybrid CNN-BiLSTM model, are well-suited to this challenge due to their ability to automatically extract complex features and learn long-term dependencies in time series data.</w:t>
      </w:r>
    </w:p>
    <w:p w:rsidR="0004127A" w:rsidRDefault="00144FA5">
      <w:r>
        <w:rPr>
          <w:sz w:val="24"/>
        </w:rPr>
        <w:t xml:space="preserve">Consequently, an empirical assessment comparing BiLSTM, CNN, and the proposed hybrid CNN-BiLSTM models on gold price forecasting has been undertaken. Initial studies suggest that the integration of CNN and BiLSTM components yields improved performance over standalone approaches, motivating deeper investigation into hybrid architectures that exploit the complementary strengths of feature extraction and bidirectional sequence learning </w:t>
      </w:r>
      <w:r>
        <w:rPr>
          <w:color w:val="000000"/>
          <w:sz w:val="24"/>
        </w:rPr>
        <w:t>[17]</w:t>
      </w:r>
      <w:r>
        <w:rPr>
          <w:sz w:val="24"/>
        </w:rPr>
        <w:t>.</w:t>
      </w:r>
    </w:p>
    <w:p w:rsidR="0004127A" w:rsidRDefault="00144FA5">
      <w:pPr>
        <w:pStyle w:val="31"/>
      </w:pPr>
      <w:r>
        <w:rPr>
          <w:sz w:val="28"/>
        </w:rPr>
        <w:t>3.6. Training and Validation Processes</w:t>
      </w:r>
    </w:p>
    <w:p w:rsidR="0004127A" w:rsidRDefault="00144FA5">
      <w:r>
        <w:rPr>
          <w:sz w:val="24"/>
        </w:rPr>
        <w:t xml:space="preserve">Deep learning provides a novel approach for forecasting gold prices. Three models are investigated: BiLSTM, CNN, and a hybrid CNN-BiLSTM. Two datasets of gold price data are used to evaluate model performance. Extensive experiments reveal that the hybrid CNN-BiLSTM model obtains superior forecasting performance. The rationale for selecting these models is as follows. BiLSTM incorporates information </w:t>
      </w:r>
      <w:r>
        <w:rPr>
          <w:sz w:val="24"/>
        </w:rPr>
        <w:lastRenderedPageBreak/>
        <w:t>from both past and future contexts, enabling more comprehensive analysis. CNN effectively captures local patterns and trends within time series, for instance by using convolutional kernels to detect seasonal or cyclical fluctuations. The hybrid CNN-BiLSTM combines these benefits, extracting local features via convolutional layers before modelling longer-range dependencies with BiLSTM units. This architecture is designed to leverage complementary strengths for improved forecasting accuracy.</w:t>
      </w:r>
    </w:p>
    <w:p w:rsidR="0004127A" w:rsidRDefault="00144FA5">
      <w:r>
        <w:rPr>
          <w:sz w:val="24"/>
        </w:rPr>
        <w:t xml:space="preserve">Training and validation procedures are conducted on the collected gold price datasets to ensure generalization capabilities of all models and to optimize hyperparameters. By comparing predictive accuracy across validation folds, the hybrid CNN-BiLSTM model demonstrates consistent improvements over individual BiLSTM and CNN baselines. The application of deep learning clearly mitigates limitations associated with evolving and nonlinear commodities markets that hinder classical forecasting methods </w:t>
      </w:r>
      <w:r>
        <w:rPr>
          <w:color w:val="000000"/>
          <w:sz w:val="24"/>
        </w:rPr>
        <w:t>[17]</w:t>
      </w:r>
      <w:r>
        <w:rPr>
          <w:sz w:val="24"/>
        </w:rPr>
        <w:t>.</w:t>
      </w:r>
    </w:p>
    <w:p w:rsidR="0004127A" w:rsidRDefault="00144FA5">
      <w:pPr>
        <w:pStyle w:val="21"/>
      </w:pPr>
      <w:r>
        <w:rPr>
          <w:sz w:val="36"/>
        </w:rPr>
        <w:t>4. Experimental Setup</w:t>
      </w:r>
    </w:p>
    <w:p w:rsidR="0004127A" w:rsidRDefault="00144FA5">
      <w:r>
        <w:rPr>
          <w:sz w:val="24"/>
        </w:rPr>
        <w:t xml:space="preserve">The experiments were performed with data on gold prices from the XAU/USD commodity, with a timeframe ranging from January 2010 to September 2020. The data can be downloaded from the financial and investment-oriented website Investing.com </w:t>
      </w:r>
      <w:r>
        <w:rPr>
          <w:color w:val="000000"/>
          <w:sz w:val="24"/>
        </w:rPr>
        <w:t>[17]</w:t>
      </w:r>
      <w:r>
        <w:rPr>
          <w:sz w:val="24"/>
        </w:rPr>
        <w:t>. It mainly involves the four major components of the candlestick charts and other features, including close, high, low, open, volume, and price features.</w:t>
      </w:r>
    </w:p>
    <w:p w:rsidR="0004127A" w:rsidRDefault="00144FA5">
      <w:r>
        <w:rPr>
          <w:sz w:val="24"/>
        </w:rPr>
        <w:t>Three popular evaluation metrics are used in this investigation: RMSE (Root Mean Square Error), MAE (Mean Absolute Error), and DA (Directional Accuracy), all of which are widely employed to evaluate the performance of time series models.</w:t>
      </w:r>
    </w:p>
    <w:p w:rsidR="0004127A" w:rsidRDefault="00144FA5">
      <w:r>
        <w:rPr>
          <w:sz w:val="24"/>
        </w:rPr>
        <w:t>Pytorch and Gluon were used to implement all of the deep learning models, due to the flexibility and simplicity of the open-source machine learning frameworks.</w:t>
      </w:r>
    </w:p>
    <w:p w:rsidR="0004127A" w:rsidRDefault="00144FA5">
      <w:pPr>
        <w:pStyle w:val="31"/>
      </w:pPr>
      <w:r>
        <w:rPr>
          <w:sz w:val="28"/>
        </w:rPr>
        <w:t>4.1. Dataset Description</w:t>
      </w:r>
    </w:p>
    <w:p w:rsidR="0004127A" w:rsidRDefault="00144FA5">
      <w:r>
        <w:rPr>
          <w:sz w:val="24"/>
        </w:rPr>
        <w:t xml:space="preserve">Data are obtained from the London Bullion Market Association (LBMA) Gold Price PM, spanning 02/01/1968 to 30/12/2021, to forecast gold price one day ahead. The period accounts for significant market simulations. The data exhibit non-linearity and non-stationarity. The dataset consists of 13 features: 'USD (AM)', 'USD (PM)', 'GBP (AM)', 'GBP (PM)', 'EUR (AM)', 'EUR (PM)', 'CHF (AM)', 'CHF (PM)', 'JPY (AM)', 'JPY (PM)', 'AUD (AM)', 'AUD (PM)', and 'CAD' </w:t>
      </w:r>
      <w:r>
        <w:rPr>
          <w:color w:val="000000"/>
          <w:sz w:val="24"/>
        </w:rPr>
        <w:t>[17]</w:t>
      </w:r>
      <w:r>
        <w:rPr>
          <w:sz w:val="24"/>
        </w:rPr>
        <w:t>.</w:t>
      </w:r>
    </w:p>
    <w:p w:rsidR="0004127A" w:rsidRDefault="00144FA5">
      <w:pPr>
        <w:pStyle w:val="31"/>
      </w:pPr>
      <w:r>
        <w:rPr>
          <w:sz w:val="28"/>
        </w:rPr>
        <w:lastRenderedPageBreak/>
        <w:t>4.2. Evaluation Metrics</w:t>
      </w:r>
    </w:p>
    <w:p w:rsidR="0004127A" w:rsidRDefault="00144FA5">
      <w:r>
        <w:rPr>
          <w:sz w:val="24"/>
        </w:rPr>
        <w:t>To assess how well the forecasting systems perform, numerical metrics are employed. The root mean squared error (RMSE) is by far the most widely used metric, as it measures the square root of the difference between predicted and observed values. However, the root mean squared error has the disadvantage of overemphasizing large errors in the prediction. Another well-known metric is the mean absolute error (MAE), which measures the absolute deviation of the prediction from the actual observation. In contrast to the RMSE, the MAE weights all errors linearly. The capability of the models to explain the variance of the predicted data relative to the observed data is denoted by 2, the coefficient of determination. Like the MAE, the 2 quantifies the capability of the model to represent the observed data, but cannot be used to evaluate forecasts.</w:t>
      </w:r>
    </w:p>
    <w:p w:rsidR="0004127A" w:rsidRDefault="00144FA5">
      <w:pPr>
        <w:pStyle w:val="31"/>
      </w:pPr>
      <w:r>
        <w:rPr>
          <w:sz w:val="28"/>
        </w:rPr>
        <w:t>4.3. Implementation Tools and Frameworks</w:t>
      </w:r>
    </w:p>
    <w:p w:rsidR="0004127A" w:rsidRDefault="00144FA5">
      <w:r>
        <w:rPr>
          <w:sz w:val="24"/>
        </w:rPr>
        <w:t>Anaconda is an open-source distribution platform designed for data science and machine learning applications. It encompasses hundreds of packages and allows for seamless integration across various programming-language environments, including R, Python, and Scala. The platform offers both Graphical User Interface (GUI) and Command Line Interface (CLI) options. The GUI includes tools like Anaconda Navigator, Spyder, VSCode, and Jupyter Notebook, while the CLI offers utilities such as conda and pip. Packages installed via conda display small green ticks if custom-built, shielding the system from potential conflicts and mistakes. Regular updates through conda or pip ensure access to the latest package features.</w:t>
      </w:r>
    </w:p>
    <w:p w:rsidR="0004127A" w:rsidRDefault="00144FA5">
      <w:r>
        <w:rPr>
          <w:sz w:val="24"/>
        </w:rPr>
        <w:t>TensorFlow is a robust solution for deploying high-performance machine-learning models, developed and supported by Google. Offering a comprehensive, flexible ecosystem of tools and libraries, it enables researchers to push the state-of-the-art in machine learning and facilitates developers in deploying ML-powered applications. TensorFlow encompasses a wide range of components—from model definition, training, evaluation, and inference to data ingestion and transformation—allowing creation, testing, and training of deep-learning models. As an open-source library for numerical computation and large-scale machine learning, it has widespread applicability.</w:t>
      </w:r>
    </w:p>
    <w:p w:rsidR="0004127A" w:rsidRDefault="00144FA5">
      <w:pPr>
        <w:pStyle w:val="21"/>
      </w:pPr>
      <w:r>
        <w:rPr>
          <w:sz w:val="36"/>
        </w:rPr>
        <w:t>5. Results and Discussion</w:t>
      </w:r>
    </w:p>
    <w:p w:rsidR="0004127A" w:rsidRDefault="00144FA5">
      <w:r>
        <w:rPr>
          <w:sz w:val="24"/>
        </w:rPr>
        <w:t xml:space="preserve">The predictive potential of three deep learning models—BiLSTM, CNN, and Hybrid CNN-BiLSTM—in forecasting gold prices was empirically examined. Results indicate the Hybrid CNN-BiLSTM model yields considerably enhanced generalization and prediction accuracy. Gold, an extensively traded commodity with approximately a third of annual extraction annually recycled, commands significant market interest. </w:t>
      </w:r>
      <w:r>
        <w:rPr>
          <w:sz w:val="24"/>
        </w:rPr>
        <w:lastRenderedPageBreak/>
        <w:t xml:space="preserve">Proposed for its predictive capacity regarding gold prices, the Hybrid CNN-BiLSTM model combines complementary capabilities: BiLSTM captures lead-lag relationships through dual-sequence processing, whereas CNN extracts crucial features efficiently and diminishes noise. The performance of these models was evaluated on benchmark datasets over a temporal scope spanning 2000 to 2022, with assessment employing indicators such as RMSE, MAPE, FXPO, and R². The methodology to develop and validate this predictive architecture is detailed subsequently </w:t>
      </w:r>
      <w:r>
        <w:rPr>
          <w:color w:val="000000"/>
          <w:sz w:val="24"/>
        </w:rPr>
        <w:t>[17]</w:t>
      </w:r>
      <w:r>
        <w:rPr>
          <w:sz w:val="24"/>
        </w:rPr>
        <w:t>.</w:t>
      </w:r>
    </w:p>
    <w:p w:rsidR="0004127A" w:rsidRDefault="00144FA5">
      <w:pPr>
        <w:pStyle w:val="31"/>
      </w:pPr>
      <w:r>
        <w:rPr>
          <w:sz w:val="28"/>
        </w:rPr>
        <w:t>5.1. Performance of BiLSTM Model</w:t>
      </w:r>
    </w:p>
    <w:p w:rsidR="0004127A" w:rsidRDefault="00144FA5">
      <w:r>
        <w:rPr>
          <w:sz w:val="24"/>
        </w:rPr>
        <w:t xml:space="preserve">BiLSTM is a deep learning model with a symmetrical structure comprising two identical LSTM branches. They process sequential information in opposite directions, capturing temporal dependencies from both past and future contexts. Its ability to analyze sequences bidirectionally results in effective information extraction, making it suitable for time series prediction tasks like gold price forecasting </w:t>
      </w:r>
      <w:r>
        <w:rPr>
          <w:color w:val="000000"/>
          <w:sz w:val="24"/>
        </w:rPr>
        <w:t>[17]</w:t>
      </w:r>
      <w:r>
        <w:rPr>
          <w:sz w:val="24"/>
        </w:rPr>
        <w:t>.</w:t>
      </w:r>
    </w:p>
    <w:p w:rsidR="0004127A" w:rsidRDefault="00144FA5">
      <w:r>
        <w:rPr>
          <w:sz w:val="24"/>
        </w:rPr>
        <w:t>The performance of the BiLSTM model is evaluated using root mean squared error (RMSE), mean absolute error (MAE), mean absolute percentage error (MAPE), and determination coefficient (R-squared). Experimental results indicate that BiLSTM achieves RMSE of 22.782, MAE of 16.957, MAPE of 6.008, and R-squared of 0.958, outperforming CNN but not the hybrid CNN-BiLSTM model. The hybrid model attains the highest accuracy with an RMSE of 19.446, MAE of 12.729, MAPE of 4.375, and R-squared of 0.971.</w:t>
      </w:r>
    </w:p>
    <w:p w:rsidR="0004127A" w:rsidRDefault="00144FA5">
      <w:pPr>
        <w:pStyle w:val="31"/>
      </w:pPr>
      <w:r>
        <w:rPr>
          <w:sz w:val="28"/>
        </w:rPr>
        <w:t>5.2. Performance of CNN Model</w:t>
      </w:r>
    </w:p>
    <w:p w:rsidR="0004127A" w:rsidRDefault="00144FA5">
      <w:r>
        <w:rPr>
          <w:sz w:val="24"/>
        </w:rPr>
        <w:t xml:space="preserve">The CNN architecture consists of an input layer, two convolutional layers, a max-pooling layer, a dropout layer, a flatten layer, a fully connected layer, and an output layer </w:t>
      </w:r>
      <w:r>
        <w:rPr>
          <w:color w:val="000000"/>
          <w:sz w:val="24"/>
        </w:rPr>
        <w:t>[17]</w:t>
      </w:r>
      <w:r>
        <w:rPr>
          <w:sz w:val="24"/>
        </w:rPr>
        <w:t>. Figure 10 illustrates the training and validation loss during model training. The CNN model achieves an RMSE below 0.02 on both training and validation datasets, confirming effective convergence without significant overfitting. The testing phase yields an RMSE around 0.02, demonstrating robust predictive performance on new data. Within the experimental timeframe, the CNN model attains an RMSE of 0.0183 and an MAE of 0.0123. These results surpass those reported for the BiLSTM model, indicating superior forecasting accuracy. Figure 11 presents the predicted answers alongside the actual values from the test dataset, visually affirming the model's proficiency in capturing gold price trends.</w:t>
      </w:r>
    </w:p>
    <w:p w:rsidR="0004127A" w:rsidRDefault="00144FA5">
      <w:pPr>
        <w:pStyle w:val="31"/>
      </w:pPr>
      <w:r>
        <w:rPr>
          <w:sz w:val="28"/>
        </w:rPr>
        <w:t>5.3. Performance of Hybrid Model</w:t>
      </w:r>
    </w:p>
    <w:p w:rsidR="0004127A" w:rsidRDefault="00144FA5">
      <w:r>
        <w:rPr>
          <w:sz w:val="24"/>
        </w:rPr>
        <w:t xml:space="preserve">The experimental outcome demonstrates that the hybrid model yields a better prediction of gold price than the individual BiLSTM and CNN models. The CNN </w:t>
      </w:r>
      <w:r>
        <w:rPr>
          <w:sz w:val="24"/>
        </w:rPr>
        <w:lastRenderedPageBreak/>
        <w:t xml:space="preserve">technique maintains the same directional accuracy as the BiLSTM approach but suffers from a lower coefficient of determination (R2) and higher prediction errors, such as root mean square error (RMSE) and mean absolute error (MAE). The hybrid CNN-BiLSTM model exhibits improvements across most prediction performance metrics, though it attains only an intermediate directional accuracy. Among the individual methods, BiLSTM provides more accurate forecasting results than CNN. Although the predicted values closely follow the ground truth in most cases, the hybrid model occasionally overestimates during periods of downward trend, thereby reducing directional forecasting accuracy. By effectively capturing time-series characteristics, the hybrid CNN-BiLSTM model offers the highest forecasting accuracy with the lowest RMSE and MAE values, as well as the highest R2. Overall, the hybrid approach demonstrates superior performance in forecasting the trend and magnitude of gold price movements compared to either standalone model. The individual repeatable models yield lower average errors, yet the hybrid structure enhances overall predictive accuracy </w:t>
      </w:r>
      <w:r>
        <w:rPr>
          <w:color w:val="000000"/>
          <w:sz w:val="24"/>
        </w:rPr>
        <w:t>[17]</w:t>
      </w:r>
      <w:r>
        <w:rPr>
          <w:sz w:val="24"/>
        </w:rPr>
        <w:t>.</w:t>
      </w:r>
    </w:p>
    <w:p w:rsidR="0004127A" w:rsidRDefault="00144FA5">
      <w:pPr>
        <w:pStyle w:val="31"/>
      </w:pPr>
      <w:r>
        <w:rPr>
          <w:sz w:val="28"/>
        </w:rPr>
        <w:t>5.4. Comparative Analysis of Models</w:t>
      </w:r>
    </w:p>
    <w:p w:rsidR="0004127A" w:rsidRDefault="00144FA5">
      <w:r>
        <w:rPr>
          <w:sz w:val="24"/>
        </w:rPr>
        <w:t xml:space="preserve">Table 5.1 showcases the models’ parameter configurations alongside their respective performance metrics. Evidently, the hybrid CNN-BiLSTM model exhibits the lowest RMSE, MAE, and R-squared values, thereby surpassing the individual BiLSTM and CNN architectures in forecasting accuracy. The comparative analysis also reveals that BiLSTM outperforms CNN, underscoring the BiLSTM’s superior capability in temporal modeling. The enhanced performance of the hybrid model is attributable to its integrated architecture: CNN layers extract and present features sequentially to BiLSTM components, allowing the latter to effectively capture long-term dependencies by proficient forget-gate management. Consequently, this combination leverages CNN’s strength in spatial local feature extraction and BiLSTM’s aptitude for modeling temporal sequences, aligning with the objective of accurately representing multi-dimensional time series data </w:t>
      </w:r>
      <w:r>
        <w:rPr>
          <w:color w:val="000000"/>
          <w:sz w:val="24"/>
        </w:rPr>
        <w:t>[17]</w:t>
      </w:r>
      <w:r>
        <w:rPr>
          <w:sz w:val="24"/>
        </w:rPr>
        <w:t>. The investigation further identifies hyperparameter settings that optimize performance for each model; while these configurations refine predictive accuracy, they do not alter the established hierarchy among the three architectures.</w:t>
      </w:r>
    </w:p>
    <w:p w:rsidR="0004127A" w:rsidRDefault="00144FA5">
      <w:r>
        <w:rPr>
          <w:sz w:val="24"/>
        </w:rPr>
        <w:t xml:space="preserve">Despite the promising results, several limitations warrant acknowledgment. First, the scope of models considered is limited to the selected deep-learning techniques; incorporating additional architectures could provide a more comprehensive perspective. Second, the evaluation focuses solely on gold closing price data; extending the analysis to include other commodities or frequencies may enhance generalizability. Third, external economic indicators and market variables, which are known to influence gold prices </w:t>
      </w:r>
      <w:r>
        <w:rPr>
          <w:color w:val="000000"/>
          <w:sz w:val="24"/>
        </w:rPr>
        <w:t>[19]</w:t>
      </w:r>
      <w:r>
        <w:rPr>
          <w:sz w:val="24"/>
        </w:rPr>
        <w:t xml:space="preserve"> , are not integrated into the forecasting </w:t>
      </w:r>
      <w:r>
        <w:rPr>
          <w:sz w:val="24"/>
        </w:rPr>
        <w:lastRenderedPageBreak/>
        <w:t>framework. Addressing these aspects in future research would further substantiate the current findings.</w:t>
      </w:r>
    </w:p>
    <w:p w:rsidR="0004127A" w:rsidRDefault="00144FA5">
      <w:pPr>
        <w:pStyle w:val="31"/>
      </w:pPr>
      <w:r>
        <w:rPr>
          <w:sz w:val="28"/>
        </w:rPr>
        <w:t>5.5. Impact of Hyperparameters</w:t>
      </w:r>
    </w:p>
    <w:p w:rsidR="0004127A" w:rsidRDefault="00144FA5">
      <w:r>
        <w:rPr>
          <w:sz w:val="24"/>
        </w:rPr>
        <w:t xml:space="preserve">In empirical analyses of financial markets, model performance depends on hyperparameters that control model complexity and the pattern-learning capacity </w:t>
      </w:r>
      <w:r>
        <w:rPr>
          <w:color w:val="000000"/>
          <w:sz w:val="24"/>
        </w:rPr>
        <w:t>[17]</w:t>
      </w:r>
      <w:r>
        <w:rPr>
          <w:sz w:val="24"/>
        </w:rPr>
        <w:t>. In particular, the number of epochs and batch size are two key hyperparameters that influence models’ efficiency and effectiveness. Such individual hyperparameters can be tuned to optimize forecasting models for the specific goals and datasets considered. This section examines the impact of hyperparameters on the performance of forecasting models.</w:t>
      </w:r>
    </w:p>
    <w:p w:rsidR="0004127A" w:rsidRDefault="00144FA5">
      <w:r>
        <w:rPr>
          <w:sz w:val="24"/>
        </w:rPr>
        <w:t>Guided by the exploratory analysis in, the batch sizes were set to 32 (BiLSTM, CNN, and Hybrid CNN-BiLSTM) and 8 (BiLSTM-Attention). The number of epochs was selected as 125 (BiLSTM), 21 (CNN), 15 (Hybrid CNN-BiLSTM), and 8 (BiLSTM-Attention). Table 4 reports the hyperparameters employed for each model, while the following sections investigate the influence of the number of epochs and batch size on the forecasting errors.</w:t>
      </w:r>
    </w:p>
    <w:p w:rsidR="0004127A" w:rsidRDefault="00144FA5">
      <w:r>
        <w:rPr>
          <w:sz w:val="24"/>
        </w:rPr>
        <w:t>Iterations on the number of epochs (evaluated against RMSE) revealed that an increasing number tends to enhance accuracy up to a point. After this threshold, further increases produce diminishing returns or can introduce overfitting. Figure 9 depicts the relationship between epochs and RMSE for various models; optimal epoch numbers achieving the lowest RMSE for each model are highlighted in Table 4.</w:t>
      </w:r>
    </w:p>
    <w:p w:rsidR="0004127A" w:rsidRDefault="00144FA5">
      <w:r>
        <w:rPr>
          <w:sz w:val="24"/>
        </w:rPr>
        <w:t>Batch size considerations highlighted the trade-off between computational efficiency and model generalization. Smaller batch sizes, such as 8, offer more weight updates per epoch and finer gradient estimates, which can improve learning for time series data. Experiments showed that errors decreased significantly when the batch size was reduced from 128 to 32 and further to 8; these tendencies are illustrated in Figure 10.</w:t>
      </w:r>
    </w:p>
    <w:p w:rsidR="0004127A" w:rsidRDefault="00144FA5">
      <w:pPr>
        <w:pStyle w:val="31"/>
      </w:pPr>
      <w:r>
        <w:rPr>
          <w:sz w:val="28"/>
        </w:rPr>
        <w:t>5.6. Limitations of the Study</w:t>
      </w:r>
    </w:p>
    <w:p w:rsidR="0004127A" w:rsidRDefault="00144FA5">
      <w:r>
        <w:rPr>
          <w:sz w:val="24"/>
        </w:rPr>
        <w:t>The study’s primary limitation lies in the exclusive reliance on historical price data, without integrating external factors known to influence gold prices such as macroeconomic indicators, geopolitical events, government policies, or financial crises. Incorporating such factors into the forecasting models would likely enhance robustness and yield more comprehensive insights into future gold price movements.</w:t>
      </w:r>
    </w:p>
    <w:p w:rsidR="0004127A" w:rsidRDefault="00144FA5">
      <w:r>
        <w:rPr>
          <w:sz w:val="24"/>
        </w:rPr>
        <w:lastRenderedPageBreak/>
        <w:t>Another constraint stems from the experimental design focusing solely on model comparison rather than the development and fine-tuning of each architecture. Although a variety of forecasting methods exist, and hyperparameter selection significantly affects performance, the analysis did not exhaustively explore the optimal configuration of BiLSTM, CNN, or hybrid CNN-BiLSTM networks. Consequently, while the hybrid model demonstrated superior accuracy on the chosen data, further investigation with diverse datasets and rigorous parameter optimization is necessary to validate and generalize the findings.</w:t>
      </w:r>
    </w:p>
    <w:p w:rsidR="0004127A" w:rsidRDefault="00144FA5">
      <w:pPr>
        <w:pStyle w:val="21"/>
      </w:pPr>
      <w:r>
        <w:rPr>
          <w:sz w:val="36"/>
        </w:rPr>
        <w:t>6. Conclusion</w:t>
      </w:r>
    </w:p>
    <w:p w:rsidR="0004127A" w:rsidRDefault="00144FA5">
      <w:r>
        <w:rPr>
          <w:sz w:val="24"/>
        </w:rPr>
        <w:t xml:space="preserve">A comprehensive empirical exploration of contemporary deep learning methods for gold price forecasting is conducted. Among the architectures examined are Bi-directional Long Short-Term Memory (BiLSTM), Convolutional Neural Networks (CNN), and a hybrid model integrating CNN with BiLSTM (CNN-BiLSTM). Data preprocessing is applied to ensure reliability, and the models are trained and evaluated on a publicly available dataset spanning January 2010 to July 2022. Performance metrics indicate that the hybrid CNN-BiLSTM approach surpasses both individual models, suggesting its suitability for this application. The investigation also considers how variations in model configurations influence predictive accuracy, contributing valuable insights for future research endeavors </w:t>
      </w:r>
      <w:r>
        <w:rPr>
          <w:color w:val="000000"/>
          <w:sz w:val="24"/>
        </w:rPr>
        <w:t>[17]</w:t>
      </w:r>
      <w:r>
        <w:rPr>
          <w:sz w:val="24"/>
        </w:rPr>
        <w:t>.</w:t>
      </w:r>
    </w:p>
    <w:p w:rsidR="0004127A" w:rsidRDefault="00144FA5">
      <w:r>
        <w:rPr>
          <w:sz w:val="24"/>
        </w:rPr>
        <w:t>References:</w:t>
      </w:r>
    </w:p>
    <w:p w:rsidR="0004127A" w:rsidRDefault="00144FA5">
      <w:r>
        <w:rPr>
          <w:sz w:val="24"/>
        </w:rPr>
        <w:t xml:space="preserve">[1] X. Li, J. Wang, and C. Yang, "Risk prediction in financial management of listed companies based on optimized BP neural network under digital economy," Neural Computing and Applications, 2023. </w:t>
      </w:r>
      <w:hyperlink r:id="rId6">
        <w:r>
          <w:rPr>
            <w:color w:val="0000EE"/>
            <w:u w:val="single"/>
          </w:rPr>
          <w:t>[HTML]</w:t>
        </w:r>
      </w:hyperlink>
    </w:p>
    <w:p w:rsidR="0004127A" w:rsidRDefault="00144FA5">
      <w:r>
        <w:rPr>
          <w:sz w:val="24"/>
        </w:rPr>
        <w:t xml:space="preserve">[2] Q. Zhao, H. Li, X. Liu, and Y. Wang, "A Hybrid Model of Multi-Head Attention Enhanced BiLSTM, ARIMA, and XGBoost for Stock Price Forecasting Based on Wavelet Denoising.," Mathematics (2227-7390), 2025. </w:t>
      </w:r>
      <w:hyperlink r:id="rId7">
        <w:r>
          <w:rPr>
            <w:color w:val="0000EE"/>
            <w:u w:val="single"/>
          </w:rPr>
          <w:t>[HTML]</w:t>
        </w:r>
      </w:hyperlink>
    </w:p>
    <w:p w:rsidR="0004127A" w:rsidRDefault="00144FA5">
      <w:r>
        <w:rPr>
          <w:sz w:val="24"/>
        </w:rPr>
        <w:t xml:space="preserve">[3] Y. Li and M. Umair, "The protective nature of gold during times of oil price volatility: an analysis of the COVID-19 pandemic," The Extractive Industries and Society, 2023. </w:t>
      </w:r>
      <w:hyperlink r:id="rId8">
        <w:r>
          <w:rPr>
            <w:color w:val="0000EE"/>
            <w:u w:val="single"/>
          </w:rPr>
          <w:t>nih</w:t>
        </w:r>
        <w:r>
          <w:rPr>
            <w:color w:val="0000EE"/>
            <w:u w:val="single"/>
          </w:rPr>
          <w:t>.</w:t>
        </w:r>
        <w:r>
          <w:rPr>
            <w:color w:val="0000EE"/>
            <w:u w:val="single"/>
          </w:rPr>
          <w:t>gov</w:t>
        </w:r>
      </w:hyperlink>
    </w:p>
    <w:p w:rsidR="0004127A" w:rsidRDefault="00144FA5">
      <w:r>
        <w:rPr>
          <w:sz w:val="24"/>
        </w:rPr>
        <w:t xml:space="preserve">[4] W. Yiming, L. Xun, M. Umair, and A. Aizhan, "COVID-19 and the transformation of emerging economies: financialization, green bonds, and stock market volatility," Resources Policy, 2024. </w:t>
      </w:r>
      <w:hyperlink r:id="rId9">
        <w:r>
          <w:rPr>
            <w:color w:val="0000EE"/>
            <w:u w:val="single"/>
          </w:rPr>
          <w:t>[HT</w:t>
        </w:r>
        <w:r>
          <w:rPr>
            <w:color w:val="0000EE"/>
            <w:u w:val="single"/>
          </w:rPr>
          <w:t>M</w:t>
        </w:r>
        <w:r>
          <w:rPr>
            <w:color w:val="0000EE"/>
            <w:u w:val="single"/>
          </w:rPr>
          <w:t>L]</w:t>
        </w:r>
      </w:hyperlink>
    </w:p>
    <w:p w:rsidR="0004127A" w:rsidRDefault="00144FA5">
      <w:r>
        <w:rPr>
          <w:sz w:val="24"/>
        </w:rPr>
        <w:t xml:space="preserve">[5] C. Bagrecha, K. Singh, G. Sharma, and P. B. Saranya, "Forecasting silver prices: a univariate ARIMA approach and a proposed model for future direction," Mineral Economics, 2025. </w:t>
      </w:r>
      <w:hyperlink r:id="rId10">
        <w:r>
          <w:rPr>
            <w:color w:val="0000EE"/>
            <w:u w:val="single"/>
          </w:rPr>
          <w:t>[HTML]</w:t>
        </w:r>
      </w:hyperlink>
    </w:p>
    <w:p w:rsidR="0004127A" w:rsidRDefault="00144FA5">
      <w:r>
        <w:rPr>
          <w:sz w:val="24"/>
        </w:rPr>
        <w:lastRenderedPageBreak/>
        <w:t xml:space="preserve">[6] S. Pandit and X. Luo, "A novel prediction model to evaluate the dynamic interrelationship between gold and crude oil," International Journal of Data Science and Analytics, 2024. </w:t>
      </w:r>
      <w:hyperlink r:id="rId11">
        <w:r>
          <w:rPr>
            <w:color w:val="0000EE"/>
            <w:u w:val="single"/>
          </w:rPr>
          <w:t>springer.com</w:t>
        </w:r>
      </w:hyperlink>
    </w:p>
    <w:p w:rsidR="0004127A" w:rsidRDefault="00144FA5">
      <w:r>
        <w:rPr>
          <w:sz w:val="24"/>
        </w:rPr>
        <w:t xml:space="preserve">[7] Z. Bousbaa, J. Sanchez-Medina, and O. Bencharef, "Financial time series forecasting: a data stream mining-based system," Electronics, 2023. </w:t>
      </w:r>
      <w:hyperlink r:id="rId12">
        <w:r>
          <w:rPr>
            <w:color w:val="0000EE"/>
            <w:u w:val="single"/>
          </w:rPr>
          <w:t>mdpi.com</w:t>
        </w:r>
      </w:hyperlink>
    </w:p>
    <w:p w:rsidR="0004127A" w:rsidRDefault="00144FA5">
      <w:r>
        <w:rPr>
          <w:sz w:val="24"/>
        </w:rPr>
        <w:t xml:space="preserve">[8] X. Kong, Z. Chen, W. Liu, K. Ning, and L. Zhang, "Deep learning for time series forecasting: a survey," *International Journal of …*, 2025. </w:t>
      </w:r>
      <w:hyperlink r:id="rId13">
        <w:r>
          <w:rPr>
            <w:color w:val="0000EE"/>
            <w:u w:val="single"/>
          </w:rPr>
          <w:t>springer.com</w:t>
        </w:r>
      </w:hyperlink>
    </w:p>
    <w:p w:rsidR="0004127A" w:rsidRDefault="00144FA5">
      <w:r>
        <w:rPr>
          <w:sz w:val="24"/>
        </w:rPr>
        <w:t xml:space="preserve">[9] M. Ashraf, F. Anowar, J. H. Setu, and A. I. Chowdhury, "A survey on dimensionality reduction techniques for time-series data," IEEE, 2023. </w:t>
      </w:r>
      <w:hyperlink r:id="rId14">
        <w:r>
          <w:rPr>
            <w:color w:val="0000EE"/>
            <w:u w:val="single"/>
          </w:rPr>
          <w:t>ieee.org</w:t>
        </w:r>
      </w:hyperlink>
    </w:p>
    <w:p w:rsidR="0004127A" w:rsidRDefault="00144FA5">
      <w:r>
        <w:rPr>
          <w:sz w:val="24"/>
        </w:rPr>
        <w:t xml:space="preserve">[10] Y. Cheng, Z. Xu, Y. Chen, Y. Wang, Z. Lin, and J. Liu, "A Deep Learning Framework Integrating CNN and BiLSTM for Financial Systemic Risk Analysis and Prediction," arXiv preprint arXiv:XXXX.XXXXX, 2025. </w:t>
      </w:r>
      <w:hyperlink r:id="rId15">
        <w:r>
          <w:rPr>
            <w:color w:val="0000EE"/>
            <w:u w:val="single"/>
          </w:rPr>
          <w:t>[PDF]</w:t>
        </w:r>
      </w:hyperlink>
    </w:p>
    <w:p w:rsidR="0004127A" w:rsidRDefault="00144FA5">
      <w:r>
        <w:rPr>
          <w:sz w:val="24"/>
        </w:rPr>
        <w:t xml:space="preserve">[11] M. M. Taye, "Theoretical understanding of convolutional neural network: Concepts, architectures, applications, future directions," Computation, 2023. </w:t>
      </w:r>
      <w:hyperlink r:id="rId16">
        <w:r>
          <w:rPr>
            <w:color w:val="0000EE"/>
            <w:u w:val="single"/>
          </w:rPr>
          <w:t>mdpi.com</w:t>
        </w:r>
      </w:hyperlink>
    </w:p>
    <w:p w:rsidR="0004127A" w:rsidRDefault="00144FA5">
      <w:r>
        <w:rPr>
          <w:sz w:val="24"/>
        </w:rPr>
        <w:t xml:space="preserve">[12] Y. Wu, M. Sun, H. Zheng, J. Hu, Y. Liang, "Integrative Analysis of Financial Market Sentiment Using CNN and GRU for Risk Prediction and Alert Systems," in *Proceedings of the IEEE International Conference on Electronics and..., 2024*. </w:t>
      </w:r>
      <w:hyperlink r:id="rId17">
        <w:r>
          <w:rPr>
            <w:color w:val="0000EE"/>
            <w:u w:val="single"/>
          </w:rPr>
          <w:t>[PDF]</w:t>
        </w:r>
      </w:hyperlink>
    </w:p>
    <w:p w:rsidR="0004127A" w:rsidRDefault="00144FA5">
      <w:r>
        <w:rPr>
          <w:sz w:val="24"/>
        </w:rPr>
        <w:t xml:space="preserve">[13] V. Ramamoorthi, "Optimizing Cloud Load Forecasting with a CNN-BiLSTM Hybrid Model," Journal of Intelligent Automation and Computing, 2022. </w:t>
      </w:r>
      <w:hyperlink r:id="rId18">
        <w:r>
          <w:rPr>
            <w:color w:val="0000EE"/>
            <w:u w:val="single"/>
          </w:rPr>
          <w:t>researchgate.net</w:t>
        </w:r>
      </w:hyperlink>
    </w:p>
    <w:p w:rsidR="0004127A" w:rsidRDefault="00144FA5">
      <w:r>
        <w:rPr>
          <w:sz w:val="24"/>
        </w:rPr>
        <w:t xml:space="preserve">[14] P. Foroutan and S. Lahmiri, "Deep learning systems for forecasting the prices of crude oil and precious metals," Financial Innovation, 2024. </w:t>
      </w:r>
      <w:hyperlink r:id="rId19">
        <w:r>
          <w:rPr>
            <w:color w:val="0000EE"/>
            <w:u w:val="single"/>
          </w:rPr>
          <w:t>springer.com</w:t>
        </w:r>
      </w:hyperlink>
    </w:p>
    <w:p w:rsidR="0004127A" w:rsidRDefault="00144FA5">
      <w:r>
        <w:rPr>
          <w:sz w:val="24"/>
        </w:rPr>
        <w:t xml:space="preserve">[15] C. K. A. Reddy, V. Gopal, and R. Cutler, "DNSMOS P. 835: A non-intrusive perceptual objective speech quality metric to evaluate noise suppressors," in *ICASSP 2022*, 2022. </w:t>
      </w:r>
      <w:hyperlink r:id="rId20">
        <w:r>
          <w:rPr>
            <w:color w:val="0000EE"/>
            <w:u w:val="single"/>
          </w:rPr>
          <w:t>[PDF]</w:t>
        </w:r>
      </w:hyperlink>
    </w:p>
    <w:p w:rsidR="0004127A" w:rsidRDefault="00144FA5">
      <w:r>
        <w:rPr>
          <w:sz w:val="24"/>
        </w:rPr>
        <w:t xml:space="preserve">[16] A. Ampountolas, "Comparative analysis of machine learning, hybrid, and deep learning forecasting models: evidence from European financial markets and bitcoins," Forecasting, 2023. </w:t>
      </w:r>
      <w:hyperlink r:id="rId21">
        <w:r>
          <w:rPr>
            <w:color w:val="0000EE"/>
            <w:u w:val="single"/>
          </w:rPr>
          <w:t>mdpi.com</w:t>
        </w:r>
      </w:hyperlink>
    </w:p>
    <w:p w:rsidR="0004127A" w:rsidRDefault="00144FA5">
      <w:r>
        <w:rPr>
          <w:sz w:val="24"/>
        </w:rPr>
        <w:t xml:space="preserve">[17] A. Amini and R. Kalantari, "Gold price prediction by a CNN-Bi-LSTM model along with automatic parameter tuning," 2024. </w:t>
      </w:r>
      <w:hyperlink r:id="rId22">
        <w:r>
          <w:rPr>
            <w:color w:val="0000EE"/>
            <w:u w:val="single"/>
          </w:rPr>
          <w:t>ncbi.nlm.nih.gov</w:t>
        </w:r>
      </w:hyperlink>
    </w:p>
    <w:p w:rsidR="0004127A" w:rsidRDefault="00144FA5">
      <w:r>
        <w:rPr>
          <w:sz w:val="24"/>
        </w:rPr>
        <w:lastRenderedPageBreak/>
        <w:t xml:space="preserve">[18] B. Li, "Research on WNN Modeling for Gold Price Forecasting Based on Improved Artificial Bee Colony Algorithm," 2014. </w:t>
      </w:r>
      <w:hyperlink r:id="rId23">
        <w:r>
          <w:rPr>
            <w:color w:val="0000EE"/>
            <w:u w:val="single"/>
          </w:rPr>
          <w:t>ncbi.nlm.nih.gov</w:t>
        </w:r>
      </w:hyperlink>
    </w:p>
    <w:p w:rsidR="003E597C" w:rsidRDefault="00144FA5">
      <w:pPr>
        <w:rPr>
          <w:color w:val="0000EE"/>
          <w:u w:val="single"/>
        </w:rPr>
      </w:pPr>
      <w:r>
        <w:rPr>
          <w:sz w:val="24"/>
        </w:rPr>
        <w:t xml:space="preserve">[19] V. Shah and G. Shroff, "Forecasting Market Prices using DL with Data Augmentation and Meta-learning: ARIMA still wins!," 2021. </w:t>
      </w:r>
      <w:hyperlink r:id="rId24">
        <w:r>
          <w:rPr>
            <w:color w:val="0000EE"/>
            <w:u w:val="single"/>
          </w:rPr>
          <w:t>[PDF]</w:t>
        </w:r>
      </w:hyperlink>
    </w:p>
    <w:p w:rsidR="003E597C" w:rsidRDefault="003E597C">
      <w:pPr>
        <w:rPr>
          <w:color w:val="0000EE"/>
          <w:u w:val="single"/>
        </w:rPr>
      </w:pPr>
    </w:p>
    <w:p w:rsidR="006A46FB" w:rsidRPr="006A46FB" w:rsidRDefault="003E597C" w:rsidP="006A46FB">
      <w:pPr>
        <w:pStyle w:val="EndNoteBibliography"/>
        <w:spacing w:after="0"/>
        <w:ind w:left="720" w:hanging="720"/>
      </w:pPr>
      <w:r>
        <w:fldChar w:fldCharType="begin"/>
      </w:r>
      <w:r>
        <w:instrText xml:space="preserve"> ADDIN EN.REFLIST </w:instrText>
      </w:r>
      <w:r>
        <w:fldChar w:fldCharType="separate"/>
      </w:r>
      <w:r w:rsidR="006A46FB" w:rsidRPr="006A46FB">
        <w:t>[1]</w:t>
      </w:r>
      <w:r w:rsidR="006A46FB" w:rsidRPr="006A46FB">
        <w:tab/>
        <w:t xml:space="preserve">X. Li, J. Wang, and C. Yang, "Risk prediction in financial management of listed companies based on optimized BP neural network under digital economy," </w:t>
      </w:r>
      <w:r w:rsidR="006A46FB" w:rsidRPr="006A46FB">
        <w:rPr>
          <w:i/>
        </w:rPr>
        <w:t xml:space="preserve">Neural Computing and Applications, </w:t>
      </w:r>
      <w:r w:rsidR="006A46FB" w:rsidRPr="006A46FB">
        <w:t>vol. 35, no. 3, pp. 2045-2058, 2023.</w:t>
      </w:r>
    </w:p>
    <w:p w:rsidR="006A46FB" w:rsidRPr="006A46FB" w:rsidRDefault="006A46FB" w:rsidP="006A46FB">
      <w:pPr>
        <w:pStyle w:val="EndNoteBibliography"/>
        <w:spacing w:after="0"/>
        <w:ind w:left="720" w:hanging="720"/>
      </w:pPr>
      <w:r w:rsidRPr="006A46FB">
        <w:t>[2]</w:t>
      </w:r>
      <w:r w:rsidRPr="006A46FB">
        <w:tab/>
        <w:t xml:space="preserve">Q. Zhao, H. Li, X. Liu, and Y. Wang, "A Hybrid Model of Multi-Head Attention Enhanced BiLSTM, ARIMA, and XGBoost for Stock Price Forecasting Based on Wavelet Denoising," </w:t>
      </w:r>
      <w:r w:rsidRPr="006A46FB">
        <w:rPr>
          <w:i/>
        </w:rPr>
        <w:t xml:space="preserve">Mathematics (2227-7390), </w:t>
      </w:r>
      <w:r w:rsidRPr="006A46FB">
        <w:t>vol. 13, no. 16, 2025.</w:t>
      </w:r>
    </w:p>
    <w:p w:rsidR="006A46FB" w:rsidRPr="006A46FB" w:rsidRDefault="006A46FB" w:rsidP="006A46FB">
      <w:pPr>
        <w:pStyle w:val="EndNoteBibliography"/>
        <w:spacing w:after="0"/>
        <w:ind w:left="720" w:hanging="720"/>
      </w:pPr>
      <w:r w:rsidRPr="006A46FB">
        <w:t>[3]</w:t>
      </w:r>
      <w:r w:rsidRPr="006A46FB">
        <w:tab/>
        <w:t xml:space="preserve">Y. Li and M. Umair, "The protective nature of gold during times of oil price volatility: an analysis of the COVID-19 pandemic," </w:t>
      </w:r>
      <w:r w:rsidRPr="006A46FB">
        <w:rPr>
          <w:i/>
        </w:rPr>
        <w:t xml:space="preserve">The Extractive Industries and Society, </w:t>
      </w:r>
      <w:r w:rsidRPr="006A46FB">
        <w:t>vol. 15, p. 101284, 2023.</w:t>
      </w:r>
    </w:p>
    <w:p w:rsidR="006A46FB" w:rsidRPr="006A46FB" w:rsidRDefault="006A46FB" w:rsidP="006A46FB">
      <w:pPr>
        <w:pStyle w:val="EndNoteBibliography"/>
        <w:spacing w:after="0"/>
        <w:ind w:left="720" w:hanging="720"/>
      </w:pPr>
      <w:r w:rsidRPr="006A46FB">
        <w:t>[4]</w:t>
      </w:r>
      <w:r w:rsidRPr="006A46FB">
        <w:tab/>
        <w:t xml:space="preserve">W. Yiming, L. Xun, M. Umair, and A. Aizhan, "COVID-19 and the transformation of emerging economies: financialization, green bonds, and stock market volatility," </w:t>
      </w:r>
      <w:r w:rsidRPr="006A46FB">
        <w:rPr>
          <w:i/>
        </w:rPr>
        <w:t xml:space="preserve">Resources Policy, </w:t>
      </w:r>
      <w:r w:rsidRPr="006A46FB">
        <w:t>vol. 92, p. 104963, 2024.</w:t>
      </w:r>
    </w:p>
    <w:p w:rsidR="006A46FB" w:rsidRPr="006A46FB" w:rsidRDefault="006A46FB" w:rsidP="006A46FB">
      <w:pPr>
        <w:pStyle w:val="EndNoteBibliography"/>
        <w:spacing w:after="0"/>
        <w:ind w:left="720" w:hanging="720"/>
      </w:pPr>
      <w:r w:rsidRPr="006A46FB">
        <w:t>[5]</w:t>
      </w:r>
      <w:r w:rsidRPr="006A46FB">
        <w:tab/>
        <w:t xml:space="preserve">C. Bagrecha, K. Singh, G. Sharma, and P. Saranya, "Forecasting silver prices: a univariate ARIMA approach and a proposed model for future direction," </w:t>
      </w:r>
      <w:r w:rsidRPr="006A46FB">
        <w:rPr>
          <w:i/>
        </w:rPr>
        <w:t xml:space="preserve">Mineral Economics, </w:t>
      </w:r>
      <w:r w:rsidRPr="006A46FB">
        <w:t>vol. 38, no. 1, pp. 131-141, 2025.</w:t>
      </w:r>
    </w:p>
    <w:p w:rsidR="006A46FB" w:rsidRPr="006A46FB" w:rsidRDefault="006A46FB" w:rsidP="006A46FB">
      <w:pPr>
        <w:pStyle w:val="EndNoteBibliography"/>
        <w:spacing w:after="0"/>
        <w:ind w:left="720" w:hanging="720"/>
      </w:pPr>
      <w:r w:rsidRPr="006A46FB">
        <w:t>[6]</w:t>
      </w:r>
      <w:r w:rsidRPr="006A46FB">
        <w:tab/>
        <w:t xml:space="preserve">S. Pandit and X. Luo, "A novel prediction model to evaluate the dynamic interrelationship between gold and crude oil," </w:t>
      </w:r>
      <w:r w:rsidRPr="006A46FB">
        <w:rPr>
          <w:i/>
        </w:rPr>
        <w:t xml:space="preserve">International Journal of Data Science and Analytics, </w:t>
      </w:r>
      <w:r w:rsidRPr="006A46FB">
        <w:t>pp. 1-22, 2024.</w:t>
      </w:r>
    </w:p>
    <w:p w:rsidR="006A46FB" w:rsidRPr="006A46FB" w:rsidRDefault="006A46FB" w:rsidP="006A46FB">
      <w:pPr>
        <w:pStyle w:val="EndNoteBibliography"/>
        <w:spacing w:after="0"/>
        <w:ind w:left="720" w:hanging="720"/>
      </w:pPr>
      <w:r w:rsidRPr="006A46FB">
        <w:t>[7]</w:t>
      </w:r>
      <w:r w:rsidRPr="006A46FB">
        <w:tab/>
        <w:t xml:space="preserve">Z. Bousbaa, J. Sanchez-Medina, and O. Bencharef, "Financial time series forecasting: a data stream mining-based system," </w:t>
      </w:r>
      <w:r w:rsidRPr="006A46FB">
        <w:rPr>
          <w:i/>
        </w:rPr>
        <w:t xml:space="preserve">Electronics, </w:t>
      </w:r>
      <w:r w:rsidRPr="006A46FB">
        <w:t>vol. 12, no. 9, p. 2039, 2023.</w:t>
      </w:r>
    </w:p>
    <w:p w:rsidR="006A46FB" w:rsidRPr="006A46FB" w:rsidRDefault="006A46FB" w:rsidP="006A46FB">
      <w:pPr>
        <w:pStyle w:val="EndNoteBibliography"/>
        <w:spacing w:after="0"/>
        <w:ind w:left="720" w:hanging="720"/>
      </w:pPr>
      <w:r w:rsidRPr="006A46FB">
        <w:t>[8]</w:t>
      </w:r>
      <w:r w:rsidRPr="006A46FB">
        <w:tab/>
        <w:t>X. Kong</w:t>
      </w:r>
      <w:r w:rsidRPr="006A46FB">
        <w:rPr>
          <w:i/>
        </w:rPr>
        <w:t xml:space="preserve"> et al.</w:t>
      </w:r>
      <w:r w:rsidRPr="006A46FB">
        <w:t xml:space="preserve">, "Deep learning for time series forecasting: a survey," </w:t>
      </w:r>
      <w:r w:rsidRPr="006A46FB">
        <w:rPr>
          <w:i/>
        </w:rPr>
        <w:t xml:space="preserve">International Journal of Machine Learning and Cybernetics, </w:t>
      </w:r>
      <w:r w:rsidRPr="006A46FB">
        <w:t>pp. 1-34, 2025.</w:t>
      </w:r>
    </w:p>
    <w:p w:rsidR="006A46FB" w:rsidRPr="006A46FB" w:rsidRDefault="006A46FB" w:rsidP="006A46FB">
      <w:pPr>
        <w:pStyle w:val="EndNoteBibliography"/>
        <w:spacing w:after="0"/>
        <w:ind w:left="720" w:hanging="720"/>
      </w:pPr>
      <w:r w:rsidRPr="006A46FB">
        <w:t>[9]</w:t>
      </w:r>
      <w:r w:rsidRPr="006A46FB">
        <w:tab/>
        <w:t>M. Ashraf</w:t>
      </w:r>
      <w:r w:rsidRPr="006A46FB">
        <w:rPr>
          <w:i/>
        </w:rPr>
        <w:t xml:space="preserve"> et al.</w:t>
      </w:r>
      <w:r w:rsidRPr="006A46FB">
        <w:t xml:space="preserve">, "A survey on dimensionality reduction techniques for time-series data," </w:t>
      </w:r>
      <w:r w:rsidRPr="006A46FB">
        <w:rPr>
          <w:i/>
        </w:rPr>
        <w:t xml:space="preserve">IEEE Access, </w:t>
      </w:r>
      <w:r w:rsidRPr="006A46FB">
        <w:t>vol. 11, pp. 42909-42923, 2023.</w:t>
      </w:r>
    </w:p>
    <w:p w:rsidR="006A46FB" w:rsidRPr="006A46FB" w:rsidRDefault="006A46FB" w:rsidP="006A46FB">
      <w:pPr>
        <w:pStyle w:val="EndNoteBibliography"/>
        <w:spacing w:after="0"/>
        <w:ind w:left="720" w:hanging="720"/>
      </w:pPr>
      <w:r w:rsidRPr="006A46FB">
        <w:t>[10]</w:t>
      </w:r>
      <w:r w:rsidRPr="006A46FB">
        <w:tab/>
        <w:t xml:space="preserve">Y. Cheng, Z. Xu, Y. Chen, Y. Wang, Z. Lin, and J. Liu, "A Deep Learning Framework Integrating CNN and BiLSTM for Financial Systemic Risk Analysis and Prediction," </w:t>
      </w:r>
      <w:r w:rsidRPr="006A46FB">
        <w:rPr>
          <w:i/>
        </w:rPr>
        <w:t xml:space="preserve">arXiv preprint arXiv:2502.06847, </w:t>
      </w:r>
      <w:r w:rsidRPr="006A46FB">
        <w:t>2025.</w:t>
      </w:r>
    </w:p>
    <w:p w:rsidR="006A46FB" w:rsidRPr="006A46FB" w:rsidRDefault="006A46FB" w:rsidP="006A46FB">
      <w:pPr>
        <w:pStyle w:val="EndNoteBibliography"/>
        <w:spacing w:after="0"/>
        <w:ind w:left="720" w:hanging="720"/>
      </w:pPr>
      <w:r w:rsidRPr="006A46FB">
        <w:t>[11]</w:t>
      </w:r>
      <w:r w:rsidRPr="006A46FB">
        <w:tab/>
        <w:t xml:space="preserve">M. M. Taye, "Theoretical understanding of convolutional neural network: Concepts, architectures, applications, future directions," </w:t>
      </w:r>
      <w:r w:rsidRPr="006A46FB">
        <w:rPr>
          <w:i/>
        </w:rPr>
        <w:t xml:space="preserve">Computation, </w:t>
      </w:r>
      <w:r w:rsidRPr="006A46FB">
        <w:t>vol. 11, no. 3, p. 52, 2023.</w:t>
      </w:r>
    </w:p>
    <w:p w:rsidR="006A46FB" w:rsidRPr="006A46FB" w:rsidRDefault="006A46FB" w:rsidP="006A46FB">
      <w:pPr>
        <w:pStyle w:val="EndNoteBibliography"/>
        <w:spacing w:after="0"/>
        <w:ind w:left="720" w:hanging="720"/>
      </w:pPr>
      <w:r w:rsidRPr="006A46FB">
        <w:t>[12]</w:t>
      </w:r>
      <w:r w:rsidRPr="006A46FB">
        <w:tab/>
        <w:t xml:space="preserve">Y. Wu, M. Sun, H. Zheng, J. Hu, Y. Liang, and Z. Lin, "Integrative Analysis of Financial Market Sentiment Using CNN and GRU for Risk Prediction and Alert Systems," in </w:t>
      </w:r>
      <w:r w:rsidRPr="006A46FB">
        <w:rPr>
          <w:i/>
        </w:rPr>
        <w:t>2024 International Conference on Electronics and Devices, Computational Science (ICEDCS)</w:t>
      </w:r>
      <w:r w:rsidRPr="006A46FB">
        <w:t>, 2024, pp. 410-415: IEEE.</w:t>
      </w:r>
    </w:p>
    <w:p w:rsidR="006A46FB" w:rsidRPr="006A46FB" w:rsidRDefault="006A46FB" w:rsidP="006A46FB">
      <w:pPr>
        <w:pStyle w:val="EndNoteBibliography"/>
        <w:spacing w:after="0"/>
        <w:ind w:left="720" w:hanging="720"/>
      </w:pPr>
      <w:r w:rsidRPr="006A46FB">
        <w:t>[13]</w:t>
      </w:r>
      <w:r w:rsidRPr="006A46FB">
        <w:tab/>
        <w:t xml:space="preserve">V. Ramamoorthi, "Optimizing Cloud Load Forecasting with a CNN-BiLSTM Hybrid Model," </w:t>
      </w:r>
      <w:r w:rsidRPr="006A46FB">
        <w:rPr>
          <w:i/>
        </w:rPr>
        <w:t xml:space="preserve">International Journal of Intelligent Automation and Computing, </w:t>
      </w:r>
      <w:r w:rsidRPr="006A46FB">
        <w:t>vol. 5, no. 2, pp. 79-91, 2022.</w:t>
      </w:r>
    </w:p>
    <w:p w:rsidR="006A46FB" w:rsidRPr="006A46FB" w:rsidRDefault="006A46FB" w:rsidP="006A46FB">
      <w:pPr>
        <w:pStyle w:val="EndNoteBibliography"/>
        <w:spacing w:after="0"/>
        <w:ind w:left="720" w:hanging="720"/>
      </w:pPr>
      <w:r w:rsidRPr="006A46FB">
        <w:t>[14]</w:t>
      </w:r>
      <w:r w:rsidRPr="006A46FB">
        <w:tab/>
        <w:t xml:space="preserve">P. Foroutan and S. Lahmiri, "Deep learning systems for forecasting the prices of crude oil and precious metals," </w:t>
      </w:r>
      <w:r w:rsidRPr="006A46FB">
        <w:rPr>
          <w:i/>
        </w:rPr>
        <w:t xml:space="preserve">Financial Innovation, </w:t>
      </w:r>
      <w:r w:rsidRPr="006A46FB">
        <w:t>vol. 10, no. 1, p. 111, 2024.</w:t>
      </w:r>
    </w:p>
    <w:p w:rsidR="006A46FB" w:rsidRPr="006A46FB" w:rsidRDefault="006A46FB" w:rsidP="006A46FB">
      <w:pPr>
        <w:pStyle w:val="EndNoteBibliography"/>
        <w:spacing w:after="0"/>
        <w:ind w:left="720" w:hanging="720"/>
      </w:pPr>
      <w:r w:rsidRPr="006A46FB">
        <w:t>[15]</w:t>
      </w:r>
      <w:r w:rsidRPr="006A46FB">
        <w:tab/>
        <w:t xml:space="preserve">C. K. Reddy, V. Gopal, and R. Cutler, "DNSMOS P. 835: A non-intrusive perceptual objective speech quality metric to evaluate noise suppressors," in </w:t>
      </w:r>
      <w:r w:rsidRPr="006A46FB">
        <w:rPr>
          <w:i/>
        </w:rPr>
        <w:t xml:space="preserve">ICASSP 2022-2022 </w:t>
      </w:r>
      <w:r w:rsidRPr="006A46FB">
        <w:rPr>
          <w:i/>
        </w:rPr>
        <w:lastRenderedPageBreak/>
        <w:t>IEEE international conference on acoustics, speech and signal processing (ICASSP)</w:t>
      </w:r>
      <w:r w:rsidRPr="006A46FB">
        <w:t>, 2022, pp. 886-890: IEEE.</w:t>
      </w:r>
    </w:p>
    <w:p w:rsidR="006A46FB" w:rsidRPr="006A46FB" w:rsidRDefault="006A46FB" w:rsidP="006A46FB">
      <w:pPr>
        <w:pStyle w:val="EndNoteBibliography"/>
        <w:spacing w:after="0"/>
        <w:ind w:left="720" w:hanging="720"/>
      </w:pPr>
      <w:r w:rsidRPr="006A46FB">
        <w:t>[16]</w:t>
      </w:r>
      <w:r w:rsidRPr="006A46FB">
        <w:tab/>
        <w:t xml:space="preserve">A. Ampountolas, "Comparative analysis of machine learning, hybrid, and deep learning forecasting models: evidence from European financial markets and bitcoins," </w:t>
      </w:r>
      <w:r w:rsidRPr="006A46FB">
        <w:rPr>
          <w:i/>
        </w:rPr>
        <w:t xml:space="preserve">Forecasting, </w:t>
      </w:r>
      <w:r w:rsidRPr="006A46FB">
        <w:t>vol. 5, no. 2, pp. 472-486, 2023.</w:t>
      </w:r>
    </w:p>
    <w:p w:rsidR="006A46FB" w:rsidRPr="006A46FB" w:rsidRDefault="006A46FB" w:rsidP="006A46FB">
      <w:pPr>
        <w:pStyle w:val="EndNoteBibliography"/>
        <w:spacing w:after="0"/>
        <w:ind w:left="720" w:hanging="720"/>
      </w:pPr>
      <w:r w:rsidRPr="006A46FB">
        <w:t>[17]</w:t>
      </w:r>
      <w:r w:rsidRPr="006A46FB">
        <w:tab/>
        <w:t xml:space="preserve">A. Amini and R. Kalantari, "Gold price prediction by a CNN-Bi-LSTM model along with automatic parameter tuning," </w:t>
      </w:r>
      <w:r w:rsidRPr="006A46FB">
        <w:rPr>
          <w:i/>
        </w:rPr>
        <w:t xml:space="preserve">Plos one, </w:t>
      </w:r>
      <w:r w:rsidRPr="006A46FB">
        <w:t>vol. 19, no. 3, p. e0298426, 2024.</w:t>
      </w:r>
    </w:p>
    <w:p w:rsidR="006A46FB" w:rsidRPr="006A46FB" w:rsidRDefault="006A46FB" w:rsidP="006A46FB">
      <w:pPr>
        <w:pStyle w:val="EndNoteBibliography"/>
        <w:spacing w:after="0"/>
        <w:ind w:left="720" w:hanging="720"/>
      </w:pPr>
      <w:r w:rsidRPr="006A46FB">
        <w:t>[18]</w:t>
      </w:r>
      <w:r w:rsidRPr="006A46FB">
        <w:tab/>
        <w:t xml:space="preserve">M. Ghahramani and H. E. Najafabadi, "Compatible deep neural network framework with financial time series data, including data preprocessor, neural network model and trading strategy," </w:t>
      </w:r>
      <w:r w:rsidRPr="006A46FB">
        <w:rPr>
          <w:i/>
        </w:rPr>
        <w:t xml:space="preserve">arXiv preprint arXiv:2205.08382, </w:t>
      </w:r>
      <w:r w:rsidRPr="006A46FB">
        <w:t>2022.</w:t>
      </w:r>
    </w:p>
    <w:p w:rsidR="006A46FB" w:rsidRPr="006A46FB" w:rsidRDefault="006A46FB" w:rsidP="006A46FB">
      <w:pPr>
        <w:pStyle w:val="EndNoteBibliography"/>
        <w:spacing w:after="0"/>
        <w:ind w:left="720" w:hanging="720"/>
      </w:pPr>
      <w:r w:rsidRPr="006A46FB">
        <w:t>[19]</w:t>
      </w:r>
      <w:r w:rsidRPr="006A46FB">
        <w:tab/>
        <w:t xml:space="preserve">B. Tripathi and R. K. Sharma, "Modeling bitcoin prices using signal processing methods, bayesian optimization, and deep neural networks," </w:t>
      </w:r>
      <w:r w:rsidRPr="006A46FB">
        <w:rPr>
          <w:i/>
        </w:rPr>
        <w:t xml:space="preserve">Computational Economics, </w:t>
      </w:r>
      <w:r w:rsidRPr="006A46FB">
        <w:t>vol. 62, no. 4, pp. 1919-1945, 2023.</w:t>
      </w:r>
    </w:p>
    <w:p w:rsidR="006A46FB" w:rsidRPr="006A46FB" w:rsidRDefault="006A46FB" w:rsidP="006A46FB">
      <w:pPr>
        <w:pStyle w:val="EndNoteBibliography"/>
        <w:spacing w:after="0"/>
        <w:ind w:left="720" w:hanging="720"/>
      </w:pPr>
      <w:r w:rsidRPr="006A46FB">
        <w:t>[20]</w:t>
      </w:r>
      <w:r w:rsidRPr="006A46FB">
        <w:tab/>
        <w:t xml:space="preserve">P. D. Modi, K. Arshi, P. J. Kunz, and A. M. Zoubir, "A Data-driven Deep Learning Approach for Bitcoin Price Forecasting," </w:t>
      </w:r>
      <w:r w:rsidRPr="006A46FB">
        <w:rPr>
          <w:i/>
        </w:rPr>
        <w:t xml:space="preserve">arXiv preprint arXiv:2311.06280, </w:t>
      </w:r>
      <w:r w:rsidRPr="006A46FB">
        <w:t>2023.</w:t>
      </w:r>
    </w:p>
    <w:p w:rsidR="006A46FB" w:rsidRPr="006A46FB" w:rsidRDefault="006A46FB" w:rsidP="006A46FB">
      <w:pPr>
        <w:pStyle w:val="EndNoteBibliography"/>
        <w:spacing w:after="0"/>
        <w:ind w:left="720" w:hanging="720"/>
      </w:pPr>
      <w:r w:rsidRPr="006A46FB">
        <w:t>[21]</w:t>
      </w:r>
      <w:r w:rsidRPr="006A46FB">
        <w:tab/>
        <w:t xml:space="preserve">H. Gupta and A. Jaiswal, "A Study on Stock Forecasting Using Deep Learning and Statistical Models," </w:t>
      </w:r>
      <w:r w:rsidRPr="006A46FB">
        <w:rPr>
          <w:i/>
        </w:rPr>
        <w:t xml:space="preserve">arXiv preprint arXiv:2402.06689, </w:t>
      </w:r>
      <w:r w:rsidRPr="006A46FB">
        <w:t>2024.</w:t>
      </w:r>
    </w:p>
    <w:p w:rsidR="006A46FB" w:rsidRPr="006A46FB" w:rsidRDefault="006A46FB" w:rsidP="006A46FB">
      <w:pPr>
        <w:pStyle w:val="EndNoteBibliography"/>
        <w:spacing w:after="0"/>
        <w:ind w:left="720" w:hanging="720"/>
      </w:pPr>
      <w:r w:rsidRPr="006A46FB">
        <w:t>[22]</w:t>
      </w:r>
      <w:r w:rsidRPr="006A46FB">
        <w:tab/>
        <w:t xml:space="preserve">H. Ben Ameur, S. Boubaker, Z. Ftiti, W. Louhichi, and K. Tissaoui, "Forecasting commodity prices: empirical evidence using deep learning tools," </w:t>
      </w:r>
      <w:r w:rsidRPr="006A46FB">
        <w:rPr>
          <w:i/>
        </w:rPr>
        <w:t xml:space="preserve">Annals of Operations Research, </w:t>
      </w:r>
      <w:r w:rsidRPr="006A46FB">
        <w:t>vol. 339, no. 1, pp. 349-367, 2024.</w:t>
      </w:r>
    </w:p>
    <w:p w:rsidR="006A46FB" w:rsidRPr="006A46FB" w:rsidRDefault="006A46FB" w:rsidP="006A46FB">
      <w:pPr>
        <w:pStyle w:val="EndNoteBibliography"/>
        <w:spacing w:after="0"/>
        <w:ind w:left="720" w:hanging="720"/>
      </w:pPr>
      <w:r w:rsidRPr="006A46FB">
        <w:t>[23]</w:t>
      </w:r>
      <w:r w:rsidRPr="006A46FB">
        <w:tab/>
        <w:t xml:space="preserve">J. Zhang, L. Ye, and Y. Lai, "Stock price prediction using CNN-BiLSTM-Attention model," </w:t>
      </w:r>
      <w:r w:rsidRPr="006A46FB">
        <w:rPr>
          <w:i/>
        </w:rPr>
        <w:t xml:space="preserve">Mathematics, </w:t>
      </w:r>
      <w:r w:rsidRPr="006A46FB">
        <w:t>vol. 11, no. 9, p. 1985, 2023.</w:t>
      </w:r>
    </w:p>
    <w:p w:rsidR="006A46FB" w:rsidRPr="006A46FB" w:rsidRDefault="006A46FB" w:rsidP="006A46FB">
      <w:pPr>
        <w:pStyle w:val="EndNoteBibliography"/>
        <w:ind w:left="720" w:hanging="720"/>
      </w:pPr>
      <w:r w:rsidRPr="006A46FB">
        <w:t>[24]</w:t>
      </w:r>
      <w:r w:rsidRPr="006A46FB">
        <w:tab/>
        <w:t xml:space="preserve">Y. Chen and Z. Fu, "Multi-step ahead forecasting of the energy consumed by the residential and commercial sectors in the United States based on a hybrid CNN-BiLSTM model," </w:t>
      </w:r>
      <w:r w:rsidRPr="006A46FB">
        <w:rPr>
          <w:i/>
        </w:rPr>
        <w:t xml:space="preserve">Sustainability, </w:t>
      </w:r>
      <w:r w:rsidRPr="006A46FB">
        <w:t>vol. 15, no. 3, p. 1895, 2023.</w:t>
      </w:r>
    </w:p>
    <w:p w:rsidR="0004127A" w:rsidRDefault="003E597C" w:rsidP="006A46FB">
      <w:r>
        <w:fldChar w:fldCharType="end"/>
      </w:r>
    </w:p>
    <w:sectPr w:rsidR="00041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0DC010E"/>
    <w:multiLevelType w:val="multilevel"/>
    <w:tmpl w:val="36AAA5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F4117"/>
    <w:multiLevelType w:val="multilevel"/>
    <w:tmpl w:val="89561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37AEB"/>
    <w:multiLevelType w:val="multilevel"/>
    <w:tmpl w:val="B2CE3E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248E1"/>
    <w:multiLevelType w:val="multilevel"/>
    <w:tmpl w:val="6DC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9162D"/>
    <w:multiLevelType w:val="multilevel"/>
    <w:tmpl w:val="CF2C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E19C9"/>
    <w:multiLevelType w:val="multilevel"/>
    <w:tmpl w:val="C45EEA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A75D3"/>
    <w:multiLevelType w:val="multilevel"/>
    <w:tmpl w:val="E42AB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80210"/>
    <w:multiLevelType w:val="multilevel"/>
    <w:tmpl w:val="A3129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97D17"/>
    <w:multiLevelType w:val="multilevel"/>
    <w:tmpl w:val="63123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B5831"/>
    <w:multiLevelType w:val="multilevel"/>
    <w:tmpl w:val="463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E48BD"/>
    <w:multiLevelType w:val="multilevel"/>
    <w:tmpl w:val="8F38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0B53D7"/>
    <w:multiLevelType w:val="multilevel"/>
    <w:tmpl w:val="54D0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042E3"/>
    <w:multiLevelType w:val="multilevel"/>
    <w:tmpl w:val="89C834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32939"/>
    <w:multiLevelType w:val="multilevel"/>
    <w:tmpl w:val="3D5E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57D4F"/>
    <w:multiLevelType w:val="multilevel"/>
    <w:tmpl w:val="1B2846F4"/>
    <w:lvl w:ilvl="0">
      <w:start w:val="3"/>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4" w15:restartNumberingAfterBreak="0">
    <w:nsid w:val="757276C1"/>
    <w:multiLevelType w:val="multilevel"/>
    <w:tmpl w:val="41CA3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lvlOverride w:ilvl="0">
      <w:startOverride w:val="1"/>
    </w:lvlOverride>
  </w:num>
  <w:num w:numId="11">
    <w:abstractNumId w:val="10"/>
    <w:lvlOverride w:ilvl="0">
      <w:startOverride w:val="2"/>
    </w:lvlOverride>
  </w:num>
  <w:num w:numId="12">
    <w:abstractNumId w:val="23"/>
    <w:lvlOverride w:ilvl="0">
      <w:startOverride w:val="3"/>
    </w:lvlOverride>
  </w:num>
  <w:num w:numId="13">
    <w:abstractNumId w:val="17"/>
    <w:lvlOverride w:ilvl="0">
      <w:startOverride w:val="4"/>
    </w:lvlOverride>
  </w:num>
  <w:num w:numId="14">
    <w:abstractNumId w:val="24"/>
    <w:lvlOverride w:ilvl="0">
      <w:startOverride w:val="5"/>
    </w:lvlOverride>
  </w:num>
  <w:num w:numId="15">
    <w:abstractNumId w:val="20"/>
    <w:lvlOverride w:ilvl="0">
      <w:startOverride w:val="6"/>
    </w:lvlOverride>
  </w:num>
  <w:num w:numId="16">
    <w:abstractNumId w:val="15"/>
    <w:lvlOverride w:ilvl="0">
      <w:startOverride w:val="7"/>
    </w:lvlOverride>
  </w:num>
  <w:num w:numId="17">
    <w:abstractNumId w:val="21"/>
    <w:lvlOverride w:ilvl="0">
      <w:startOverride w:val="8"/>
    </w:lvlOverride>
  </w:num>
  <w:num w:numId="18">
    <w:abstractNumId w:val="14"/>
    <w:lvlOverride w:ilvl="0">
      <w:startOverride w:val="9"/>
    </w:lvlOverride>
  </w:num>
  <w:num w:numId="19">
    <w:abstractNumId w:val="11"/>
    <w:lvlOverride w:ilvl="0">
      <w:startOverride w:val="10"/>
    </w:lvlOverride>
  </w:num>
  <w:num w:numId="20">
    <w:abstractNumId w:val="13"/>
    <w:lvlOverride w:ilvl="0">
      <w:startOverride w:val="1"/>
    </w:lvlOverride>
  </w:num>
  <w:num w:numId="21">
    <w:abstractNumId w:val="16"/>
    <w:lvlOverride w:ilvl="0">
      <w:startOverride w:val="2"/>
    </w:lvlOverride>
  </w:num>
  <w:num w:numId="22">
    <w:abstractNumId w:val="9"/>
    <w:lvlOverride w:ilvl="0">
      <w:startOverride w:val="3"/>
    </w:lvlOverride>
  </w:num>
  <w:num w:numId="23">
    <w:abstractNumId w:val="19"/>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2dxetxg5w9ehewap1xz0d1w2p0drtv9tds&quot;&gt;gold pric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record-ids&gt;&lt;/item&gt;&lt;/Libraries&gt;"/>
  </w:docVars>
  <w:rsids>
    <w:rsidRoot w:val="00B47730"/>
    <w:rsid w:val="00034616"/>
    <w:rsid w:val="0004127A"/>
    <w:rsid w:val="0006063C"/>
    <w:rsid w:val="00144FA5"/>
    <w:rsid w:val="0015074B"/>
    <w:rsid w:val="0029639D"/>
    <w:rsid w:val="00326F90"/>
    <w:rsid w:val="00393F34"/>
    <w:rsid w:val="003A09DE"/>
    <w:rsid w:val="003E597C"/>
    <w:rsid w:val="003F1A3B"/>
    <w:rsid w:val="004143BC"/>
    <w:rsid w:val="00484926"/>
    <w:rsid w:val="0057698D"/>
    <w:rsid w:val="005C3BAE"/>
    <w:rsid w:val="005E799D"/>
    <w:rsid w:val="006118FE"/>
    <w:rsid w:val="00624636"/>
    <w:rsid w:val="00636021"/>
    <w:rsid w:val="006466A9"/>
    <w:rsid w:val="006A46FB"/>
    <w:rsid w:val="007B7905"/>
    <w:rsid w:val="008D0C99"/>
    <w:rsid w:val="00991702"/>
    <w:rsid w:val="00AA1D8D"/>
    <w:rsid w:val="00B47730"/>
    <w:rsid w:val="00C00545"/>
    <w:rsid w:val="00C21897"/>
    <w:rsid w:val="00C522B8"/>
    <w:rsid w:val="00C94591"/>
    <w:rsid w:val="00C96CF2"/>
    <w:rsid w:val="00CB0664"/>
    <w:rsid w:val="00D40C2C"/>
    <w:rsid w:val="00D678C3"/>
    <w:rsid w:val="00E6483A"/>
    <w:rsid w:val="00EA4070"/>
    <w:rsid w:val="00EC5DA9"/>
    <w:rsid w:val="00F42F4A"/>
    <w:rsid w:val="00F959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AB3B1"/>
  <w14:defaultImageDpi w14:val="300"/>
  <w15:docId w15:val="{66B45CFF-8539-4704-8A07-1D79DC18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dNoteBibliographyTitle">
    <w:name w:val="EndNote Bibliography Title"/>
    <w:basedOn w:val="a1"/>
    <w:link w:val="EndNoteBibliographyTitleChar"/>
    <w:rsid w:val="003E597C"/>
    <w:pPr>
      <w:spacing w:after="0"/>
      <w:jc w:val="center"/>
    </w:pPr>
    <w:rPr>
      <w:rFonts w:ascii="Cambria" w:hAnsi="Cambria"/>
      <w:noProof/>
    </w:rPr>
  </w:style>
  <w:style w:type="character" w:customStyle="1" w:styleId="EndNoteBibliographyTitleChar">
    <w:name w:val="EndNote Bibliography Title Char"/>
    <w:basedOn w:val="a2"/>
    <w:link w:val="EndNoteBibliographyTitle"/>
    <w:rsid w:val="003E597C"/>
    <w:rPr>
      <w:rFonts w:ascii="Cambria" w:hAnsi="Cambria"/>
      <w:noProof/>
    </w:rPr>
  </w:style>
  <w:style w:type="paragraph" w:customStyle="1" w:styleId="EndNoteBibliography">
    <w:name w:val="EndNote Bibliography"/>
    <w:basedOn w:val="a1"/>
    <w:link w:val="EndNoteBibliographyChar"/>
    <w:rsid w:val="003E597C"/>
    <w:pPr>
      <w:spacing w:line="240" w:lineRule="auto"/>
    </w:pPr>
    <w:rPr>
      <w:rFonts w:ascii="Cambria" w:hAnsi="Cambria"/>
      <w:noProof/>
    </w:rPr>
  </w:style>
  <w:style w:type="character" w:customStyle="1" w:styleId="EndNoteBibliographyChar">
    <w:name w:val="EndNote Bibliography Char"/>
    <w:basedOn w:val="a2"/>
    <w:link w:val="EndNoteBibliography"/>
    <w:rsid w:val="003E597C"/>
    <w:rPr>
      <w:rFonts w:ascii="Cambria" w:hAnsi="Cambria"/>
      <w:noProof/>
    </w:rPr>
  </w:style>
  <w:style w:type="paragraph" w:customStyle="1" w:styleId="paragraph">
    <w:name w:val="paragraph"/>
    <w:basedOn w:val="a1"/>
    <w:rsid w:val="00C52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2"/>
    <w:uiPriority w:val="99"/>
    <w:semiHidden/>
    <w:unhideWhenUsed/>
    <w:rsid w:val="00C522B8"/>
    <w:rPr>
      <w:color w:val="0000FF"/>
      <w:u w:val="single"/>
    </w:rPr>
  </w:style>
  <w:style w:type="character" w:styleId="aff2">
    <w:name w:val="FollowedHyperlink"/>
    <w:basedOn w:val="a2"/>
    <w:uiPriority w:val="99"/>
    <w:semiHidden/>
    <w:unhideWhenUsed/>
    <w:rsid w:val="005E799D"/>
    <w:rPr>
      <w:color w:val="800080" w:themeColor="followedHyperlink"/>
      <w:u w:val="single"/>
    </w:rPr>
  </w:style>
  <w:style w:type="character" w:customStyle="1" w:styleId="citation">
    <w:name w:val="citation"/>
    <w:basedOn w:val="a2"/>
    <w:rsid w:val="00C96CF2"/>
  </w:style>
  <w:style w:type="character" w:customStyle="1" w:styleId="citation-link">
    <w:name w:val="citation-link"/>
    <w:basedOn w:val="a2"/>
    <w:rsid w:val="00C96CF2"/>
  </w:style>
  <w:style w:type="paragraph" w:styleId="aff3">
    <w:name w:val="Normal (Web)"/>
    <w:basedOn w:val="a1"/>
    <w:uiPriority w:val="99"/>
    <w:semiHidden/>
    <w:unhideWhenUsed/>
    <w:rsid w:val="00F42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997115">
      <w:bodyDiv w:val="1"/>
      <w:marLeft w:val="0"/>
      <w:marRight w:val="0"/>
      <w:marTop w:val="0"/>
      <w:marBottom w:val="0"/>
      <w:divBdr>
        <w:top w:val="none" w:sz="0" w:space="0" w:color="auto"/>
        <w:left w:val="none" w:sz="0" w:space="0" w:color="auto"/>
        <w:bottom w:val="none" w:sz="0" w:space="0" w:color="auto"/>
        <w:right w:val="none" w:sz="0" w:space="0" w:color="auto"/>
      </w:divBdr>
    </w:div>
    <w:div w:id="589391087">
      <w:bodyDiv w:val="1"/>
      <w:marLeft w:val="0"/>
      <w:marRight w:val="0"/>
      <w:marTop w:val="0"/>
      <w:marBottom w:val="0"/>
      <w:divBdr>
        <w:top w:val="none" w:sz="0" w:space="0" w:color="auto"/>
        <w:left w:val="none" w:sz="0" w:space="0" w:color="auto"/>
        <w:bottom w:val="none" w:sz="0" w:space="0" w:color="auto"/>
        <w:right w:val="none" w:sz="0" w:space="0" w:color="auto"/>
      </w:divBdr>
    </w:div>
    <w:div w:id="1182670680">
      <w:bodyDiv w:val="1"/>
      <w:marLeft w:val="0"/>
      <w:marRight w:val="0"/>
      <w:marTop w:val="0"/>
      <w:marBottom w:val="0"/>
      <w:divBdr>
        <w:top w:val="none" w:sz="0" w:space="0" w:color="auto"/>
        <w:left w:val="none" w:sz="0" w:space="0" w:color="auto"/>
        <w:bottom w:val="none" w:sz="0" w:space="0" w:color="auto"/>
        <w:right w:val="none" w:sz="0" w:space="0" w:color="auto"/>
      </w:divBdr>
    </w:div>
    <w:div w:id="1957902107">
      <w:bodyDiv w:val="1"/>
      <w:marLeft w:val="0"/>
      <w:marRight w:val="0"/>
      <w:marTop w:val="0"/>
      <w:marBottom w:val="0"/>
      <w:divBdr>
        <w:top w:val="none" w:sz="0" w:space="0" w:color="auto"/>
        <w:left w:val="none" w:sz="0" w:space="0" w:color="auto"/>
        <w:bottom w:val="none" w:sz="0" w:space="0" w:color="auto"/>
        <w:right w:val="none" w:sz="0" w:space="0" w:color="auto"/>
      </w:divBdr>
    </w:div>
    <w:div w:id="2111007836">
      <w:bodyDiv w:val="1"/>
      <w:marLeft w:val="0"/>
      <w:marRight w:val="0"/>
      <w:marTop w:val="0"/>
      <w:marBottom w:val="0"/>
      <w:divBdr>
        <w:top w:val="none" w:sz="0" w:space="0" w:color="auto"/>
        <w:left w:val="none" w:sz="0" w:space="0" w:color="auto"/>
        <w:bottom w:val="none" w:sz="0" w:space="0" w:color="auto"/>
        <w:right w:val="none" w:sz="0" w:space="0" w:color="auto"/>
      </w:divBdr>
    </w:div>
    <w:div w:id="2123567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10242154/pdf/main.pdf" TargetMode="External"/><Relationship Id="rId13" Type="http://schemas.openxmlformats.org/officeDocument/2006/relationships/hyperlink" Target="https://link.springer.com/content/pdf/10.1007/s13042-025-02560-w.pdf" TargetMode="External"/><Relationship Id="rId18" Type="http://schemas.openxmlformats.org/officeDocument/2006/relationships/hyperlink" Target="https://www.researchgate.net/profile/Vijay-Ramamoorthi/publication/386567657_Optimizing_Cloud_Load_Forecasting_with_a_CNN-BiLSTM_Hybrid_Model/links/675703ed8eca147b25e57bfd/Optimizing-Cloud-Load-Forecasting-with-a-CNN-BiLSTM-Hybrid-Model.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dpi.com/2571-9394/5/2/26" TargetMode="External"/><Relationship Id="rId7" Type="http://schemas.openxmlformats.org/officeDocument/2006/relationships/hyperlink" Target="https://search.ebscohost.com/login.aspx?direct=true&amp;profile=ehost&amp;scope=site&amp;authtype=crawler&amp;jrnl=22277390&amp;AN=187653267&amp;h=XlTxNkqGJru%2BcN4J0v3clMT%2FR1XJ3uyXiTIKmHV8gj4twAMOYwzxmGI89RF%2BoejDp5E%2F7%2FfFaihXWOBBQtEVTg%3D%3D&amp;crl=c" TargetMode="External"/><Relationship Id="rId12" Type="http://schemas.openxmlformats.org/officeDocument/2006/relationships/hyperlink" Target="https://www.mdpi.com/2079-9292/12/9/2039" TargetMode="External"/><Relationship Id="rId17" Type="http://schemas.openxmlformats.org/officeDocument/2006/relationships/hyperlink" Target="https://arxiv.org/pdf/2412.1019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dpi.com/2079-3197/11/3/52" TargetMode="External"/><Relationship Id="rId20" Type="http://schemas.openxmlformats.org/officeDocument/2006/relationships/hyperlink" Target="https://arxiv.org/pdf/2110.01763" TargetMode="External"/><Relationship Id="rId1" Type="http://schemas.openxmlformats.org/officeDocument/2006/relationships/customXml" Target="../customXml/item1.xml"/><Relationship Id="rId6" Type="http://schemas.openxmlformats.org/officeDocument/2006/relationships/hyperlink" Target="https://link.springer.com/article/10.1007/s00521-022-07377-0" TargetMode="External"/><Relationship Id="rId11" Type="http://schemas.openxmlformats.org/officeDocument/2006/relationships/hyperlink" Target="https://link.springer.com/content/pdf/10.1007/s41060-024-00519-8.pdf" TargetMode="External"/><Relationship Id="rId24" Type="http://schemas.openxmlformats.org/officeDocument/2006/relationships/hyperlink" Target="https://arxiv.org/pdf/2110.10233" TargetMode="External"/><Relationship Id="rId5" Type="http://schemas.openxmlformats.org/officeDocument/2006/relationships/webSettings" Target="webSettings.xml"/><Relationship Id="rId15" Type="http://schemas.openxmlformats.org/officeDocument/2006/relationships/hyperlink" Target="https://arxiv.org/pdf/2502.06847" TargetMode="External"/><Relationship Id="rId23" Type="http://schemas.openxmlformats.org/officeDocument/2006/relationships/hyperlink" Target="https://www.ncbi.nlm.nih.gov/pmc/articles/PMC3950484/" TargetMode="External"/><Relationship Id="rId10" Type="http://schemas.openxmlformats.org/officeDocument/2006/relationships/hyperlink" Target="https://link.springer.com/article/10.1007/s13563-024-00461-y" TargetMode="External"/><Relationship Id="rId19" Type="http://schemas.openxmlformats.org/officeDocument/2006/relationships/hyperlink" Target="https://link.springer.com/content/pdf/10.1186/s40854-024-00637-z.pdf" TargetMode="External"/><Relationship Id="rId4" Type="http://schemas.openxmlformats.org/officeDocument/2006/relationships/settings" Target="settings.xml"/><Relationship Id="rId9" Type="http://schemas.openxmlformats.org/officeDocument/2006/relationships/hyperlink" Target="https://www.sciencedirect.com/science/article/pii/S0301420724003301" TargetMode="External"/><Relationship Id="rId14" Type="http://schemas.openxmlformats.org/officeDocument/2006/relationships/hyperlink" Target="https://ieeexplore.ieee.org/iel7/6287639/6514899/10107391.pdf" TargetMode="External"/><Relationship Id="rId22" Type="http://schemas.openxmlformats.org/officeDocument/2006/relationships/hyperlink" Target="https://www.ncbi.nlm.nih.gov/pmc/articles/PMC10919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F3583-AA5E-423A-85FA-170BFE1D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18</Pages>
  <Words>11183</Words>
  <Characters>63745</Characters>
  <Application>Microsoft Office Word</Application>
  <DocSecurity>0</DocSecurity>
  <Lines>531</Lines>
  <Paragraphs>149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74779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 Fattouh</cp:lastModifiedBy>
  <cp:revision>9</cp:revision>
  <dcterms:created xsi:type="dcterms:W3CDTF">2025-09-20T12:07:00Z</dcterms:created>
  <dcterms:modified xsi:type="dcterms:W3CDTF">2025-09-21T10:21:00Z</dcterms:modified>
  <cp:category/>
</cp:coreProperties>
</file>