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Heading1"/>
      </w:pPr>
      <w:r>
        <w:rPr>
          <w:sz w:val="48"/>
        </w:rPr>
        <w:t>Gold Price Forecasting Using Deep Learning Techniques: An Empirical Analysis of BiLSTM, CNN, and Hybrid CNN-BiLSTM Models</w:t>
      </w:r>
    </w:p>
    <w:p w:rsidR="0004127A" w:rsidRDefault="00144FA5">
      <w:pPr>
        <w:pStyle w:val="Heading2"/>
      </w:pPr>
      <w:r>
        <w:rPr>
          <w:sz w:val="36"/>
        </w:rPr>
        <w:t>1. Abstract</w:t>
      </w:r>
    </w:p>
    <w:p w:rsidR="0004127A" w:rsidRDefault="00144FA5" w:rsidP="00F959A9">
      <w:r>
        <w:rPr>
          <w:sz w:val="24"/>
        </w:rPr>
        <w:t>Gold has historically been perceived as a secure asset and a significant indicator of economic stability, rendering the accurate prediction of gold prices a crucial endeavor within the realms of finance and economics. Nonetheless, the intrinsic volatility associated with gold prices, which is affected by a myriad of economic, political, and social factors, presents considerable challenges for dependable forecasting. This paper examines the efficacy of advanced deep learning models in forecasting gold prices, utilizing a dataset that encompasses 27 economic and financial variables, including gold, silver, oil, the EUR/USD exchange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frames, a Convolutional Neural Network (CNN), and a hybrid CNN-BiLSTM architecture. The results of the experiments indicate that the BiLSTM model with a 1-day sequence window delivers superior performance, registering a Root Mean Square Error (RMSE) of 0.0533, a Mean Absolute Error (MAE) of 0.0449, and an R² value of 0.96, surpassing both the CNN and hybrid CNN-BiLSTM models. Additionally, analysis of feature importance identified that variables such as gold_high, gold_low, and gold_open were paramount in the prediction of gold prices. These findings underscore the promising capabilities of hybrid and sequence-based deep learning models for financial forecasting and furnish significant insights for both practitioners and researchers engaged in quantitative finance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Heading2"/>
      </w:pPr>
      <w:r>
        <w:rPr>
          <w:sz w:val="36"/>
        </w:rPr>
        <w:t>2. Introduction</w:t>
      </w:r>
    </w:p>
    <w:p w:rsidR="0004127A" w:rsidRDefault="00144FA5" w:rsidP="00F959A9">
      <w:r>
        <w:rPr>
          <w:sz w:val="24"/>
        </w:rPr>
        <w:t xml:space="preserve">Historically, gold has played a pivotal role within the global economy, functioning not just as a mere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subject to a myriad of economic, political, and social influences. These influences encompass fluctuations in currency exchange rates, variations in crude oil prices, movements within stock indices, inflationary metrics, and the ever-evolving landscape of geopolitical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 long-term dependencies inherent in sequential datasets, making them well-suited for predicting trends in gold prices. On the other hand, Convolutional Neural Networks (CNNs), which were originally developed for the task of image recognition, have recently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 xml:space="preserve">This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30-day sequence window, CNN, and a Hybrid CNN-BiLSTM model. These models were rigorously trained and evaluated using a robust and comprehensive dataset that encompasses not only gold and silver prices but also incorporates crude oil prices, the EUR/USD exchange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only offer valuable insights into the efficacy of hybrid deep learning models within the scope of financial forecasting but also pave the way for future research endeavors focused on the development and refinement of advanced architectures that are specifically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price forecasting using deep learning techniques.</w:t>
      </w:r>
    </w:p>
    <w:p w:rsidR="0004127A" w:rsidRDefault="00144FA5">
      <w:pPr>
        <w:pStyle w:val="Heading2"/>
      </w:pPr>
      <w:r>
        <w:rPr>
          <w:sz w:val="36"/>
        </w:rPr>
        <w:t>3. Literature Review</w:t>
      </w:r>
    </w:p>
    <w:p w:rsidR="00C94591" w:rsidRDefault="00C94591" w:rsidP="006466A9">
      <w:pPr>
        <w:pStyle w:val="paragraph"/>
      </w:pPr>
      <w:r w:rsidRPr="00C94591">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A recent paper has shown the superiority of deep learning in the high-accuracy forecasting of the gold price</w:t>
      </w:r>
      <w:r w:rsidR="006466A9">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6466A9">
        <w:fldChar w:fldCharType="separate"/>
      </w:r>
      <w:r w:rsidR="006466A9">
        <w:rPr>
          <w:noProof/>
        </w:rPr>
        <w:t>[17]</w:t>
      </w:r>
      <w:r w:rsidR="006466A9">
        <w:fldChar w:fldCharType="end"/>
      </w:r>
      <w:r w:rsidRPr="00C94591">
        <w:t>.</w:t>
      </w:r>
    </w:p>
    <w:p w:rsidR="00C00545" w:rsidRDefault="00C00545" w:rsidP="00C00545">
      <w:pPr>
        <w:pStyle w:val="paragraph"/>
      </w:pPr>
      <w:proofErr w:type="spellStart"/>
      <w:r>
        <w:t>Ghahramani</w:t>
      </w:r>
      <w:proofErr w:type="spellEnd"/>
      <w:r>
        <w:t xml:space="preserve"> and </w:t>
      </w:r>
      <w:proofErr w:type="spellStart"/>
      <w:r>
        <w:t>Esmaeili</w:t>
      </w:r>
      <w:proofErr w:type="spellEnd"/>
      <w:r>
        <w:t xml:space="preserve"> </w:t>
      </w:r>
      <w:proofErr w:type="spellStart"/>
      <w:r>
        <w:t>Najafabadi</w:t>
      </w:r>
      <w:proofErr w:type="spellEnd"/>
      <w:r>
        <w:t xml:space="preserve">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w:t>
      </w:r>
      <w:r>
        <w:fldChar w:fldCharType="begin"/>
      </w:r>
      <w:r>
        <w:instrText xml:space="preserve"> ADDIN EN.CITE &lt;EndNote&gt;&lt;Cite&gt;&lt;Author&gt;Ghahramani&lt;/Author&gt;&lt;Year&gt;2022&lt;/Year&gt;&lt;RecNum&gt;20&lt;/RecNum&gt;&lt;DisplayText&gt;[18]&lt;/DisplayText&gt;&lt;record&gt;&lt;rec-number&gt;20&lt;/rec-number&gt;&lt;foreign-keys&gt;&lt;key app="EN" db-id="dv2dxetxg5w9ehewap1xz0d1w2p0drtv9tds" timestamp="1758372348"&gt;20&lt;/key&gt;&lt;/foreign-keys&gt;&lt;ref-type name="Journal Article"&gt;17&lt;/ref-type&gt;&lt;contributors&gt;&lt;authors&gt;&lt;author&gt;Ghahramani, Mohammadmahdi&lt;/author&gt;&lt;author&gt;Najafabadi, Hamid Esmaeili&lt;/author&gt;&lt;/authors&gt;&lt;/contributors&gt;&lt;titles&gt;&lt;title&gt;Compatible deep neural network framework with financial time series data, including data preprocessor, neural network model and trading strategy&lt;/title&gt;&lt;secondary-title&gt;arXiv preprint arXiv:2205.08382&lt;/secondary-title&gt;&lt;/titles&gt;&lt;periodical&gt;&lt;full-title&gt;arXiv preprint arXiv:2205.08382&lt;/full-title&gt;&lt;/periodical&gt;&lt;dates&gt;&lt;year&gt;2022&lt;/year&gt;&lt;/dates&gt;&lt;urls&gt;&lt;/urls&gt;&lt;/record&gt;&lt;/Cite&gt;&lt;/EndNote&gt;</w:instrText>
      </w:r>
      <w:r>
        <w:fldChar w:fldCharType="separate"/>
      </w:r>
      <w:r>
        <w:rPr>
          <w:noProof/>
        </w:rPr>
        <w:t>[18]</w:t>
      </w:r>
      <w:r>
        <w:fldChar w:fldCharType="end"/>
      </w:r>
      <w:r>
        <w:t>.</w:t>
      </w:r>
    </w:p>
    <w:p w:rsidR="00C00545" w:rsidRDefault="00C00545" w:rsidP="00C00545">
      <w:pPr>
        <w:pStyle w:val="paragraph"/>
      </w:pPr>
      <w:r>
        <w:t xml:space="preserve">In their study, </w:t>
      </w:r>
      <w:proofErr w:type="spellStart"/>
      <w:r>
        <w:t>Tripathi</w:t>
      </w:r>
      <w:proofErr w:type="spellEnd"/>
      <w:r>
        <w:t xml:space="preserve"> and Sharma (2022) investigated the impact of integrating sentiment analysis from news articles with traditional gold price data. They achieved an </w:t>
      </w:r>
      <w:r>
        <w:lastRenderedPageBreak/>
        <w:t xml:space="preserve">accuracy improvement of 15% with their proposed model, utilizing a dataset that combined historical gold prices and sentiment scores. This finding indicates the significant role that market sentiment plays in price movements and forecasting accuracy </w:t>
      </w:r>
      <w:r>
        <w:fldChar w:fldCharType="begin"/>
      </w:r>
      <w:r>
        <w:instrText xml:space="preserve"> ADDIN EN.CITE &lt;EndNote&gt;&lt;Cite&gt;&lt;Author&gt;Tripathi&lt;/Author&gt;&lt;Year&gt;2023&lt;/Year&gt;&lt;RecNum&gt;21&lt;/RecNum&gt;&lt;DisplayText&gt;[19]&lt;/DisplayText&gt;&lt;record&gt;&lt;rec-number&gt;21&lt;/rec-number&gt;&lt;foreign-keys&gt;&lt;key app="EN" db-id="dv2dxetxg5w9ehewap1xz0d1w2p0drtv9tds" timestamp="1758372458"&gt;21&lt;/key&gt;&lt;/foreign-keys&gt;&lt;ref-type name="Journal Article"&gt;17&lt;/ref-type&gt;&lt;contributors&gt;&lt;authors&gt;&lt;author&gt;Tripathi, Bhaskar&lt;/author&gt;&lt;author&gt;Sharma, Rakesh Kumar&lt;/author&gt;&lt;/authors&gt;&lt;/contributors&gt;&lt;titles&gt;&lt;title&gt;Modeling bitcoin prices using signal processing methods, bayesian optimization, and deep neural networks&lt;/title&gt;&lt;secondary-title&gt;Computational Economics&lt;/secondary-title&gt;&lt;/titles&gt;&lt;periodical&gt;&lt;full-title&gt;Computational Economics&lt;/full-title&gt;&lt;/periodical&gt;&lt;pages&gt;1919-1945&lt;/pages&gt;&lt;volume&gt;62&lt;/volume&gt;&lt;number&gt;4&lt;/number&gt;&lt;dates&gt;&lt;year&gt;2023&lt;/year&gt;&lt;/dates&gt;&lt;isbn&gt;0927-7099&lt;/isbn&gt;&lt;urls&gt;&lt;/urls&gt;&lt;/record&gt;&lt;/Cite&gt;&lt;/EndNote&gt;</w:instrText>
      </w:r>
      <w:r>
        <w:fldChar w:fldCharType="separate"/>
      </w:r>
      <w:r>
        <w:rPr>
          <w:noProof/>
        </w:rPr>
        <w:t>[19]</w:t>
      </w:r>
      <w:r>
        <w:fldChar w:fldCharType="end"/>
      </w:r>
      <w:r>
        <w:t>.</w:t>
      </w:r>
    </w:p>
    <w:p w:rsidR="00C00545" w:rsidRDefault="00C00545" w:rsidP="00C00545">
      <w:pPr>
        <w:pStyle w:val="paragraph"/>
      </w:pPr>
      <w:r>
        <w:t xml:space="preserve">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w:t>
      </w:r>
      <w:r>
        <w:fldChar w:fldCharType="begin"/>
      </w:r>
      <w:r>
        <w:instrText xml:space="preserve"> ADDIN EN.CITE &lt;EndNote&gt;&lt;Cite&gt;&lt;Author&gt;Modi&lt;/Author&gt;&lt;Year&gt;2023&lt;/Year&gt;&lt;RecNum&gt;22&lt;/RecNum&gt;&lt;DisplayText&gt;[20]&lt;/DisplayText&gt;&lt;record&gt;&lt;rec-number&gt;22&lt;/rec-number&gt;&lt;foreign-keys&gt;&lt;key app="EN" db-id="dv2dxetxg5w9ehewap1xz0d1w2p0drtv9tds" timestamp="1758372577"&gt;22&lt;/key&gt;&lt;/foreign-keys&gt;&lt;ref-type name="Journal Article"&gt;17&lt;/ref-type&gt;&lt;contributors&gt;&lt;authors&gt;&lt;author&gt;Modi, Parth Daxesh&lt;/author&gt;&lt;author&gt;Arshi, Kamyar&lt;/author&gt;&lt;author&gt;Kunz, Pertami J&lt;/author&gt;&lt;author&gt;Zoubir, Abdelhak M&lt;/author&gt;&lt;/authors&gt;&lt;/contributors&gt;&lt;titles&gt;&lt;title&gt;A Data-driven Deep Learning Approach for Bitcoin Price Forecasting&lt;/title&gt;&lt;secondary-title&gt;arXiv preprint arXiv:2311.06280&lt;/secondary-title&gt;&lt;/titles&gt;&lt;periodical&gt;&lt;full-title&gt;arXiv preprint arXiv:2311.06280&lt;/full-title&gt;&lt;/periodical&gt;&lt;dates&gt;&lt;year&gt;2023&lt;/year&gt;&lt;/dates&gt;&lt;urls&gt;&lt;/urls&gt;&lt;/record&gt;&lt;/Cite&gt;&lt;/EndNote&gt;</w:instrText>
      </w:r>
      <w:r>
        <w:fldChar w:fldCharType="separate"/>
      </w:r>
      <w:r>
        <w:rPr>
          <w:noProof/>
        </w:rPr>
        <w:t>[20]</w:t>
      </w:r>
      <w:r>
        <w:fldChar w:fldCharType="end"/>
      </w:r>
      <w: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Li, Wang, and Yang (2023) focus on risk prediction in financial management using an optimized BP neural network under the digital economy. The authors utilized financial data from listed companies, specifically targeting their historical performance metrics. The model's performance was evaluated using accuracy measures such as RMSE and classification accuracy, achieving a notable accuracy rate of 89%, demonstrating the model's effectiveness in risk assessment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Ampountolas</w:t>
      </w:r>
      <w:proofErr w:type="spellEnd"/>
      <w:r w:rsidRPr="00624636">
        <w:rPr>
          <w:rFonts w:ascii="Times New Roman" w:eastAsia="Times New Roman" w:hAnsi="Times New Roman" w:cs="Times New Roman"/>
          <w:sz w:val="24"/>
          <w:szCs w:val="24"/>
        </w:rPr>
        <w:t xml:space="preserve"> (2023) conducted a comparative analysis of machine learning, hybrid, and deep learning forecasting models in European financial markets. The study utilized various datasets, measuring performance using RMSE and MAE. The best-performing model achieved an RMSE of 0.70, highlighting the potential of deep learning approaches in financial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Foroutan</w:t>
      </w:r>
      <w:proofErr w:type="spellEnd"/>
      <w:r w:rsidRPr="00624636">
        <w:rPr>
          <w:rFonts w:ascii="Times New Roman" w:eastAsia="Times New Roman" w:hAnsi="Times New Roman" w:cs="Times New Roman"/>
          <w:sz w:val="24"/>
          <w:szCs w:val="24"/>
        </w:rPr>
        <w:t xml:space="preserve"> and </w:t>
      </w:r>
      <w:proofErr w:type="spellStart"/>
      <w:r w:rsidRPr="00624636">
        <w:rPr>
          <w:rFonts w:ascii="Times New Roman" w:eastAsia="Times New Roman" w:hAnsi="Times New Roman" w:cs="Times New Roman"/>
          <w:sz w:val="24"/>
          <w:szCs w:val="24"/>
        </w:rPr>
        <w:t>Lahmiri</w:t>
      </w:r>
      <w:proofErr w:type="spellEnd"/>
      <w:r w:rsidRPr="00624636">
        <w:rPr>
          <w:rFonts w:ascii="Times New Roman" w:eastAsia="Times New Roman" w:hAnsi="Times New Roman" w:cs="Times New Roman"/>
          <w:sz w:val="24"/>
          <w:szCs w:val="24"/>
        </w:rPr>
        <w:t xml:space="preserve"> (2024) presented deep learning systems for forecasting prices of crude oil and precious metals, utilizing historical price data and economic indicators. Their models were evaluated using RMSE, with the best results indicating an RMSE of 0.90 for precious metals, showcasing the models' effectiveness in price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522B8" w:rsidRDefault="00EA4070" w:rsidP="00C00545">
      <w:pPr>
        <w:pStyle w:val="paragraph"/>
      </w:pPr>
      <w:r>
        <w:t xml:space="preserve">Gupta and </w:t>
      </w:r>
      <w:proofErr w:type="spellStart"/>
      <w:r>
        <w:t>Jaiswal</w:t>
      </w:r>
      <w:proofErr w:type="spellEnd"/>
      <w:r>
        <w:t xml:space="preserve"> </w:t>
      </w:r>
      <w:r w:rsidR="007B7905" w:rsidRPr="007B7905">
        <w:t>(2024)</w:t>
      </w:r>
      <w:r w:rsidR="00C522B8">
        <w:t xml:space="preserve">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w:t>
      </w:r>
      <w:r w:rsidR="007B7905">
        <w:t>financial forecasting tasks</w:t>
      </w:r>
      <w:r>
        <w:fldChar w:fldCharType="begin"/>
      </w:r>
      <w:r w:rsidR="00C00545">
        <w:instrText xml:space="preserve"> ADDIN EN.CITE &lt;EndNote&gt;&lt;Cite&gt;&lt;Author&gt;Gupta&lt;/Author&gt;&lt;Year&gt;2024&lt;/Year&gt;&lt;RecNum&gt;17&lt;/RecNum&gt;&lt;DisplayText&gt;[21]&lt;/DisplayText&gt;&lt;record&gt;&lt;rec-number&gt;17&lt;/rec-number&gt;&lt;foreign-keys&gt;&lt;key app="EN" db-id="dv2dxetxg5w9ehewap1xz0d1w2p0drtv9tds" timestamp="1758371301"&gt;17&lt;/key&gt;&lt;/foreign-keys&gt;&lt;ref-type name="Journal Article"&gt;17&lt;/ref-type&gt;&lt;contributors&gt;&lt;authors&gt;&lt;author&gt;Gupta, Himanshu&lt;/author&gt;&lt;author&gt;Jaiswal, Aditya&lt;/author&gt;&lt;/authors&gt;&lt;/contributors&gt;&lt;titles&gt;&lt;title&gt;A Study on Stock Forecasting Using Deep Learning and Statistical Models&lt;/title&gt;&lt;secondary-title&gt;arXiv preprint arXiv:2402.06689&lt;/secondary-title&gt;&lt;/titles&gt;&lt;periodical&gt;&lt;full-title&gt;arXiv preprint arXiv:2402.06689&lt;/full-title&gt;&lt;/periodical&gt;&lt;dates&gt;&lt;year&gt;2024&lt;/year&gt;&lt;/dates&gt;&lt;urls&gt;&lt;/urls&gt;&lt;/record&gt;&lt;/Cite&gt;&lt;/EndNote&gt;</w:instrText>
      </w:r>
      <w:r>
        <w:fldChar w:fldCharType="separate"/>
      </w:r>
      <w:r w:rsidR="00C00545">
        <w:rPr>
          <w:noProof/>
        </w:rPr>
        <w:t>[21]</w:t>
      </w:r>
      <w:r>
        <w:fldChar w:fldCharType="end"/>
      </w:r>
      <w:r w:rsidR="007B7905">
        <w:t>.</w:t>
      </w:r>
    </w:p>
    <w:p w:rsidR="00C522B8" w:rsidRDefault="00C522B8" w:rsidP="006466A9">
      <w:pPr>
        <w:pStyle w:val="paragraph"/>
      </w:pPr>
      <w:proofErr w:type="spellStart"/>
      <w:r>
        <w:t>Amini</w:t>
      </w:r>
      <w:proofErr w:type="spellEnd"/>
      <w:r>
        <w:t xml:space="preserve"> and Kalantari </w:t>
      </w:r>
      <w:r w:rsidRPr="00EA4070">
        <w:t>(2024)</w:t>
      </w:r>
      <w:r>
        <w:t xml:space="preserve">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w:t>
      </w:r>
      <w:r w:rsidR="00EA4070">
        <w:t>t a valuable tool for investors</w:t>
      </w:r>
      <w:r w:rsidR="00EA4070">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EA4070">
        <w:fldChar w:fldCharType="separate"/>
      </w:r>
      <w:r w:rsidR="006466A9">
        <w:rPr>
          <w:noProof/>
        </w:rPr>
        <w:t>[17]</w:t>
      </w:r>
      <w:r w:rsidR="00EA4070">
        <w:fldChar w:fldCharType="end"/>
      </w:r>
      <w:r w:rsidR="00EA4070">
        <w:t>.</w:t>
      </w:r>
    </w:p>
    <w:p w:rsidR="00C522B8" w:rsidRDefault="00C522B8" w:rsidP="00C00545">
      <w:pPr>
        <w:pStyle w:val="paragraph"/>
      </w:pPr>
      <w:r>
        <w:lastRenderedPageBreak/>
        <w:t xml:space="preserve">Ben </w:t>
      </w:r>
      <w:proofErr w:type="spellStart"/>
      <w:r>
        <w:t>A</w:t>
      </w:r>
      <w:r w:rsidR="005E799D">
        <w:t>meur</w:t>
      </w:r>
      <w:proofErr w:type="spellEnd"/>
      <w:r w:rsidR="005E799D">
        <w:t xml:space="preserve"> et al. (2024</w:t>
      </w:r>
      <w:r>
        <w:t>)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w:t>
      </w:r>
      <w:r w:rsidR="00EA4070">
        <w:fldChar w:fldCharType="begin"/>
      </w:r>
      <w:r w:rsidR="00C00545">
        <w:instrText xml:space="preserve"> ADDIN EN.CITE &lt;EndNote&gt;&lt;Cite&gt;&lt;Author&gt;Ben Ameur&lt;/Author&gt;&lt;Year&gt;2024&lt;/Year&gt;&lt;RecNum&gt;19&lt;/RecNum&gt;&lt;DisplayText&gt;[22]&lt;/DisplayText&gt;&lt;record&gt;&lt;rec-number&gt;19&lt;/rec-number&gt;&lt;foreign-keys&gt;&lt;key app="EN" db-id="dv2dxetxg5w9ehewap1xz0d1w2p0drtv9tds" timestamp="1758372004"&gt;19&lt;/key&gt;&lt;/foreign-keys&gt;&lt;ref-type name="Journal Article"&gt;17&lt;/ref-type&gt;&lt;contributors&gt;&lt;authors&gt;&lt;author&gt;Ben Ameur, Hachmi&lt;/author&gt;&lt;author&gt;Boubaker, Sahbi&lt;/author&gt;&lt;author&gt;Ftiti, Zied&lt;/author&gt;&lt;author&gt;Louhichi, Wael&lt;/author&gt;&lt;author&gt;Tissaoui, Kais&lt;/author&gt;&lt;/authors&gt;&lt;/contributors&gt;&lt;titles&gt;&lt;title&gt;Forecasting commodity prices: empirical evidence using deep learning tools&lt;/title&gt;&lt;secondary-title&gt;Annals of Operations Research&lt;/secondary-title&gt;&lt;/titles&gt;&lt;periodical&gt;&lt;full-title&gt;Annals of Operations Research&lt;/full-title&gt;&lt;/periodical&gt;&lt;pages&gt;349-367&lt;/pages&gt;&lt;volume&gt;339&lt;/volume&gt;&lt;number&gt;1&lt;/number&gt;&lt;dates&gt;&lt;year&gt;2024&lt;/year&gt;&lt;/dates&gt;&lt;isbn&gt;0254-5330&lt;/isbn&gt;&lt;urls&gt;&lt;/urls&gt;&lt;/record&gt;&lt;/Cite&gt;&lt;/EndNote&gt;</w:instrText>
      </w:r>
      <w:r w:rsidR="00EA4070">
        <w:fldChar w:fldCharType="separate"/>
      </w:r>
      <w:r w:rsidR="00C00545">
        <w:rPr>
          <w:noProof/>
        </w:rPr>
        <w:t>[22]</w:t>
      </w:r>
      <w:r w:rsidR="00EA4070">
        <w:fldChar w:fldCharType="end"/>
      </w:r>
      <w:r w:rsidR="00EA4070">
        <w:t>.</w:t>
      </w:r>
    </w:p>
    <w:p w:rsidR="00624636" w:rsidRPr="00624636" w:rsidRDefault="00624636" w:rsidP="00F42F4A">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 xml:space="preserve">Zhao et al. (2025) developed a hybrid model combining Multi-Head Attention Enhanced </w:t>
      </w:r>
      <w:proofErr w:type="spellStart"/>
      <w:r w:rsidRPr="00624636">
        <w:rPr>
          <w:rFonts w:ascii="Times New Roman" w:eastAsia="Times New Roman" w:hAnsi="Times New Roman" w:cs="Times New Roman"/>
          <w:sz w:val="24"/>
          <w:szCs w:val="24"/>
        </w:rPr>
        <w:t>BiLSTM</w:t>
      </w:r>
      <w:proofErr w:type="spellEnd"/>
      <w:r w:rsidRPr="00624636">
        <w:rPr>
          <w:rFonts w:ascii="Times New Roman" w:eastAsia="Times New Roman" w:hAnsi="Times New Roman" w:cs="Times New Roman"/>
          <w:sz w:val="24"/>
          <w:szCs w:val="24"/>
        </w:rPr>
        <w:t xml:space="preserve">, ARIMA, and </w:t>
      </w:r>
      <w:proofErr w:type="spellStart"/>
      <w:r w:rsidRPr="00624636">
        <w:rPr>
          <w:rFonts w:ascii="Times New Roman" w:eastAsia="Times New Roman" w:hAnsi="Times New Roman" w:cs="Times New Roman"/>
          <w:sz w:val="24"/>
          <w:szCs w:val="24"/>
        </w:rPr>
        <w:t>XGBoost</w:t>
      </w:r>
      <w:proofErr w:type="spellEnd"/>
      <w:r w:rsidRPr="00624636">
        <w:rPr>
          <w:rFonts w:ascii="Times New Roman" w:eastAsia="Times New Roman" w:hAnsi="Times New Roman" w:cs="Times New Roman"/>
          <w:sz w:val="24"/>
          <w:szCs w:val="24"/>
        </w:rPr>
        <w:t xml:space="preserve"> for stock price forecasting, employing wavelet </w:t>
      </w:r>
      <w:proofErr w:type="spellStart"/>
      <w:r w:rsidRPr="00624636">
        <w:rPr>
          <w:rFonts w:ascii="Times New Roman" w:eastAsia="Times New Roman" w:hAnsi="Times New Roman" w:cs="Times New Roman"/>
          <w:sz w:val="24"/>
          <w:szCs w:val="24"/>
        </w:rPr>
        <w:t>denoising</w:t>
      </w:r>
      <w:proofErr w:type="spellEnd"/>
      <w:r w:rsidRPr="00624636">
        <w:rPr>
          <w:rFonts w:ascii="Times New Roman" w:eastAsia="Times New Roman" w:hAnsi="Times New Roman" w:cs="Times New Roman"/>
          <w:sz w:val="24"/>
          <w:szCs w:val="24"/>
        </w:rPr>
        <w:t xml:space="preserve"> techniques. The dataset consisted of historical stock prices and macroeconomic indicators. Their model's performance was measured using RMSE and MAE, reporting an RMSE of 0.85, which indicates a significant improvement over traditional methods, showcasing the hybrid model's capability in enhancing forecasting accuracy</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[2]</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Bagrecha</w:t>
      </w:r>
      <w:proofErr w:type="spellEnd"/>
      <w:r w:rsidRPr="00624636">
        <w:rPr>
          <w:rFonts w:ascii="Times New Roman" w:eastAsia="Times New Roman" w:hAnsi="Times New Roman" w:cs="Times New Roman"/>
          <w:sz w:val="24"/>
          <w:szCs w:val="24"/>
        </w:rPr>
        <w:t xml:space="preserve"> et al. (2025) employed a univariate ARIMA approach to forecast silver prices, utilizing historical silver price data. Their accuracy was assessed using RMSE, achieving an RMSE of 1.15, which indicates a reliable performance of the ARIMA model for silver price forecasting. They proposed a new model that aims to improve future price direction predictions based on their findings</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[5]</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Kong et al. (2025) provided a comprehensive survey on deep learning applications for time series forecasting. They reviewed various datasets, including stock prices and economic indicators, and discussed performance measures such as RMSE and MAE across different models. The survey highlighted that models combining CNN and LSTM architectures consistently achieved the best results, with RMSE values as low as 0.80 in specific applications</w:t>
      </w:r>
      <w:r w:rsidR="00C00545">
        <w:rPr>
          <w:rFonts w:ascii="Times New Roman" w:eastAsia="Times New Roman" w:hAnsi="Times New Roman" w:cs="Times New Roman"/>
          <w:sz w:val="24"/>
          <w:szCs w:val="24"/>
        </w:rPr>
        <w:fldChar w:fldCharType="begin"/>
      </w:r>
      <w:r w:rsidR="00C00545">
        <w:rPr>
          <w:rFonts w:ascii="Times New Roman" w:eastAsia="Times New Roman" w:hAnsi="Times New Roman" w:cs="Times New Roman"/>
          <w:sz w:val="24"/>
          <w:szCs w:val="24"/>
        </w:rPr>
        <w:instrText xml:space="preserve"> ADDIN EN.CITE &lt;EndNote&gt;&lt;Cite&gt;&lt;Author&gt;Kong&lt;/Author&gt;&lt;Year&gt;2025&lt;/Year&gt;&lt;RecNum&gt;8&lt;/RecNum&gt;&lt;DisplayText&gt;[8]&lt;/DisplayText&gt;&lt;record&gt;&lt;rec-number&gt;8&lt;/rec-number&gt;&lt;foreign-keys&gt;&lt;key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C00545">
        <w:rPr>
          <w:rFonts w:ascii="Times New Roman" w:eastAsia="Times New Roman" w:hAnsi="Times New Roman" w:cs="Times New Roman"/>
          <w:sz w:val="24"/>
          <w:szCs w:val="24"/>
        </w:rPr>
        <w:fldChar w:fldCharType="separate"/>
      </w:r>
      <w:r w:rsidR="00C00545">
        <w:rPr>
          <w:rFonts w:ascii="Times New Roman" w:eastAsia="Times New Roman" w:hAnsi="Times New Roman" w:cs="Times New Roman"/>
          <w:noProof/>
          <w:sz w:val="24"/>
          <w:szCs w:val="24"/>
        </w:rPr>
        <w:t>[8]</w:t>
      </w:r>
      <w:r w:rsidR="00C00545">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04127A" w:rsidRDefault="00144FA5">
      <w:pPr>
        <w:pStyle w:val="Heading2"/>
      </w:pPr>
      <w:r>
        <w:rPr>
          <w:sz w:val="36"/>
        </w:rPr>
        <w:t>3. Methodology</w:t>
      </w:r>
    </w:p>
    <w:p w:rsidR="003A09DE" w:rsidRPr="003A09DE" w:rsidRDefault="003A09DE" w:rsidP="003A09DE">
      <w:pPr>
        <w:rPr>
          <w:sz w:val="24"/>
        </w:rPr>
      </w:pPr>
      <w:r w:rsidRPr="003A09DE">
        <w:rPr>
          <w:sz w:val="24"/>
        </w:rPr>
        <w:t xml:space="preserve">The prediction of gold prices is assessed through the utilization of </w:t>
      </w:r>
      <w:proofErr w:type="spellStart"/>
      <w:r w:rsidRPr="003A09DE">
        <w:rPr>
          <w:sz w:val="24"/>
        </w:rPr>
        <w:t>BiLSTM</w:t>
      </w:r>
      <w:proofErr w:type="spellEnd"/>
      <w:r w:rsidRPr="003A09DE">
        <w:rPr>
          <w:sz w:val="24"/>
        </w:rPr>
        <w:t xml:space="preserve">, CNN, and a hybrid model that integrates CNN and </w:t>
      </w:r>
      <w:proofErr w:type="spellStart"/>
      <w:r w:rsidRPr="003A09DE">
        <w:rPr>
          <w:sz w:val="24"/>
        </w:rPr>
        <w:t>BiLSTM</w:t>
      </w:r>
      <w:proofErr w:type="spellEnd"/>
      <w:r w:rsidRPr="003A09DE">
        <w:rPr>
          <w:sz w:val="24"/>
        </w:rPr>
        <w:t>. A comprehensive overview of the architectural frameworks and learning methodologies associated with each model is presented. A comparative analysis of the forecasting efficacy of these three deep learning models is undertaken</w:t>
      </w:r>
      <w:r>
        <w:rPr>
          <w:sz w:val="24"/>
        </w:rPr>
        <w:fldChar w:fldCharType="begin"/>
      </w:r>
      <w:r>
        <w:rPr>
          <w:sz w:val="24"/>
        </w:rPr>
        <w:instrText xml:space="preserve"> ADDIN EN.CITE &lt;EndNote&gt;&lt;Cite&gt;&lt;Author&gt;Zhang&lt;/Author&gt;&lt;Year&gt;2023&lt;/Year&gt;&lt;RecNum&gt;23&lt;/RecNum&gt;&lt;DisplayText&gt;[23]&lt;/DisplayText&gt;&lt;record&gt;&lt;rec-number&gt;23&lt;/rec-number&gt;&lt;foreign-keys&gt;&lt;key app="EN" db-id="dv2dxetxg5w9ehewap1xz0d1w2p0drtv9tds" timestamp="1758391650"&gt;23&lt;/key&gt;&lt;/foreign-keys&gt;&lt;ref-type name="Journal Article"&gt;17&lt;/ref-type&gt;&lt;contributors&gt;&lt;authors&gt;&lt;author&gt;Zhang, Jilin&lt;/author&gt;&lt;author&gt;Ye, Lishi&lt;/author&gt;&lt;author&gt;Lai, Yongzeng&lt;/author&gt;&lt;/authors&gt;&lt;/contributors&gt;&lt;titles&gt;&lt;title&gt;Stock price prediction using CNN-BiLSTM-Attention model&lt;/title&gt;&lt;secondary-title&gt;Mathematics&lt;/secondary-title&gt;&lt;/titles&gt;&lt;periodical&gt;&lt;full-title&gt;Mathematics&lt;/full-title&gt;&lt;/periodical&gt;&lt;pages&gt;1985&lt;/pages&gt;&lt;volume&gt;11&lt;/volume&gt;&lt;number&gt;9&lt;/number&gt;&lt;dates&gt;&lt;year&gt;2023&lt;/year&gt;&lt;/dates&gt;&lt;isbn&gt;2227-7390&lt;/isbn&gt;&lt;urls&gt;&lt;/urls&gt;&lt;/record&gt;&lt;/Cite&gt;&lt;/EndNote&gt;</w:instrText>
      </w:r>
      <w:r>
        <w:rPr>
          <w:sz w:val="24"/>
        </w:rPr>
        <w:fldChar w:fldCharType="separate"/>
      </w:r>
      <w:r>
        <w:rPr>
          <w:noProof/>
          <w:sz w:val="24"/>
        </w:rPr>
        <w:t>[23]</w:t>
      </w:r>
      <w:r>
        <w:rPr>
          <w:sz w:val="24"/>
        </w:rPr>
        <w:fldChar w:fldCharType="end"/>
      </w:r>
      <w:r>
        <w:rPr>
          <w:sz w:val="24"/>
        </w:rPr>
        <w:t>.</w:t>
      </w:r>
    </w:p>
    <w:p w:rsidR="003A09DE" w:rsidRPr="003A09DE" w:rsidRDefault="003A09DE" w:rsidP="006A46FB">
      <w:pPr>
        <w:rPr>
          <w:sz w:val="24"/>
        </w:rPr>
      </w:pPr>
      <w:r w:rsidRPr="003A09DE">
        <w:rPr>
          <w:sz w:val="24"/>
        </w:rPr>
        <w:t xml:space="preserve">The </w:t>
      </w:r>
      <w:proofErr w:type="spellStart"/>
      <w:r w:rsidRPr="003A09DE">
        <w:rPr>
          <w:sz w:val="24"/>
        </w:rPr>
        <w:t>BiLSTM</w:t>
      </w:r>
      <w:proofErr w:type="spellEnd"/>
      <w:r w:rsidRPr="003A09DE">
        <w:rPr>
          <w:sz w:val="24"/>
        </w:rPr>
        <w:t>, CNN, and hybrid CNN-</w:t>
      </w:r>
      <w:proofErr w:type="spellStart"/>
      <w:r w:rsidRPr="003A09DE">
        <w:rPr>
          <w:sz w:val="24"/>
        </w:rPr>
        <w:t>BiLSTM</w:t>
      </w:r>
      <w:proofErr w:type="spellEnd"/>
      <w:r w:rsidRPr="003A09DE">
        <w:rPr>
          <w:sz w:val="24"/>
        </w:rPr>
        <w:t xml:space="preserve"> models are chosen as the predictive tools. The </w:t>
      </w:r>
      <w:proofErr w:type="spellStart"/>
      <w:r w:rsidRPr="003A09DE">
        <w:rPr>
          <w:sz w:val="24"/>
        </w:rPr>
        <w:t>BiLSTM</w:t>
      </w:r>
      <w:proofErr w:type="spellEnd"/>
      <w:r w:rsidRPr="003A09DE">
        <w:rPr>
          <w:sz w:val="24"/>
        </w:rPr>
        <w:t xml:space="preserve"> model effectively harnesses both directions of the input sequence, enabling it to capture more significant information while considering forecast outcomes across multiple </w:t>
      </w:r>
      <w:proofErr w:type="spellStart"/>
      <w:r w:rsidRPr="003A09DE">
        <w:rPr>
          <w:sz w:val="24"/>
        </w:rPr>
        <w:t>timesteps</w:t>
      </w:r>
      <w:proofErr w:type="spellEnd"/>
      <w:r w:rsidRPr="003A09DE">
        <w:rPr>
          <w:sz w:val="24"/>
        </w:rPr>
        <w:t xml:space="preserve"> as the ultimate result. Additionally, CNN incorporates multiple latent neuron layers, demonstrating proficiency in feature extraction within time series data and effectively addressing challenges such as gradient vanishing and explosion</w:t>
      </w:r>
      <w:r w:rsidR="006A46FB">
        <w:rPr>
          <w:sz w:val="24"/>
        </w:rPr>
        <w:fldChar w:fldCharType="begin"/>
      </w:r>
      <w:r w:rsidR="006A46FB">
        <w:rPr>
          <w:sz w:val="24"/>
        </w:rPr>
        <w:instrText xml:space="preserve"> ADDIN EN.CITE &lt;EndNote&gt;&lt;Cite&gt;&lt;Author&gt;Chen&lt;/Author&gt;&lt;Year&gt;2023&lt;/Year&gt;&lt;RecNum&gt;24&lt;/RecNum&gt;&lt;DisplayText&gt;[24]&lt;/DisplayText&gt;&lt;record&gt;&lt;rec-number&gt;24&lt;/rec-number&gt;&lt;foreign-keys&gt;&lt;key app="EN" db-id="dv2dxetxg5w9ehewap1xz0d1w2p0drtv9tds" timestamp="1758391816"&gt;24&lt;/key&gt;&lt;/foreign-keys&gt;&lt;ref-type name="Journal Article"&gt;17&lt;/ref-type&gt;&lt;contributors&gt;&lt;authors&gt;&lt;author&gt;Chen, Yifei&lt;/author&gt;&lt;author&gt;Fu, Zhihan&lt;/author&gt;&lt;/authors&gt;&lt;/contributors&gt;&lt;titles&gt;&lt;title&gt;Multi-step ahead forecasting of the energy consumed by the residential and commercial sectors in the United States based on a hybrid CNN-BiLSTM model&lt;/title&gt;&lt;secondary-title&gt;Sustainability&lt;/secondary-title&gt;&lt;/titles&gt;&lt;periodical&gt;&lt;full-title&gt;Sustainability&lt;/full-title&gt;&lt;/periodical&gt;&lt;pages&gt;1895&lt;/pages&gt;&lt;volume&gt;15&lt;/volume&gt;&lt;number&gt;3&lt;/number&gt;&lt;dates&gt;&lt;year&gt;2023&lt;/year&gt;&lt;/dates&gt;&lt;isbn&gt;2071-1050&lt;/isbn&gt;&lt;urls&gt;&lt;/urls&gt;&lt;/record&gt;&lt;/Cite&gt;&lt;/EndNote&gt;</w:instrText>
      </w:r>
      <w:r w:rsidR="006A46FB">
        <w:rPr>
          <w:sz w:val="24"/>
        </w:rPr>
        <w:fldChar w:fldCharType="separate"/>
      </w:r>
      <w:r w:rsidR="006A46FB">
        <w:rPr>
          <w:noProof/>
          <w:sz w:val="24"/>
        </w:rPr>
        <w:t>[24]</w:t>
      </w:r>
      <w:r w:rsidR="006A46FB">
        <w:rPr>
          <w:sz w:val="24"/>
        </w:rPr>
        <w:fldChar w:fldCharType="end"/>
      </w:r>
      <w:r w:rsidRPr="003A09DE">
        <w:rPr>
          <w:sz w:val="24"/>
        </w:rPr>
        <w:t>.</w:t>
      </w:r>
    </w:p>
    <w:p w:rsidR="00484926" w:rsidRPr="00C32241" w:rsidRDefault="00484926" w:rsidP="00484926">
      <w:pPr>
        <w:pStyle w:val="Heading3"/>
        <w:rPr>
          <w:sz w:val="28"/>
        </w:rPr>
      </w:pPr>
      <w:r w:rsidRPr="00C32241">
        <w:rPr>
          <w:sz w:val="28"/>
        </w:rPr>
        <w:lastRenderedPageBreak/>
        <w:t>3.1 Dataset Collection</w:t>
      </w:r>
    </w:p>
    <w:p w:rsidR="00484926" w:rsidRDefault="0085695A" w:rsidP="00C32241">
      <w:pPr>
        <w:pStyle w:val="NormalWeb"/>
      </w:pPr>
      <w:r>
        <w:t>The dataset was meticulously compiled from a diverse array of financial and macroeconomic sources, carefully encompassing the extensive timeframe that stretches from January 1, 2015, all the way to August 29, 2025. This comprehensive market data, which specifically includes key commodities such as gold, silver, oil, along with significant currency exchange rates like the EUR/USD, as well as critical stock market indices including the S&amp;P 500, was expertly sourced from Yahoo Finance</w:t>
      </w:r>
      <w:r w:rsidR="00C32241">
        <w:fldChar w:fldCharType="begin"/>
      </w:r>
      <w:r w:rsidR="00C32241">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C32241">
        <w:fldChar w:fldCharType="separate"/>
      </w:r>
      <w:r w:rsidR="00C32241">
        <w:rPr>
          <w:noProof/>
        </w:rPr>
        <w:t>[17]</w:t>
      </w:r>
      <w:r w:rsidR="00C32241">
        <w:fldChar w:fldCharType="end"/>
      </w:r>
      <w:r>
        <w:t>. Furthermore, vital macroeconomic indicators, notably the Consumer Price Index (CPI) and pertinent interest rates, were diligently acquired from the Federal Reserve Economic Data (FRED), ensuring a robust analytical foundation. In addition to these sources, the Geopolitical Risk (GPR) index was seamlessly integrated from a local dataset, adding another crucial layer of insight</w:t>
      </w:r>
      <w:r w:rsidR="00C32241">
        <w:fldChar w:fldCharType="begin"/>
      </w:r>
      <w:r w:rsidR="00C32241">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C32241">
        <w:fldChar w:fldCharType="separate"/>
      </w:r>
      <w:r w:rsidR="00C32241">
        <w:rPr>
          <w:noProof/>
        </w:rPr>
        <w:t>[5]</w:t>
      </w:r>
      <w:r w:rsidR="00C32241">
        <w:fldChar w:fldCharType="end"/>
      </w:r>
      <w:r>
        <w:t xml:space="preserve">. Following thorough preprocessing procedures, the final, enriched dataset comprised a total of 3,894 daily observations, which reflect a diverse array of 27 distinct features as shown in </w:t>
      </w:r>
      <w:r w:rsidR="00514D0C">
        <w:rPr>
          <w:rFonts w:asciiTheme="majorBidi" w:hAnsiTheme="majorBidi" w:cstheme="majorBidi"/>
        </w:rPr>
        <w:t>Figure 1</w:t>
      </w:r>
      <w:r>
        <w:t>. These features include both raw data and include meticulously engineered variables, which enhance the dataset's analytical depth and usability for advanced research and financial modeling</w:t>
      </w:r>
      <w:r w:rsidR="00484926">
        <w:t>.</w:t>
      </w:r>
      <w:r w:rsidR="00514D0C">
        <w:t xml:space="preserve"> </w:t>
      </w:r>
    </w:p>
    <w:p w:rsidR="00514D0C" w:rsidRDefault="00514D0C" w:rsidP="00600CB3">
      <w:pPr>
        <w:pStyle w:val="NormalWeb"/>
        <w:keepNext/>
        <w:jc w:val="center"/>
      </w:pPr>
      <w:r>
        <w:rPr>
          <w:noProof/>
        </w:rPr>
        <w:drawing>
          <wp:inline distT="0" distB="0" distL="0" distR="0" wp14:anchorId="419D6F54" wp14:editId="4FC4B797">
            <wp:extent cx="4064415" cy="405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21 175030.png"/>
                    <pic:cNvPicPr/>
                  </pic:nvPicPr>
                  <pic:blipFill>
                    <a:blip r:embed="rId6">
                      <a:extLst>
                        <a:ext uri="{28A0092B-C50C-407E-A947-70E740481C1C}">
                          <a14:useLocalDpi xmlns:a14="http://schemas.microsoft.com/office/drawing/2010/main" val="0"/>
                        </a:ext>
                      </a:extLst>
                    </a:blip>
                    <a:stretch>
                      <a:fillRect/>
                    </a:stretch>
                  </pic:blipFill>
                  <pic:spPr>
                    <a:xfrm>
                      <a:off x="0" y="0"/>
                      <a:ext cx="4115778" cy="4107642"/>
                    </a:xfrm>
                    <a:prstGeom prst="rect">
                      <a:avLst/>
                    </a:prstGeom>
                  </pic:spPr>
                </pic:pic>
              </a:graphicData>
            </a:graphic>
          </wp:inline>
        </w:drawing>
      </w:r>
    </w:p>
    <w:p w:rsidR="00514D0C" w:rsidRDefault="00514D0C" w:rsidP="00C32241">
      <w:pPr>
        <w:pStyle w:val="Caption"/>
      </w:pPr>
      <w:r>
        <w:t xml:space="preserve">Figure </w:t>
      </w:r>
      <w:r w:rsidR="0099121C">
        <w:fldChar w:fldCharType="begin"/>
      </w:r>
      <w:r w:rsidR="0099121C">
        <w:instrText xml:space="preserve"> SEQ Figure \* ARABIC </w:instrText>
      </w:r>
      <w:r w:rsidR="0099121C">
        <w:fldChar w:fldCharType="separate"/>
      </w:r>
      <w:r w:rsidR="0099121C">
        <w:rPr>
          <w:noProof/>
        </w:rPr>
        <w:t>1</w:t>
      </w:r>
      <w:r w:rsidR="0099121C">
        <w:rPr>
          <w:noProof/>
        </w:rPr>
        <w:fldChar w:fldCharType="end"/>
      </w:r>
      <w:r w:rsidR="00C32241">
        <w:t>.</w:t>
      </w:r>
      <w:r>
        <w:t xml:space="preserve"> </w:t>
      </w:r>
      <w:r w:rsidR="00C32241">
        <w:t>The assembled data set is anticipated to significantly influence the forecasting of gold prices, and we will evaluate its impact subsequently</w:t>
      </w:r>
      <w:r w:rsidRPr="00C40233">
        <w:t>.</w:t>
      </w:r>
    </w:p>
    <w:p w:rsidR="00484926" w:rsidRPr="008605E5" w:rsidRDefault="00484926" w:rsidP="00484926">
      <w:pPr>
        <w:pStyle w:val="Heading3"/>
        <w:rPr>
          <w:sz w:val="28"/>
        </w:rPr>
      </w:pPr>
      <w:r w:rsidRPr="008605E5">
        <w:rPr>
          <w:sz w:val="28"/>
        </w:rPr>
        <w:lastRenderedPageBreak/>
        <w:t>3.2 Data Preprocessing</w:t>
      </w:r>
    </w:p>
    <w:p w:rsidR="00C32241" w:rsidRDefault="00C32241" w:rsidP="00CD4810">
      <w:pPr>
        <w:pStyle w:val="Heading3"/>
        <w:rPr>
          <w:rStyle w:val="Strong"/>
          <w:rFonts w:ascii="Times New Roman" w:eastAsia="Times New Roman" w:hAnsi="Times New Roman" w:cs="Times New Roman"/>
          <w:color w:val="auto"/>
          <w:sz w:val="24"/>
          <w:szCs w:val="24"/>
        </w:rPr>
      </w:pPr>
      <w:r w:rsidRPr="00C32241">
        <w:rPr>
          <w:rFonts w:ascii="Times New Roman" w:eastAsia="Times New Roman" w:hAnsi="Times New Roman" w:cs="Times New Roman"/>
          <w:b w:val="0"/>
          <w:bCs w:val="0"/>
          <w:color w:val="auto"/>
          <w:sz w:val="24"/>
          <w:szCs w:val="24"/>
        </w:rPr>
        <w:t>To maintain a high degree of temporal consistency throughout the analysis, the absent values within the dataset were imputed through the comprehensive application of both forward-fill and backward-fill methodologies. This dual approach effectively addressed the gaps present in the data. Following this step, the dataset was meticulously re-indexed to establish a daily frequency</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&lt;EndNote&gt;&lt;Cite&gt;&lt;Author&gt;Karnati&lt;/Author&gt;&lt;Year&gt;2025&lt;/Year&gt;&lt;RecNum&gt;25&lt;/RecNum&gt;&lt;DisplayText&gt;[25]&lt;/DisplayText&gt;&lt;record&gt;&lt;rec-number&gt;25&lt;/rec-number&gt;&lt;foreign-keys&gt;&lt;key app="EN" db-id="dv2dxetxg5w9ehewap1xz0d1w2p0drtv9tds" timestamp="1758467476"&gt;25&lt;/key&gt;&lt;/foreign-keys&gt;&lt;ref-type name="Journal Article"&gt;17&lt;/ref-type&gt;&lt;contributors&gt;&lt;authors&gt;&lt;author&gt;Karnati, Hemanth&lt;/author&gt;&lt;author&gt;Soma, Anuraag&lt;/author&gt;&lt;author&gt;Alam, Adnan&lt;/author&gt;&lt;author&gt;Kalaavathi, B&lt;/author&gt;&lt;/authors&gt;&lt;/contributors&gt;&lt;titles&gt;&lt;title&gt;Comprehensive analysis of various imputation and forecasting models for predicting PM2. 5 pollutant in Delhi&lt;/title&gt;&lt;secondary-title&gt;Neural Computing and Applications&lt;/secondary-title&gt;&lt;/titles&gt;&lt;periodical&gt;&lt;full-title&gt;Neural Computing and Applications&lt;/full-title&gt;&lt;/periodical&gt;&lt;pages&gt;11441-11458&lt;/pages&gt;&lt;volume&gt;37&lt;/volume&gt;&lt;number&gt;17&lt;/number&gt;&lt;dates&gt;&lt;year&gt;2025&lt;/year&gt;&lt;/dates&gt;&lt;isbn&gt;1433-3058&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[25]</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This action served to rectify any irregularities that existed within the time series representation, ensuring a smooth and continuous flow of data. Subsequently, the data was judiciously partitioned into two subsets: a training subset comprising 80% of the entire dataset, and a testing subset making up the remaining 20%</w:t>
      </w:r>
      <w:r w:rsidR="00CD4810">
        <w:rPr>
          <w:rFonts w:ascii="Times New Roman" w:eastAsia="Times New Roman" w:hAnsi="Times New Roman" w:cs="Times New Roman"/>
          <w:b w:val="0"/>
          <w:bCs w:val="0"/>
          <w:color w:val="auto"/>
          <w:sz w:val="24"/>
          <w:szCs w:val="24"/>
        </w:rPr>
        <w:t xml:space="preserve"> , as shown in Figure 2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&lt;EndNote&gt;&lt;Cite&gt;&lt;Author&gt;Fan&lt;/Author&gt;&lt;Year&gt;2025&lt;/Year&gt;&lt;RecNum&gt;26&lt;/RecNum&gt;&lt;DisplayText&gt;[26]&lt;/DisplayText&gt;&lt;record&gt;&lt;rec-number&gt;26&lt;/rec-number&gt;&lt;foreign-keys&gt;&lt;key app="EN" db-id="dv2dxetxg5w9ehewap1xz0d1w2p0drtv9tds" timestamp="1758467657"&gt;26&lt;/key&gt;&lt;/foreign-keys&gt;&lt;ref-type name="Journal Article"&gt;17&lt;/ref-type&gt;&lt;contributors&gt;&lt;authors&gt;&lt;author&gt;Fan, Ching-Lung&lt;/author&gt;&lt;/authors&gt;&lt;/contributors&gt;&lt;titles&gt;&lt;title&gt;Optimization and performance evaluation of machine learning classifiers for predicting construction quality and schedule&lt;/title&gt;&lt;secondary-title&gt;Automation in Construction&lt;/secondary-title&gt;&lt;/titles&gt;&lt;periodical&gt;&lt;full-title&gt;Automation in Construction&lt;/full-title&gt;&lt;/periodical&gt;&lt;pages&gt;106470&lt;/pages&gt;&lt;volume&gt;179&lt;/volume&gt;&lt;dates&gt;&lt;year&gt;2025&lt;/year&gt;&lt;/dates&gt;&lt;isbn&gt;0926-5805&lt;/isbn&gt;&lt;urls&gt;&lt;/urls&gt;&lt;/record&gt;&lt;/Cite&gt;&lt;/EndNote&gt;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[26]</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xml:space="preserve">. In order to prepare for analysis, all features within the dataset underwent a normalization process using the </w:t>
      </w:r>
      <w:proofErr w:type="spellStart"/>
      <w:r w:rsidRPr="00C32241">
        <w:rPr>
          <w:rFonts w:ascii="Times New Roman" w:eastAsia="Times New Roman" w:hAnsi="Times New Roman" w:cs="Times New Roman"/>
          <w:b w:val="0"/>
          <w:bCs w:val="0"/>
          <w:color w:val="auto"/>
          <w:sz w:val="24"/>
          <w:szCs w:val="24"/>
        </w:rPr>
        <w:t>MinMaxScaler</w:t>
      </w:r>
      <w:proofErr w:type="spellEnd"/>
      <w:r w:rsidRPr="00C32241">
        <w:rPr>
          <w:rFonts w:ascii="Times New Roman" w:eastAsia="Times New Roman" w:hAnsi="Times New Roman" w:cs="Times New Roman"/>
          <w:b w:val="0"/>
          <w:bCs w:val="0"/>
          <w:color w:val="auto"/>
          <w:sz w:val="24"/>
          <w:szCs w:val="24"/>
        </w:rPr>
        <w:t>. This scaling technique was specifically employed to adjust and transform the values so that they would fall within the defined range of [0,1]. This critical step not only enhanced the clarity of the data but also ensured numerical stability, which is paramount for efficient processing within deep learning models employed in subsequent analyses</w:t>
      </w:r>
      <w:r w:rsidR="00CD4810">
        <w:rPr>
          <w:rFonts w:ascii="Times New Roman" w:eastAsia="Times New Roman" w:hAnsi="Times New Roman" w:cs="Times New Roman"/>
          <w:b w:val="0"/>
          <w:bCs w:val="0"/>
          <w:color w:val="auto"/>
          <w:sz w:val="24"/>
          <w:szCs w:val="24"/>
        </w:rPr>
        <w:t xml:space="preserve">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&lt;EndNote&gt;&lt;Cite&gt;&lt;Author&gt;Lanjewar&lt;/Author&gt;&lt;Year&gt;2022&lt;/Year&gt;&lt;RecNum&gt;27&lt;/RecNum&gt;&lt;DisplayText&gt;[27]&lt;/DisplayText&gt;&lt;record&gt;&lt;rec-number&gt;27&lt;/rec-number&gt;&lt;foreign-keys&gt;&lt;key app="EN" db-id="dv2dxetxg5w9ehewap1xz0d1w2p0drtv9tds" timestamp="1758467893"&gt;27&lt;/key&gt;&lt;/foreign-keys&gt;&lt;ref-type name="Book Section"&gt;5&lt;/ref-type&gt;&lt;contributors&gt;&lt;authors&gt;&lt;author&gt;Lanjewar, Madhusudan G&lt;/author&gt;&lt;author&gt;Parate, Rajesh K&lt;/author&gt;&lt;author&gt;Parab, Jivan S&lt;/author&gt;&lt;/authors&gt;&lt;/contributors&gt;&lt;titles&gt;&lt;title&gt;Machine learning approach with data normalization technique for early stage detection of hypothyroidism&lt;/title&gt;&lt;secondary-title&gt;Artificial intelligence applications for health care&lt;/secondary-title&gt;&lt;/titles&gt;&lt;pages&gt;91-108&lt;/pages&gt;&lt;dates&gt;&lt;year&gt;2022&lt;/year&gt;&lt;/dates&gt;&lt;publisher&gt;CRC Press&lt;/publisher&gt;&lt;urls&gt;&lt;/urls&gt;&lt;/record&gt;&lt;/Cite&gt;&lt;/EndNote&gt;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[27]</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w:t>
      </w:r>
      <w:r w:rsidRPr="00C32241">
        <w:rPr>
          <w:rStyle w:val="Strong"/>
          <w:rFonts w:ascii="Times New Roman" w:eastAsia="Times New Roman" w:hAnsi="Times New Roman" w:cs="Times New Roman"/>
          <w:color w:val="auto"/>
          <w:sz w:val="24"/>
          <w:szCs w:val="24"/>
        </w:rPr>
        <w:t xml:space="preserve"> </w:t>
      </w:r>
    </w:p>
    <w:p w:rsidR="0082735A" w:rsidRDefault="00CD4810" w:rsidP="0082735A">
      <w:pPr>
        <w:keepNext/>
      </w:pPr>
      <w:r>
        <w:rPr>
          <w:noProof/>
        </w:rPr>
        <w:drawing>
          <wp:inline distT="0" distB="0" distL="0" distR="0" wp14:anchorId="58DF47F2" wp14:editId="08D7FE90">
            <wp:extent cx="5483891" cy="182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 and test .png"/>
                    <pic:cNvPicPr/>
                  </pic:nvPicPr>
                  <pic:blipFill>
                    <a:blip r:embed="rId7">
                      <a:extLst>
                        <a:ext uri="{28A0092B-C50C-407E-A947-70E740481C1C}">
                          <a14:useLocalDpi xmlns:a14="http://schemas.microsoft.com/office/drawing/2010/main" val="0"/>
                        </a:ext>
                      </a:extLst>
                    </a:blip>
                    <a:stretch>
                      <a:fillRect/>
                    </a:stretch>
                  </pic:blipFill>
                  <pic:spPr>
                    <a:xfrm>
                      <a:off x="0" y="0"/>
                      <a:ext cx="5591244" cy="1864601"/>
                    </a:xfrm>
                    <a:prstGeom prst="rect">
                      <a:avLst/>
                    </a:prstGeom>
                  </pic:spPr>
                </pic:pic>
              </a:graphicData>
            </a:graphic>
          </wp:inline>
        </w:drawing>
      </w:r>
    </w:p>
    <w:p w:rsidR="00CD4810" w:rsidRPr="00CD4810" w:rsidRDefault="0082735A" w:rsidP="0082735A">
      <w:pPr>
        <w:pStyle w:val="Caption"/>
      </w:pPr>
      <w:r>
        <w:t xml:space="preserve">Figure </w:t>
      </w:r>
      <w:r w:rsidR="0099121C">
        <w:fldChar w:fldCharType="begin"/>
      </w:r>
      <w:r w:rsidR="0099121C">
        <w:instrText xml:space="preserve"> SEQ Figure \* ARABIC </w:instrText>
      </w:r>
      <w:r w:rsidR="0099121C">
        <w:fldChar w:fldCharType="separate"/>
      </w:r>
      <w:r w:rsidR="0099121C">
        <w:rPr>
          <w:noProof/>
        </w:rPr>
        <w:t>2</w:t>
      </w:r>
      <w:r w:rsidR="0099121C">
        <w:rPr>
          <w:noProof/>
        </w:rPr>
        <w:fldChar w:fldCharType="end"/>
      </w:r>
      <w:r>
        <w:t>.S</w:t>
      </w:r>
      <w:r w:rsidRPr="0043513E">
        <w:t>howing the training data, which is 80%, and the test data, which is 20% of the dataset.</w:t>
      </w:r>
    </w:p>
    <w:p w:rsidR="00484926" w:rsidRPr="0007232B" w:rsidRDefault="00484926" w:rsidP="00484926">
      <w:pPr>
        <w:pStyle w:val="Heading3"/>
        <w:rPr>
          <w:sz w:val="28"/>
        </w:rPr>
      </w:pPr>
      <w:r w:rsidRPr="0007232B">
        <w:rPr>
          <w:sz w:val="28"/>
        </w:rPr>
        <w:t>3.3 Feature Engineering</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To augment the predictive capabilities of the models, feature engineering was conducted on the amassed dataset, which originally encompassed 27 attributes across commodity markets (including gold, silver, and crude oil), foreign exchange (EUR/USD), equity indices (S&amp;P500), and macroeconomic indicators such as the Consumer Price Index (CPI) and the Geopolitical Risk Index (GPR).</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Several meaningful features were generated and integrated into the dataset:</w:t>
      </w:r>
    </w:p>
    <w:p w:rsidR="0007232B" w:rsidRPr="0007232B" w:rsidRDefault="0007232B" w:rsidP="000723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Gold Trend (binary):</w:t>
      </w:r>
      <w:r w:rsidRPr="0007232B">
        <w:rPr>
          <w:rFonts w:ascii="Times New Roman" w:eastAsia="Times New Roman" w:hAnsi="Times New Roman" w:cs="Times New Roman"/>
          <w:sz w:val="24"/>
          <w:szCs w:val="24"/>
        </w:rPr>
        <w:t xml:space="preserve"> A directional indicator specifying whether the gold closing price increased compared to the previous day. This feature was crucial for capturing short-term momentum.</w:t>
      </w:r>
    </w:p>
    <w:p w:rsidR="0007232B" w:rsidRPr="0007232B" w:rsidRDefault="0007232B" w:rsidP="000723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lastRenderedPageBreak/>
        <w:t>Inter-market Ratios:</w:t>
      </w:r>
      <w:r w:rsidRPr="0007232B">
        <w:rPr>
          <w:rFonts w:ascii="Times New Roman" w:eastAsia="Times New Roman" w:hAnsi="Times New Roman" w:cs="Times New Roman"/>
          <w:sz w:val="24"/>
          <w:szCs w:val="24"/>
        </w:rPr>
        <w:t xml:space="preserve"> Ratios such as </w:t>
      </w:r>
      <w:r w:rsidRPr="0007232B">
        <w:rPr>
          <w:rFonts w:ascii="Times New Roman" w:eastAsia="Times New Roman" w:hAnsi="Times New Roman" w:cs="Times New Roman"/>
          <w:i/>
          <w:iCs/>
          <w:sz w:val="24"/>
          <w:szCs w:val="24"/>
        </w:rPr>
        <w:t>Gold/Silver</w:t>
      </w:r>
      <w:r w:rsidRPr="0007232B">
        <w:rPr>
          <w:rFonts w:ascii="Times New Roman" w:eastAsia="Times New Roman" w:hAnsi="Times New Roman" w:cs="Times New Roman"/>
          <w:sz w:val="24"/>
          <w:szCs w:val="24"/>
        </w:rPr>
        <w:t xml:space="preserve">, </w:t>
      </w:r>
      <w:r w:rsidRPr="0007232B">
        <w:rPr>
          <w:rFonts w:ascii="Times New Roman" w:eastAsia="Times New Roman" w:hAnsi="Times New Roman" w:cs="Times New Roman"/>
          <w:i/>
          <w:iCs/>
          <w:sz w:val="24"/>
          <w:szCs w:val="24"/>
        </w:rPr>
        <w:t>Gold/Oil</w:t>
      </w:r>
      <w:r w:rsidRPr="0007232B">
        <w:rPr>
          <w:rFonts w:ascii="Times New Roman" w:eastAsia="Times New Roman" w:hAnsi="Times New Roman" w:cs="Times New Roman"/>
          <w:sz w:val="24"/>
          <w:szCs w:val="24"/>
        </w:rPr>
        <w:t xml:space="preserve">, and </w:t>
      </w:r>
      <w:r w:rsidRPr="0007232B">
        <w:rPr>
          <w:rFonts w:ascii="Times New Roman" w:eastAsia="Times New Roman" w:hAnsi="Times New Roman" w:cs="Times New Roman"/>
          <w:i/>
          <w:iCs/>
          <w:sz w:val="24"/>
          <w:szCs w:val="24"/>
        </w:rPr>
        <w:t>Gold/S&amp;P500</w:t>
      </w:r>
      <w:r w:rsidRPr="0007232B">
        <w:rPr>
          <w:rFonts w:ascii="Times New Roman" w:eastAsia="Times New Roman" w:hAnsi="Times New Roman" w:cs="Times New Roman"/>
          <w:sz w:val="24"/>
          <w:szCs w:val="24"/>
        </w:rPr>
        <w:t xml:space="preserve"> were derived to reflect the co-movement and hedging relationships between gold and other financial assets. Prior studies have shown that these ratios carry valuable information about gold’s relative valuation and safe-haven properties (Fang &amp; Xu, 2022).</w:t>
      </w:r>
    </w:p>
    <w:p w:rsidR="0007232B" w:rsidRPr="0007232B" w:rsidRDefault="0007232B" w:rsidP="000723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Price Levels and Volumes:</w:t>
      </w:r>
      <w:r w:rsidRPr="0007232B">
        <w:rPr>
          <w:rFonts w:ascii="Times New Roman" w:eastAsia="Times New Roman" w:hAnsi="Times New Roman" w:cs="Times New Roman"/>
          <w:sz w:val="24"/>
          <w:szCs w:val="24"/>
        </w:rPr>
        <w:t xml:space="preserve"> Daily open, high, low, close, and volume data for gold, silver, oil, and S&amp;P500 were maintained to capture both price action and trading activity.</w:t>
      </w:r>
    </w:p>
    <w:p w:rsidR="0007232B" w:rsidRPr="0007232B" w:rsidRDefault="0007232B" w:rsidP="0007232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Macroeconomic Indicators:</w:t>
      </w:r>
      <w:r w:rsidRPr="0007232B">
        <w:rPr>
          <w:rFonts w:ascii="Times New Roman" w:eastAsia="Times New Roman" w:hAnsi="Times New Roman" w:cs="Times New Roman"/>
          <w:sz w:val="24"/>
          <w:szCs w:val="24"/>
        </w:rPr>
        <w:t xml:space="preserve"> CPI was included as a proxy for inflation, while GPR measured global geopolitical uncertainty, both of which have been documented to influence gold price </w:t>
      </w:r>
      <w:r w:rsidR="008605E5" w:rsidRPr="0007232B">
        <w:rPr>
          <w:rFonts w:ascii="Times New Roman" w:eastAsia="Times New Roman" w:hAnsi="Times New Roman" w:cs="Times New Roman"/>
          <w:sz w:val="24"/>
          <w:szCs w:val="24"/>
        </w:rPr>
        <w:t>dynamics.</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In contrast to methodologies that predominantly depend on technical indicators such as the Relative Strength Index (RSI) or the Moving Average Convergence Divergence (MACD), this research underscores the importance of integrating fundamental market variables, inter-market relationships, and macroeconomic indicators. This strategic choice is intended to harmonize short-term technical fluctuations with the overarching economic and geopolitical influences on gold prices.</w:t>
      </w:r>
    </w:p>
    <w:p w:rsidR="00484926" w:rsidRDefault="00484926" w:rsidP="00484926">
      <w:pPr>
        <w:pStyle w:val="Heading3"/>
      </w:pPr>
      <w:r w:rsidRPr="0007232B">
        <w:rPr>
          <w:sz w:val="28"/>
        </w:rPr>
        <w:t>3.4 Sequence Generation</w:t>
      </w:r>
    </w:p>
    <w:p w:rsidR="008605E5" w:rsidRP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Given that deep learning models necessitate sequential </w:t>
      </w:r>
      <w:proofErr w:type="gramStart"/>
      <w:r w:rsidRPr="008605E5">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605E5">
        <w:rPr>
          <w:rFonts w:ascii="Times New Roman" w:eastAsia="Times New Roman" w:hAnsi="Times New Roman" w:cs="Times New Roman"/>
          <w:sz w:val="24"/>
          <w:szCs w:val="24"/>
        </w:rPr>
        <w:t>the dataset was organized into sliding windows of consecutive time intervals. Two distinct sequence lengths were assessed:</w:t>
      </w:r>
    </w:p>
    <w:p w:rsidR="008605E5" w:rsidRPr="008605E5" w:rsidRDefault="008605E5" w:rsidP="008605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30-day window:</w:t>
      </w:r>
      <w:r w:rsidRPr="008605E5">
        <w:rPr>
          <w:rFonts w:ascii="Times New Roman" w:eastAsia="Times New Roman" w:hAnsi="Times New Roman" w:cs="Times New Roman"/>
          <w:sz w:val="24"/>
          <w:szCs w:val="24"/>
        </w:rPr>
        <w:t xml:space="preserve"> Input features for 30 consecutive days were used to predict the gold price on the following day.</w:t>
      </w:r>
    </w:p>
    <w:p w:rsidR="008605E5" w:rsidRPr="008605E5" w:rsidRDefault="008605E5" w:rsidP="008605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1-day window:</w:t>
      </w:r>
      <w:r w:rsidRPr="008605E5">
        <w:rPr>
          <w:rFonts w:ascii="Times New Roman" w:eastAsia="Times New Roman" w:hAnsi="Times New Roman" w:cs="Times New Roman"/>
          <w:sz w:val="24"/>
          <w:szCs w:val="24"/>
        </w:rPr>
        <w:t xml:space="preserve"> A shorter sequence was employed to capture immediate short-term dependencies.</w:t>
      </w:r>
    </w:p>
    <w:p w:rsid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The comparison indicated that the </w:t>
      </w:r>
      <w:proofErr w:type="spellStart"/>
      <w:r w:rsidRPr="008605E5">
        <w:rPr>
          <w:rFonts w:ascii="Times New Roman" w:eastAsia="Times New Roman" w:hAnsi="Times New Roman" w:cs="Times New Roman"/>
          <w:sz w:val="24"/>
          <w:szCs w:val="24"/>
        </w:rPr>
        <w:t>BiLSTM</w:t>
      </w:r>
      <w:proofErr w:type="spellEnd"/>
      <w:r w:rsidRPr="008605E5">
        <w:rPr>
          <w:rFonts w:ascii="Times New Roman" w:eastAsia="Times New Roman" w:hAnsi="Times New Roman" w:cs="Times New Roman"/>
          <w:sz w:val="24"/>
          <w:szCs w:val="24"/>
        </w:rPr>
        <w:t xml:space="preserve"> model trained using a one-day sequence window exhibited superior performance relative to the model utilizing a longer sequence. This finding suggests that short-term dynamics have a more significant impact on predicting gold prices than do prolonged historical datasets.</w:t>
      </w:r>
    </w:p>
    <w:p w:rsidR="0004127A" w:rsidRDefault="00144FA5" w:rsidP="008605E5">
      <w:pPr>
        <w:pStyle w:val="Heading3"/>
      </w:pPr>
      <w:r>
        <w:rPr>
          <w:sz w:val="28"/>
        </w:rPr>
        <w:lastRenderedPageBreak/>
        <w:t>3.</w:t>
      </w:r>
      <w:r w:rsidR="008605E5">
        <w:rPr>
          <w:sz w:val="28"/>
        </w:rPr>
        <w:t>5</w:t>
      </w:r>
      <w:r>
        <w:rPr>
          <w:sz w:val="28"/>
        </w:rPr>
        <w:t>. Model Selection</w:t>
      </w:r>
    </w:p>
    <w:p w:rsidR="008605E5" w:rsidRDefault="008605E5" w:rsidP="00A211F3">
      <w:pPr>
        <w:pStyle w:val="Heading3"/>
        <w:rPr>
          <w:rFonts w:asciiTheme="minorHAnsi" w:eastAsiaTheme="minorEastAsia" w:hAnsiTheme="minorHAnsi" w:cstheme="minorBidi"/>
          <w:b w:val="0"/>
          <w:bCs w:val="0"/>
          <w:color w:val="auto"/>
          <w:sz w:val="24"/>
        </w:rPr>
      </w:pPr>
      <w:r w:rsidRPr="008605E5">
        <w:rPr>
          <w:rFonts w:asciiTheme="minorHAnsi" w:eastAsiaTheme="minorEastAsia" w:hAnsiTheme="minorHAnsi" w:cstheme="minorBidi"/>
          <w:b w:val="0"/>
          <w:bCs w:val="0"/>
          <w:color w:val="auto"/>
          <w:sz w:val="24"/>
        </w:rPr>
        <w:t xml:space="preserve">The model selection criteria derive directly from the Literature Review and Research Methodology. Deep-learning models capable of capturing sequential dependencies and time attributes are essential.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networks offer bidirectional time series perception, effectively modeling temporal features with limited data. CNNs excel in parallel processing and enhance feature robustness, yet struggle to encode sequential temporal features precisely. To combine their advantages, a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model leverages CNN for high-level feature extraction,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for temporal modeling, and an attention mechanism for feature fusion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[17]</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 xml:space="preserve">. Consequently, three representative deep-learning techniques are chosen for comparison: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CNN, and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Hybrid methods typically outperform single models due to their complementary capabilities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[13]</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w:t>
      </w:r>
    </w:p>
    <w:p w:rsidR="0004127A" w:rsidRDefault="00144FA5" w:rsidP="008605E5">
      <w:pPr>
        <w:pStyle w:val="Heading3"/>
      </w:pPr>
      <w:r>
        <w:rPr>
          <w:sz w:val="28"/>
        </w:rPr>
        <w:t>3.</w:t>
      </w:r>
      <w:r w:rsidR="008605E5">
        <w:rPr>
          <w:sz w:val="28"/>
        </w:rPr>
        <w:t>5</w:t>
      </w:r>
      <w:r>
        <w:rPr>
          <w:sz w:val="28"/>
        </w:rPr>
        <w:t>.</w:t>
      </w:r>
      <w:r w:rsidR="008605E5">
        <w:rPr>
          <w:sz w:val="28"/>
        </w:rPr>
        <w:t>1.</w:t>
      </w:r>
      <w:r>
        <w:rPr>
          <w:sz w:val="28"/>
        </w:rPr>
        <w:t xml:space="preserve"> BiLSTM Model </w:t>
      </w:r>
      <w:r w:rsidR="002D2A98" w:rsidRPr="002D2A98">
        <w:rPr>
          <w:b w:val="0"/>
          <w:bCs w:val="0"/>
          <w:sz w:val="28"/>
        </w:rPr>
        <w:t>(30-day &amp; 1-day)</w:t>
      </w:r>
      <w:r w:rsidR="002D2A98">
        <w:rPr>
          <w:b w:val="0"/>
          <w:bCs w:val="0"/>
          <w:sz w:val="28"/>
        </w:rPr>
        <w:t xml:space="preserve"> </w:t>
      </w:r>
      <w:r>
        <w:rPr>
          <w:sz w:val="28"/>
        </w:rPr>
        <w:t>Architecture</w:t>
      </w:r>
    </w:p>
    <w:p w:rsidR="0004127A" w:rsidRDefault="00144FA5" w:rsidP="002D2A98">
      <w:pPr>
        <w:rPr>
          <w:sz w:val="24"/>
        </w:rPr>
      </w:pPr>
      <w:r>
        <w:rPr>
          <w:sz w:val="24"/>
        </w:rPr>
        <w:t xml:space="preserve">The </w:t>
      </w:r>
      <w:proofErr w:type="spellStart"/>
      <w:r>
        <w:rPr>
          <w:sz w:val="24"/>
        </w:rPr>
        <w:t>BiLSTM</w:t>
      </w:r>
      <w:proofErr w:type="spellEnd"/>
      <w:r>
        <w:rPr>
          <w:sz w:val="24"/>
        </w:rPr>
        <w:t xml:space="preserve"> </w:t>
      </w:r>
      <w:r w:rsidR="002D2A98" w:rsidRPr="002D2A98">
        <w:rPr>
          <w:sz w:val="24"/>
        </w:rPr>
        <w:t xml:space="preserve">networks enhance traditional LSTM by analyzing data forwards and backwards, allowing for a better contextual understanding. LSTM units consist of memory cells with gates to handle long-term dependencies. In gold price forecasting, </w:t>
      </w:r>
      <w:proofErr w:type="spellStart"/>
      <w:r w:rsidR="002D2A98" w:rsidRPr="002D2A98">
        <w:rPr>
          <w:sz w:val="24"/>
        </w:rPr>
        <w:t>BiLSTM</w:t>
      </w:r>
      <w:proofErr w:type="spellEnd"/>
      <w:r w:rsidR="002D2A98" w:rsidRPr="002D2A98">
        <w:rPr>
          <w:sz w:val="24"/>
        </w:rPr>
        <w:t xml:space="preserve"> models use the entire historical sequence to assess temporal influences. This bidirectional method is vital for identifying patterns in fluctuating gold prices</w:t>
      </w:r>
      <w:r w:rsidR="002D2A98">
        <w:rPr>
          <w:sz w:val="24"/>
        </w:rPr>
        <w:fldChar w:fldCharType="begin"/>
      </w:r>
      <w:r w:rsidR="002D2A98">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2D2A98">
        <w:rPr>
          <w:sz w:val="24"/>
        </w:rPr>
        <w:fldChar w:fldCharType="separate"/>
      </w:r>
      <w:r w:rsidR="002D2A98">
        <w:rPr>
          <w:noProof/>
          <w:sz w:val="24"/>
        </w:rPr>
        <w:t>[17]</w:t>
      </w:r>
      <w:r w:rsidR="002D2A98">
        <w:rPr>
          <w:sz w:val="24"/>
        </w:rPr>
        <w:fldChar w:fldCharType="end"/>
      </w:r>
      <w:r w:rsidR="002D2A98" w:rsidRPr="002D2A98">
        <w:rPr>
          <w:sz w:val="24"/>
        </w:rPr>
        <w:t>.</w:t>
      </w:r>
      <w:r w:rsidR="002D2A98" w:rsidRPr="002D2A98">
        <w:t xml:space="preserve"> </w:t>
      </w:r>
      <w:r w:rsidR="00185D5F">
        <w:t xml:space="preserve">Figure 3 shown </w:t>
      </w:r>
      <w:r w:rsidR="00185D5F">
        <w:rPr>
          <w:sz w:val="24"/>
        </w:rPr>
        <w:t>t</w:t>
      </w:r>
      <w:r w:rsidR="002D2A98" w:rsidRPr="002D2A98">
        <w:rPr>
          <w:sz w:val="24"/>
        </w:rPr>
        <w:t>he framework of the model is constructed in the following manner</w:t>
      </w:r>
      <w:r w:rsidR="00185D5F">
        <w:rPr>
          <w:sz w:val="24"/>
        </w:rPr>
        <w:t>.</w:t>
      </w:r>
    </w:p>
    <w:p w:rsidR="00185D5F" w:rsidRDefault="00185D5F" w:rsidP="000965FE">
      <w:pPr>
        <w:keepNext/>
        <w:jc w:val="center"/>
      </w:pPr>
      <w:r>
        <w:rPr>
          <w:noProof/>
          <w:sz w:val="24"/>
          <w:rtl/>
        </w:rPr>
        <w:drawing>
          <wp:inline distT="0" distB="0" distL="0" distR="0" wp14:anchorId="1CAA7FAE" wp14:editId="53F1099B">
            <wp:extent cx="3008189" cy="3041406"/>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png"/>
                    <pic:cNvPicPr/>
                  </pic:nvPicPr>
                  <pic:blipFill>
                    <a:blip r:embed="rId8">
                      <a:extLst>
                        <a:ext uri="{28A0092B-C50C-407E-A947-70E740481C1C}">
                          <a14:useLocalDpi xmlns:a14="http://schemas.microsoft.com/office/drawing/2010/main" val="0"/>
                        </a:ext>
                      </a:extLst>
                    </a:blip>
                    <a:stretch>
                      <a:fillRect/>
                    </a:stretch>
                  </pic:blipFill>
                  <pic:spPr>
                    <a:xfrm>
                      <a:off x="0" y="0"/>
                      <a:ext cx="3008189" cy="3041406"/>
                    </a:xfrm>
                    <a:prstGeom prst="rect">
                      <a:avLst/>
                    </a:prstGeom>
                  </pic:spPr>
                </pic:pic>
              </a:graphicData>
            </a:graphic>
          </wp:inline>
        </w:drawing>
      </w:r>
    </w:p>
    <w:p w:rsidR="00185D5F" w:rsidRDefault="00185D5F" w:rsidP="000965FE">
      <w:pPr>
        <w:pStyle w:val="Caption"/>
        <w:jc w:val="center"/>
        <w:rPr>
          <w:sz w:val="24"/>
          <w:rtl/>
        </w:rPr>
      </w:pPr>
      <w:r>
        <w:t xml:space="preserve">Figure </w:t>
      </w:r>
      <w:r w:rsidR="0099121C">
        <w:fldChar w:fldCharType="begin"/>
      </w:r>
      <w:r w:rsidR="0099121C">
        <w:instrText xml:space="preserve"> SEQ Figure \* ARABIC </w:instrText>
      </w:r>
      <w:r w:rsidR="0099121C">
        <w:fldChar w:fldCharType="separate"/>
      </w:r>
      <w:r w:rsidR="0099121C">
        <w:rPr>
          <w:noProof/>
        </w:rPr>
        <w:t>3</w:t>
      </w:r>
      <w:r w:rsidR="0099121C">
        <w:rPr>
          <w:noProof/>
        </w:rPr>
        <w:fldChar w:fldCharType="end"/>
      </w:r>
      <w:r>
        <w:t xml:space="preserve"> . As shown the Bi-LSTM model.</w:t>
      </w:r>
    </w:p>
    <w:p w:rsidR="0004127A" w:rsidRDefault="00144FA5" w:rsidP="008605E5">
      <w:pPr>
        <w:pStyle w:val="Heading3"/>
      </w:pPr>
      <w:r>
        <w:rPr>
          <w:sz w:val="28"/>
        </w:rPr>
        <w:lastRenderedPageBreak/>
        <w:t>3.</w:t>
      </w:r>
      <w:r w:rsidR="008605E5">
        <w:rPr>
          <w:sz w:val="28"/>
        </w:rPr>
        <w:t>5</w:t>
      </w:r>
      <w:r>
        <w:rPr>
          <w:sz w:val="28"/>
        </w:rPr>
        <w:t>.</w:t>
      </w:r>
      <w:r w:rsidR="008605E5">
        <w:rPr>
          <w:sz w:val="28"/>
        </w:rPr>
        <w:t>2.</w:t>
      </w:r>
      <w:r>
        <w:rPr>
          <w:sz w:val="28"/>
        </w:rPr>
        <w:t xml:space="preserve"> CNN Model Architecture</w:t>
      </w:r>
    </w:p>
    <w:p w:rsidR="0004127A" w:rsidRDefault="000965FE" w:rsidP="000965FE">
      <w:pPr>
        <w:rPr>
          <w:sz w:val="24"/>
        </w:rPr>
      </w:pPr>
      <w:r w:rsidRPr="000965FE">
        <w:rPr>
          <w:sz w:val="24"/>
        </w:rPr>
        <w:t>This section provides an overview of the CNN model, originally designed for image processing, which efficiently detects and extracts important features from data using hierarchical layers. CNNs consist of an input layer, several convolutional and pooling layers, a fully connected hidden layer, and an output layer. Convolutional layers apply filters to capture local patterns, creating feature maps, while pooling layers reduce dimensionality for efficiency and decreased overfitting. The fully connected layer combines features to model complex relationships for effective classification or regression. In gold price prediction, CNNs can uncover patterns in time series data, making them suitable for forecasting</w:t>
      </w:r>
      <w:r>
        <w:rPr>
          <w:sz w:val="24"/>
        </w:rPr>
        <w:t xml:space="preserve"> </w:t>
      </w:r>
      <w:r>
        <w:rPr>
          <w:sz w:val="24"/>
        </w:rPr>
        <w:fldChar w:fldCharType="begin"/>
      </w:r>
      <w:r>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Pr>
          <w:sz w:val="24"/>
        </w:rPr>
        <w:fldChar w:fldCharType="separate"/>
      </w:r>
      <w:r>
        <w:rPr>
          <w:sz w:val="24"/>
        </w:rPr>
        <w:t>[17]</w:t>
      </w:r>
      <w:r>
        <w:rPr>
          <w:sz w:val="24"/>
        </w:rPr>
        <w:fldChar w:fldCharType="end"/>
      </w:r>
      <w:r w:rsidRPr="000965FE">
        <w:rPr>
          <w:sz w:val="24"/>
        </w:rPr>
        <w:t xml:space="preserve">. Figure 4 shown CNN </w:t>
      </w:r>
      <w:r>
        <w:rPr>
          <w:sz w:val="24"/>
        </w:rPr>
        <w:t>m</w:t>
      </w:r>
      <w:r w:rsidRPr="000965FE">
        <w:rPr>
          <w:sz w:val="24"/>
        </w:rPr>
        <w:t xml:space="preserve">odel </w:t>
      </w:r>
      <w:r>
        <w:rPr>
          <w:sz w:val="24"/>
        </w:rPr>
        <w:t>a</w:t>
      </w:r>
      <w:r w:rsidRPr="000965FE">
        <w:rPr>
          <w:sz w:val="24"/>
        </w:rPr>
        <w:t>rchitecture</w:t>
      </w:r>
      <w:r>
        <w:rPr>
          <w:sz w:val="24"/>
        </w:rPr>
        <w:t>.</w:t>
      </w:r>
    </w:p>
    <w:p w:rsidR="00021C28" w:rsidRDefault="00021C28" w:rsidP="00021C28">
      <w:pPr>
        <w:keepNext/>
        <w:jc w:val="center"/>
      </w:pPr>
      <w:r>
        <w:rPr>
          <w:noProof/>
        </w:rPr>
        <w:drawing>
          <wp:inline distT="0" distB="0" distL="0" distR="0" wp14:anchorId="323A9238" wp14:editId="0C084F87">
            <wp:extent cx="2022877" cy="2810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png"/>
                    <pic:cNvPicPr/>
                  </pic:nvPicPr>
                  <pic:blipFill>
                    <a:blip r:embed="rId9">
                      <a:extLst>
                        <a:ext uri="{28A0092B-C50C-407E-A947-70E740481C1C}">
                          <a14:useLocalDpi xmlns:a14="http://schemas.microsoft.com/office/drawing/2010/main" val="0"/>
                        </a:ext>
                      </a:extLst>
                    </a:blip>
                    <a:stretch>
                      <a:fillRect/>
                    </a:stretch>
                  </pic:blipFill>
                  <pic:spPr>
                    <a:xfrm>
                      <a:off x="0" y="0"/>
                      <a:ext cx="2086164" cy="2898295"/>
                    </a:xfrm>
                    <a:prstGeom prst="rect">
                      <a:avLst/>
                    </a:prstGeom>
                  </pic:spPr>
                </pic:pic>
              </a:graphicData>
            </a:graphic>
          </wp:inline>
        </w:drawing>
      </w:r>
    </w:p>
    <w:p w:rsidR="000965FE" w:rsidRDefault="00021C28" w:rsidP="00021C28">
      <w:pPr>
        <w:pStyle w:val="Caption"/>
        <w:jc w:val="center"/>
      </w:pPr>
      <w:r>
        <w:t xml:space="preserve">Figure </w:t>
      </w:r>
      <w:r w:rsidR="0099121C">
        <w:fldChar w:fldCharType="begin"/>
      </w:r>
      <w:r w:rsidR="0099121C">
        <w:instrText xml:space="preserve"> SEQ Figure \* ARABIC </w:instrText>
      </w:r>
      <w:r w:rsidR="0099121C">
        <w:fldChar w:fldCharType="separate"/>
      </w:r>
      <w:r w:rsidR="0099121C">
        <w:rPr>
          <w:noProof/>
        </w:rPr>
        <w:t>4</w:t>
      </w:r>
      <w:r w:rsidR="0099121C">
        <w:rPr>
          <w:noProof/>
        </w:rPr>
        <w:fldChar w:fldCharType="end"/>
      </w:r>
      <w:r>
        <w:t xml:space="preserve"> .</w:t>
      </w:r>
      <w:r w:rsidRPr="00685258">
        <w:t>shown CNN model architecture</w:t>
      </w:r>
      <w:r>
        <w:t>.</w:t>
      </w:r>
    </w:p>
    <w:p w:rsidR="0004127A" w:rsidRDefault="00144FA5">
      <w:pPr>
        <w:pStyle w:val="Heading3"/>
      </w:pPr>
      <w:r>
        <w:rPr>
          <w:sz w:val="28"/>
        </w:rPr>
        <w:t>3.5.</w:t>
      </w:r>
      <w:r w:rsidR="008605E5">
        <w:rPr>
          <w:sz w:val="28"/>
        </w:rPr>
        <w:t>3.</w:t>
      </w:r>
      <w:r>
        <w:rPr>
          <w:sz w:val="28"/>
        </w:rPr>
        <w:t xml:space="preserve"> Hybrid CNN-BiLSTM Model Architecture</w:t>
      </w:r>
    </w:p>
    <w:p w:rsidR="0004127A" w:rsidRDefault="00021C28" w:rsidP="007661E9">
      <w:pPr>
        <w:rPr>
          <w:sz w:val="24"/>
        </w:rPr>
      </w:pPr>
      <w:r w:rsidRPr="00021C28">
        <w:rPr>
          <w:sz w:val="24"/>
        </w:rPr>
        <w:t>The hybrid CNN-</w:t>
      </w:r>
      <w:proofErr w:type="spellStart"/>
      <w:r w:rsidRPr="00021C28">
        <w:rPr>
          <w:sz w:val="24"/>
        </w:rPr>
        <w:t>BiLSTM</w:t>
      </w:r>
      <w:proofErr w:type="spellEnd"/>
      <w:r w:rsidRPr="00021C28">
        <w:rPr>
          <w:sz w:val="24"/>
        </w:rPr>
        <w:t xml:space="preserve"> is a deep learning model</w:t>
      </w:r>
      <w:r>
        <w:rPr>
          <w:sz w:val="24"/>
        </w:rPr>
        <w:t xml:space="preserve"> that combines a one CNN with </w:t>
      </w:r>
      <w:proofErr w:type="spellStart"/>
      <w:r>
        <w:rPr>
          <w:sz w:val="24"/>
        </w:rPr>
        <w:t>BiLSTM</w:t>
      </w:r>
      <w:proofErr w:type="spellEnd"/>
      <w:r w:rsidRPr="00021C28">
        <w:rPr>
          <w:sz w:val="24"/>
        </w:rPr>
        <w:t xml:space="preserve"> for gold price forecasting. The CNN processes time series data, extracting features through convolutional filters to detect beneficial patterns for prediction. These features are fed into the </w:t>
      </w:r>
      <w:proofErr w:type="spellStart"/>
      <w:r w:rsidRPr="00021C28">
        <w:rPr>
          <w:sz w:val="24"/>
        </w:rPr>
        <w:t>BiLSTM</w:t>
      </w:r>
      <w:proofErr w:type="spellEnd"/>
      <w:r w:rsidRPr="00021C28">
        <w:rPr>
          <w:sz w:val="24"/>
        </w:rPr>
        <w:t xml:space="preserve">, which captures temporal dependencies by processing sequences in both directions, enhancing the understanding of context. This architecture is based on research showing </w:t>
      </w:r>
      <w:proofErr w:type="spellStart"/>
      <w:r w:rsidRPr="00021C28">
        <w:rPr>
          <w:sz w:val="24"/>
        </w:rPr>
        <w:t>BiLSTM's</w:t>
      </w:r>
      <w:proofErr w:type="spellEnd"/>
      <w:r w:rsidRPr="00021C28">
        <w:rPr>
          <w:sz w:val="24"/>
        </w:rPr>
        <w:t xml:space="preserve"> superior performance in similar domains and the efficacy of CNNs in forecasting, demonstrated in wind speed prediction and exchange-rate modeling</w:t>
      </w:r>
      <w:r>
        <w:rPr>
          <w:sz w:val="24"/>
        </w:rPr>
        <w:fldChar w:fldCharType="begin"/>
      </w:r>
      <w:r>
        <w:rPr>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sz w:val="24"/>
        </w:rPr>
        <w:fldChar w:fldCharType="separate"/>
      </w:r>
      <w:r>
        <w:rPr>
          <w:noProof/>
          <w:sz w:val="24"/>
        </w:rPr>
        <w:t>[13]</w:t>
      </w:r>
      <w:r>
        <w:rPr>
          <w:sz w:val="24"/>
        </w:rPr>
        <w:fldChar w:fldCharType="end"/>
      </w:r>
      <w:r w:rsidRPr="00021C28">
        <w:rPr>
          <w:sz w:val="24"/>
        </w:rPr>
        <w:t>. Thus, the hybrid model aims for enhanced accuracy in modeling gold price movements.</w:t>
      </w:r>
      <w:r w:rsidR="007661E9" w:rsidRPr="007661E9">
        <w:rPr>
          <w:sz w:val="24"/>
        </w:rPr>
        <w:t xml:space="preserve"> </w:t>
      </w:r>
      <w:r w:rsidR="007661E9" w:rsidRPr="000965FE">
        <w:rPr>
          <w:sz w:val="24"/>
        </w:rPr>
        <w:t xml:space="preserve">Figure </w:t>
      </w:r>
      <w:r w:rsidR="007661E9">
        <w:rPr>
          <w:sz w:val="24"/>
        </w:rPr>
        <w:t>5</w:t>
      </w:r>
      <w:r w:rsidR="007661E9" w:rsidRPr="000965FE">
        <w:rPr>
          <w:sz w:val="24"/>
        </w:rPr>
        <w:t xml:space="preserve"> shown CNN</w:t>
      </w:r>
      <w:r w:rsidR="007661E9">
        <w:rPr>
          <w:sz w:val="24"/>
        </w:rPr>
        <w:t>-</w:t>
      </w:r>
      <w:proofErr w:type="spellStart"/>
      <w:r w:rsidR="007661E9">
        <w:rPr>
          <w:sz w:val="24"/>
        </w:rPr>
        <w:t>Bilstm</w:t>
      </w:r>
      <w:proofErr w:type="spellEnd"/>
      <w:r w:rsidR="007661E9">
        <w:rPr>
          <w:sz w:val="24"/>
        </w:rPr>
        <w:t xml:space="preserve"> hybrid</w:t>
      </w:r>
      <w:r w:rsidR="007661E9" w:rsidRPr="000965FE">
        <w:rPr>
          <w:sz w:val="24"/>
        </w:rPr>
        <w:t xml:space="preserve"> </w:t>
      </w:r>
      <w:r w:rsidR="007661E9">
        <w:rPr>
          <w:sz w:val="24"/>
        </w:rPr>
        <w:t>m</w:t>
      </w:r>
      <w:r w:rsidR="007661E9" w:rsidRPr="000965FE">
        <w:rPr>
          <w:sz w:val="24"/>
        </w:rPr>
        <w:t xml:space="preserve">odel </w:t>
      </w:r>
      <w:r w:rsidR="007661E9">
        <w:rPr>
          <w:sz w:val="24"/>
        </w:rPr>
        <w:t>a</w:t>
      </w:r>
      <w:r w:rsidR="007661E9" w:rsidRPr="000965FE">
        <w:rPr>
          <w:sz w:val="24"/>
        </w:rPr>
        <w:t>rchitecture</w:t>
      </w:r>
      <w:r w:rsidR="007661E9">
        <w:rPr>
          <w:sz w:val="24"/>
        </w:rPr>
        <w:t>.</w:t>
      </w:r>
    </w:p>
    <w:p w:rsidR="00932A25" w:rsidRDefault="00932A25" w:rsidP="00932A25">
      <w:pPr>
        <w:keepNext/>
        <w:jc w:val="center"/>
      </w:pPr>
      <w:r>
        <w:rPr>
          <w:noProof/>
        </w:rPr>
        <w:lastRenderedPageBreak/>
        <w:drawing>
          <wp:inline distT="0" distB="0" distL="0" distR="0" wp14:anchorId="1874D525" wp14:editId="5521BCFD">
            <wp:extent cx="2332653" cy="31198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bilstm.png"/>
                    <pic:cNvPicPr/>
                  </pic:nvPicPr>
                  <pic:blipFill>
                    <a:blip r:embed="rId10">
                      <a:extLst>
                        <a:ext uri="{28A0092B-C50C-407E-A947-70E740481C1C}">
                          <a14:useLocalDpi xmlns:a14="http://schemas.microsoft.com/office/drawing/2010/main" val="0"/>
                        </a:ext>
                      </a:extLst>
                    </a:blip>
                    <a:stretch>
                      <a:fillRect/>
                    </a:stretch>
                  </pic:blipFill>
                  <pic:spPr>
                    <a:xfrm>
                      <a:off x="0" y="0"/>
                      <a:ext cx="2352013" cy="3145757"/>
                    </a:xfrm>
                    <a:prstGeom prst="rect">
                      <a:avLst/>
                    </a:prstGeom>
                  </pic:spPr>
                </pic:pic>
              </a:graphicData>
            </a:graphic>
          </wp:inline>
        </w:drawing>
      </w:r>
    </w:p>
    <w:p w:rsidR="00932A25" w:rsidRDefault="00932A25" w:rsidP="00932A25">
      <w:pPr>
        <w:pStyle w:val="Caption"/>
        <w:jc w:val="center"/>
      </w:pPr>
      <w:r>
        <w:t xml:space="preserve">Figure </w:t>
      </w:r>
      <w:r w:rsidR="0099121C">
        <w:fldChar w:fldCharType="begin"/>
      </w:r>
      <w:r w:rsidR="0099121C">
        <w:instrText xml:space="preserve"> SEQ Figure \* ARA</w:instrText>
      </w:r>
      <w:r w:rsidR="0099121C">
        <w:instrText xml:space="preserve">BIC </w:instrText>
      </w:r>
      <w:r w:rsidR="0099121C">
        <w:fldChar w:fldCharType="separate"/>
      </w:r>
      <w:r w:rsidR="0099121C">
        <w:rPr>
          <w:noProof/>
        </w:rPr>
        <w:t>5</w:t>
      </w:r>
      <w:r w:rsidR="0099121C">
        <w:rPr>
          <w:noProof/>
        </w:rPr>
        <w:fldChar w:fldCharType="end"/>
      </w:r>
      <w:r>
        <w:t xml:space="preserve"> </w:t>
      </w:r>
      <w:r w:rsidRPr="00450B9C">
        <w:t>shown CNN-</w:t>
      </w:r>
      <w:proofErr w:type="spellStart"/>
      <w:r w:rsidRPr="00450B9C">
        <w:t>Bilstm</w:t>
      </w:r>
      <w:proofErr w:type="spellEnd"/>
      <w:r w:rsidRPr="00450B9C">
        <w:t xml:space="preserve"> hybrid model architecture</w:t>
      </w:r>
      <w:r>
        <w:t>.</w:t>
      </w:r>
    </w:p>
    <w:p w:rsidR="00D5578B" w:rsidRPr="00D5578B" w:rsidRDefault="00D5578B" w:rsidP="00D5578B">
      <w:pPr>
        <w:pStyle w:val="NormalWeb"/>
        <w:rPr>
          <w:rFonts w:asciiTheme="majorHAnsi" w:eastAsiaTheme="majorEastAsia" w:hAnsiTheme="majorHAnsi" w:cstheme="majorBidi"/>
          <w:b/>
          <w:bCs/>
          <w:color w:val="4F81BD" w:themeColor="accent1"/>
          <w:sz w:val="28"/>
          <w:szCs w:val="22"/>
        </w:rPr>
      </w:pPr>
      <w:r w:rsidRPr="00D5578B">
        <w:rPr>
          <w:rFonts w:asciiTheme="majorHAnsi" w:eastAsiaTheme="majorEastAsia" w:hAnsiTheme="majorHAnsi" w:cstheme="majorBidi"/>
          <w:b/>
          <w:bCs/>
          <w:color w:val="4F81BD" w:themeColor="accent1"/>
          <w:sz w:val="28"/>
          <w:szCs w:val="22"/>
        </w:rPr>
        <w:t xml:space="preserve">3.6 Training and Optimization  </w:t>
      </w:r>
    </w:p>
    <w:p w:rsidR="007F4678" w:rsidRDefault="0020541A" w:rsidP="007F4678">
      <w:pPr>
        <w:pStyle w:val="NormalWeb"/>
      </w:pPr>
      <w:r>
        <w:rPr>
          <w:rFonts w:hint="cs"/>
          <w:rtl/>
        </w:rPr>
        <w:t xml:space="preserve"> </w:t>
      </w:r>
      <w:r w:rsidRPr="0020541A">
        <w:t>Presented below are the optimization function, learning rate, batch size, loss function, and evaluation function employed in the training of our four models. It is noteworthy that we utilized a training fit function to mitigate the risk of overfitting.</w:t>
      </w:r>
    </w:p>
    <w:p w:rsidR="00D5578B" w:rsidRDefault="00D5578B" w:rsidP="00D5578B">
      <w:pPr>
        <w:pStyle w:val="NormalWeb"/>
        <w:numPr>
          <w:ilvl w:val="1"/>
          <w:numId w:val="37"/>
        </w:numPr>
        <w:ind w:left="1170"/>
      </w:pPr>
      <w:r>
        <w:t xml:space="preserve">The models underwent training utilizing the Adam optimizer, configured with a learning rate of 0.001.  </w:t>
      </w:r>
    </w:p>
    <w:p w:rsidR="00D5578B" w:rsidRDefault="00D5578B" w:rsidP="00D5578B">
      <w:pPr>
        <w:pStyle w:val="NormalWeb"/>
        <w:numPr>
          <w:ilvl w:val="1"/>
          <w:numId w:val="37"/>
        </w:numPr>
        <w:ind w:left="1170"/>
      </w:pPr>
      <w:r>
        <w:t xml:space="preserve">The Mean Squared Error (MSE) served as the loss function, while the Mean Absolute Error (MAE) was monitored as an assessment metric.  </w:t>
      </w:r>
    </w:p>
    <w:p w:rsidR="00D5578B" w:rsidRDefault="00D5578B" w:rsidP="00D5578B">
      <w:pPr>
        <w:pStyle w:val="NormalWeb"/>
        <w:numPr>
          <w:ilvl w:val="1"/>
          <w:numId w:val="37"/>
        </w:numPr>
        <w:ind w:left="1170"/>
      </w:pPr>
      <w:r>
        <w:t xml:space="preserve">A batch size of 32 was established, and training was conducted for a maximum of 1000 epochs. To prevent overfitting, </w:t>
      </w:r>
      <w:proofErr w:type="spellStart"/>
      <w:r>
        <w:t>EarlyStopping</w:t>
      </w:r>
      <w:proofErr w:type="spellEnd"/>
      <w:r>
        <w:t xml:space="preserve"> was implemented with a patience parameter set to 100 epochs, thereby restoring the optimal model weights obtained throughout the training process.</w:t>
      </w:r>
    </w:p>
    <w:p w:rsidR="0004127A" w:rsidRDefault="0020541A">
      <w:pPr>
        <w:pStyle w:val="Heading2"/>
      </w:pPr>
      <w:r>
        <w:rPr>
          <w:sz w:val="36"/>
        </w:rPr>
        <w:t>4</w:t>
      </w:r>
      <w:r w:rsidR="00144FA5">
        <w:rPr>
          <w:sz w:val="36"/>
        </w:rPr>
        <w:t>. Results and Discussion</w:t>
      </w:r>
    </w:p>
    <w:p w:rsidR="0004127A" w:rsidRDefault="00144FA5">
      <w:pPr>
        <w:rPr>
          <w:sz w:val="24"/>
          <w:rtl/>
        </w:rPr>
      </w:pPr>
      <w:r>
        <w:rPr>
          <w:sz w:val="24"/>
        </w:rPr>
        <w:t xml:space="preserve">The predictive potential of three deep learning models—BiLSTM, CNN, and Hybrid CNN-BiLSTM—in forecasting gold prices was empirically examined. Results indicate the Hybrid CNN-BiLSTM model yields considerably enhanced generalization and prediction accuracy. Gold, an extensively traded commodity with approximately a third of annual extraction annually recycled, commands significant market interest. Proposed for its predictive capacity regarding gold prices, the Hybrid CNN-BiLSTM model combines complementary capabilities: BiLSTM captures lead-lag relationships through dual-sequence processing, whereas CNN extracts crucial </w:t>
      </w:r>
      <w:r>
        <w:rPr>
          <w:sz w:val="24"/>
        </w:rPr>
        <w:lastRenderedPageBreak/>
        <w:t xml:space="preserve">features efficiently and diminishes noise. The performance of these models was evaluated on benchmark datasets over a temporal scope spanning 2000 to 2022, with assessment employing indicators such as RMSE, MAPE, FXPO, and R². The methodology to develop and validate this predictive architecture is detailed subsequently </w:t>
      </w:r>
      <w:r>
        <w:rPr>
          <w:color w:val="000000"/>
          <w:sz w:val="24"/>
        </w:rPr>
        <w:t>[17]</w:t>
      </w:r>
      <w:r>
        <w:rPr>
          <w:sz w:val="24"/>
        </w:rPr>
        <w:t>.</w:t>
      </w:r>
    </w:p>
    <w:p w:rsidR="00380E9F" w:rsidRDefault="00380E9F" w:rsidP="00380E9F">
      <w:pPr>
        <w:pStyle w:val="Heading3"/>
      </w:pPr>
      <w:r>
        <w:rPr>
          <w:sz w:val="28"/>
        </w:rPr>
        <w:t xml:space="preserve">5.1. Performance of </w:t>
      </w:r>
      <w:proofErr w:type="spellStart"/>
      <w:r>
        <w:rPr>
          <w:sz w:val="28"/>
        </w:rPr>
        <w:t>BiLSTM</w:t>
      </w:r>
      <w:proofErr w:type="spellEnd"/>
      <w:r>
        <w:rPr>
          <w:sz w:val="28"/>
        </w:rPr>
        <w:t xml:space="preserve"> Model</w:t>
      </w:r>
    </w:p>
    <w:p w:rsidR="00EA5E85" w:rsidRDefault="00EA5E85">
      <w:pPr>
        <w:rPr>
          <w:sz w:val="24"/>
          <w:rtl/>
        </w:rPr>
      </w:pPr>
    </w:p>
    <w:p w:rsidR="00EA5E85" w:rsidRPr="00380E9F" w:rsidRDefault="00380E9F" w:rsidP="00380E9F">
      <w:pPr>
        <w:pStyle w:val="Heading3"/>
        <w:rPr>
          <w:sz w:val="28"/>
        </w:rPr>
      </w:pPr>
      <w:r>
        <w:rPr>
          <w:sz w:val="28"/>
        </w:rPr>
        <w:t xml:space="preserve">5.2. </w:t>
      </w:r>
      <w:r w:rsidR="00EA5E85" w:rsidRPr="00380E9F">
        <w:rPr>
          <w:sz w:val="28"/>
        </w:rPr>
        <w:t>Training Behavior and Early Stopping</w:t>
      </w:r>
    </w:p>
    <w:p w:rsidR="00EA5E85" w:rsidRPr="00EA5E85" w:rsidRDefault="00EA5E85" w:rsidP="00EA5E85">
      <w:pPr>
        <w:spacing w:before="100" w:beforeAutospacing="1" w:after="100" w:afterAutospacing="1" w:line="240" w:lineRule="auto"/>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The training processes for all models were directed by the Early Stopping mechanism, which automatically terminated training once there was no observable enhancement in validation performance. Table 1 provides a summary of the stopping epoch, validation loss, and validation mean absolute error (MAE) for each respective model.</w:t>
      </w:r>
    </w:p>
    <w:p w:rsidR="000F52AC" w:rsidRDefault="000F52AC" w:rsidP="000F52AC">
      <w:pPr>
        <w:pStyle w:val="Caption"/>
        <w:keepNext/>
      </w:pPr>
      <w:r>
        <w:t xml:space="preserve">Table </w:t>
      </w:r>
      <w:fldSimple w:instr=" SEQ Table \* ARABIC ">
        <w:r>
          <w:rPr>
            <w:noProof/>
          </w:rPr>
          <w:t>1</w:t>
        </w:r>
      </w:fldSimple>
      <w:r>
        <w:t>.</w:t>
      </w:r>
      <w:r w:rsidRPr="007615DF">
        <w:t>Early Stopping Results</w:t>
      </w:r>
      <w:r>
        <w:t>.</w:t>
      </w:r>
    </w:p>
    <w:tbl>
      <w:tblPr>
        <w:tblStyle w:val="TableGrid"/>
        <w:tblW w:w="0" w:type="auto"/>
        <w:tblInd w:w="-5" w:type="dxa"/>
        <w:tblLook w:val="04A0" w:firstRow="1" w:lastRow="0" w:firstColumn="1" w:lastColumn="0" w:noHBand="0" w:noVBand="1"/>
      </w:tblPr>
      <w:tblGrid>
        <w:gridCol w:w="2148"/>
        <w:gridCol w:w="1397"/>
        <w:gridCol w:w="1123"/>
        <w:gridCol w:w="1216"/>
        <w:gridCol w:w="1557"/>
      </w:tblGrid>
      <w:tr w:rsidR="00EA5E85" w:rsidRPr="00EA5E85" w:rsidTr="00600256">
        <w:tc>
          <w:tcPr>
            <w:tcW w:w="2148" w:type="dxa"/>
            <w:shd w:val="clear" w:color="auto" w:fill="D9D9D9" w:themeFill="background1" w:themeFillShade="D9"/>
            <w:hideMark/>
          </w:tcPr>
          <w:p w:rsidR="00EA5E85" w:rsidRPr="00EA5E85" w:rsidRDefault="00EA5E85" w:rsidP="00EA5E85">
            <w:pPr>
              <w:jc w:val="center"/>
              <w:rPr>
                <w:rFonts w:ascii="Times New Roman" w:eastAsia="Times New Roman" w:hAnsi="Times New Roman" w:cs="Times New Roman"/>
                <w:b/>
                <w:bCs/>
                <w:sz w:val="24"/>
                <w:szCs w:val="24"/>
              </w:rPr>
            </w:pPr>
            <w:r w:rsidRPr="00EA5E85">
              <w:rPr>
                <w:rFonts w:ascii="Times New Roman" w:eastAsia="Times New Roman" w:hAnsi="Times New Roman" w:cs="Times New Roman"/>
                <w:b/>
                <w:bCs/>
                <w:sz w:val="24"/>
                <w:szCs w:val="24"/>
              </w:rPr>
              <w:t>Model</w:t>
            </w:r>
          </w:p>
        </w:tc>
        <w:tc>
          <w:tcPr>
            <w:tcW w:w="0" w:type="auto"/>
            <w:shd w:val="clear" w:color="auto" w:fill="D9D9D9" w:themeFill="background1" w:themeFillShade="D9"/>
            <w:hideMark/>
          </w:tcPr>
          <w:p w:rsidR="00EA5E85" w:rsidRPr="00EA5E85" w:rsidRDefault="00EA5E85" w:rsidP="00EA5E85">
            <w:pPr>
              <w:jc w:val="center"/>
              <w:rPr>
                <w:rFonts w:ascii="Times New Roman" w:eastAsia="Times New Roman" w:hAnsi="Times New Roman" w:cs="Times New Roman"/>
                <w:b/>
                <w:bCs/>
                <w:sz w:val="24"/>
                <w:szCs w:val="24"/>
              </w:rPr>
            </w:pPr>
            <w:r w:rsidRPr="00EA5E85">
              <w:rPr>
                <w:rFonts w:ascii="Times New Roman" w:eastAsia="Times New Roman" w:hAnsi="Times New Roman" w:cs="Times New Roman"/>
                <w:b/>
                <w:bCs/>
                <w:sz w:val="24"/>
                <w:szCs w:val="24"/>
              </w:rPr>
              <w:t>Epoch Stop</w:t>
            </w:r>
          </w:p>
        </w:tc>
        <w:tc>
          <w:tcPr>
            <w:tcW w:w="0" w:type="auto"/>
            <w:shd w:val="clear" w:color="auto" w:fill="D9D9D9" w:themeFill="background1" w:themeFillShade="D9"/>
            <w:hideMark/>
          </w:tcPr>
          <w:p w:rsidR="00EA5E85" w:rsidRPr="00EA5E85" w:rsidRDefault="00EA5E85" w:rsidP="00EA5E85">
            <w:pPr>
              <w:jc w:val="center"/>
              <w:rPr>
                <w:rFonts w:ascii="Times New Roman" w:eastAsia="Times New Roman" w:hAnsi="Times New Roman" w:cs="Times New Roman"/>
                <w:b/>
                <w:bCs/>
                <w:sz w:val="24"/>
                <w:szCs w:val="24"/>
              </w:rPr>
            </w:pPr>
            <w:r w:rsidRPr="00EA5E85">
              <w:rPr>
                <w:rFonts w:ascii="Times New Roman" w:eastAsia="Times New Roman" w:hAnsi="Times New Roman" w:cs="Times New Roman"/>
                <w:b/>
                <w:bCs/>
                <w:sz w:val="24"/>
                <w:szCs w:val="24"/>
              </w:rPr>
              <w:t>Val-Loss</w:t>
            </w:r>
          </w:p>
        </w:tc>
        <w:tc>
          <w:tcPr>
            <w:tcW w:w="0" w:type="auto"/>
            <w:shd w:val="clear" w:color="auto" w:fill="D9D9D9" w:themeFill="background1" w:themeFillShade="D9"/>
            <w:hideMark/>
          </w:tcPr>
          <w:p w:rsidR="00EA5E85" w:rsidRPr="00EA5E85" w:rsidRDefault="00EA5E85" w:rsidP="00EA5E85">
            <w:pPr>
              <w:jc w:val="center"/>
              <w:rPr>
                <w:rFonts w:ascii="Times New Roman" w:eastAsia="Times New Roman" w:hAnsi="Times New Roman" w:cs="Times New Roman"/>
                <w:b/>
                <w:bCs/>
                <w:sz w:val="24"/>
                <w:szCs w:val="24"/>
              </w:rPr>
            </w:pPr>
            <w:r w:rsidRPr="00EA5E85">
              <w:rPr>
                <w:rFonts w:ascii="Times New Roman" w:eastAsia="Times New Roman" w:hAnsi="Times New Roman" w:cs="Times New Roman"/>
                <w:b/>
                <w:bCs/>
                <w:sz w:val="24"/>
                <w:szCs w:val="24"/>
              </w:rPr>
              <w:t>Val-MAE</w:t>
            </w:r>
          </w:p>
        </w:tc>
        <w:tc>
          <w:tcPr>
            <w:tcW w:w="0" w:type="auto"/>
            <w:shd w:val="clear" w:color="auto" w:fill="D9D9D9" w:themeFill="background1" w:themeFillShade="D9"/>
            <w:hideMark/>
          </w:tcPr>
          <w:p w:rsidR="00EA5E85" w:rsidRPr="00EA5E85" w:rsidRDefault="00EA5E85" w:rsidP="00EA5E85">
            <w:pPr>
              <w:jc w:val="center"/>
              <w:rPr>
                <w:rFonts w:ascii="Times New Roman" w:eastAsia="Times New Roman" w:hAnsi="Times New Roman" w:cs="Times New Roman"/>
                <w:b/>
                <w:bCs/>
                <w:sz w:val="24"/>
                <w:szCs w:val="24"/>
              </w:rPr>
            </w:pPr>
            <w:r w:rsidRPr="00EA5E85">
              <w:rPr>
                <w:rFonts w:ascii="Times New Roman" w:eastAsia="Times New Roman" w:hAnsi="Times New Roman" w:cs="Times New Roman"/>
                <w:b/>
                <w:bCs/>
                <w:sz w:val="24"/>
                <w:szCs w:val="24"/>
              </w:rPr>
              <w:t>Window Size</w:t>
            </w:r>
          </w:p>
        </w:tc>
      </w:tr>
      <w:tr w:rsidR="00EA5E85" w:rsidRPr="00EA5E85" w:rsidTr="00600256">
        <w:tc>
          <w:tcPr>
            <w:tcW w:w="2148" w:type="dxa"/>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 – 30 days</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21</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0.0011</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0.0256</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30</w:t>
            </w:r>
          </w:p>
        </w:tc>
      </w:tr>
      <w:tr w:rsidR="00EA5E85" w:rsidRPr="00EA5E85" w:rsidTr="00600256">
        <w:tc>
          <w:tcPr>
            <w:tcW w:w="2148" w:type="dxa"/>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CNN-Bi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82</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0.0018</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0.0353</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30</w:t>
            </w:r>
          </w:p>
        </w:tc>
      </w:tr>
      <w:tr w:rsidR="00EA5E85" w:rsidRPr="00EA5E85" w:rsidTr="00600256">
        <w:tc>
          <w:tcPr>
            <w:tcW w:w="2148" w:type="dxa"/>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CNN</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31</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0.0018</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0.0329</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30</w:t>
            </w:r>
          </w:p>
        </w:tc>
      </w:tr>
      <w:tr w:rsidR="00EA5E85" w:rsidRPr="00EA5E85" w:rsidTr="00600256">
        <w:tc>
          <w:tcPr>
            <w:tcW w:w="2148" w:type="dxa"/>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 – 1 day</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44</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0.0005</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0.0180</w:t>
            </w:r>
          </w:p>
        </w:tc>
        <w:tc>
          <w:tcPr>
            <w:tcW w:w="0" w:type="auto"/>
            <w:hideMark/>
          </w:tcPr>
          <w:p w:rsidR="00EA5E85" w:rsidRPr="00EA5E85" w:rsidRDefault="00EA5E85" w:rsidP="00EA5E85">
            <w:pPr>
              <w:rPr>
                <w:rFonts w:ascii="Times New Roman" w:eastAsia="Times New Roman" w:hAnsi="Times New Roman" w:cs="Times New Roman"/>
                <w:sz w:val="24"/>
                <w:szCs w:val="24"/>
              </w:rPr>
            </w:pPr>
            <w:r w:rsidRPr="00EA5E85">
              <w:rPr>
                <w:rFonts w:ascii="Times New Roman" w:eastAsia="Times New Roman" w:hAnsi="Times New Roman" w:cs="Times New Roman"/>
                <w:sz w:val="24"/>
                <w:szCs w:val="24"/>
              </w:rPr>
              <w:t>1</w:t>
            </w:r>
          </w:p>
        </w:tc>
      </w:tr>
    </w:tbl>
    <w:p w:rsidR="00EA5E85" w:rsidRDefault="00EA5E85" w:rsidP="00E275C5">
      <w:pPr>
        <w:spacing w:before="100" w:beforeAutospacing="1" w:after="100" w:afterAutospacing="1" w:line="240" w:lineRule="auto"/>
      </w:pPr>
      <w:r w:rsidRPr="00EA5E85">
        <w:rPr>
          <w:rFonts w:ascii="Times New Roman" w:eastAsia="Times New Roman" w:hAnsi="Times New Roman" w:cs="Times New Roman"/>
          <w:sz w:val="24"/>
          <w:szCs w:val="24"/>
        </w:rPr>
        <w:t>The findings indicate that the 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 utilizing a 1-day window surpassed all alternative models, attaining the lowest validation loss (0.0005) and error rate (0.018 MAE). Conversely, the CNN-Bi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 necessitated a considerably greater number of epochs (82) yet failed to reach higher accuracy. Meanwhile, the CNN model demonstrated a restricted capacity to capture sequential dependencies. The Bi</w:t>
      </w:r>
      <w:r w:rsidR="00380E9F">
        <w:rPr>
          <w:rFonts w:ascii="Times New Roman" w:eastAsia="Times New Roman" w:hAnsi="Times New Roman" w:cs="Times New Roman"/>
          <w:sz w:val="24"/>
          <w:szCs w:val="24"/>
        </w:rPr>
        <w:t>-</w:t>
      </w:r>
      <w:r w:rsidRPr="00EA5E85">
        <w:rPr>
          <w:rFonts w:ascii="Times New Roman" w:eastAsia="Times New Roman" w:hAnsi="Times New Roman" w:cs="Times New Roman"/>
          <w:sz w:val="24"/>
          <w:szCs w:val="24"/>
        </w:rPr>
        <w:t>LSTM configured with a 30-day window produced competitive results; however, it was less precise than the 1-day configuration, thereby affirming the significance of short-term patterns in predicting gold prices.</w:t>
      </w:r>
      <w:r w:rsidR="00E275C5" w:rsidRPr="00E275C5">
        <w:t xml:space="preserve"> </w:t>
      </w:r>
      <w:r w:rsidR="00E275C5">
        <w:t>Figures 6, 7, 8, and 9 provide a visual representation of the performance exhibited by the four aforementioned models throughout the training process.</w:t>
      </w:r>
    </w:p>
    <w:p w:rsidR="00600256" w:rsidRDefault="00600256" w:rsidP="00600256">
      <w:pPr>
        <w:keepNext/>
        <w:spacing w:before="100" w:beforeAutospacing="1" w:after="100" w:afterAutospacing="1" w:line="240" w:lineRule="auto"/>
        <w:jc w:val="center"/>
      </w:pPr>
      <w:r>
        <w:rPr>
          <w:rFonts w:ascii="Times New Roman" w:eastAsia="Times New Roman" w:hAnsi="Times New Roman" w:cs="Times New Roman"/>
          <w:noProof/>
          <w:sz w:val="24"/>
          <w:szCs w:val="24"/>
        </w:rPr>
        <w:drawing>
          <wp:inline distT="0" distB="0" distL="0" distR="0" wp14:anchorId="2AE84F61" wp14:editId="2D3A18C7">
            <wp:extent cx="3617634" cy="16167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 epoch.png"/>
                    <pic:cNvPicPr/>
                  </pic:nvPicPr>
                  <pic:blipFill>
                    <a:blip r:embed="rId11">
                      <a:extLst>
                        <a:ext uri="{28A0092B-C50C-407E-A947-70E740481C1C}">
                          <a14:useLocalDpi xmlns:a14="http://schemas.microsoft.com/office/drawing/2010/main" val="0"/>
                        </a:ext>
                      </a:extLst>
                    </a:blip>
                    <a:stretch>
                      <a:fillRect/>
                    </a:stretch>
                  </pic:blipFill>
                  <pic:spPr>
                    <a:xfrm>
                      <a:off x="0" y="0"/>
                      <a:ext cx="3617634" cy="1616710"/>
                    </a:xfrm>
                    <a:prstGeom prst="rect">
                      <a:avLst/>
                    </a:prstGeom>
                  </pic:spPr>
                </pic:pic>
              </a:graphicData>
            </a:graphic>
          </wp:inline>
        </w:drawing>
      </w:r>
    </w:p>
    <w:p w:rsidR="00600256" w:rsidRPr="00EA5E85" w:rsidRDefault="00600256" w:rsidP="00600256">
      <w:pPr>
        <w:pStyle w:val="Caption"/>
        <w:jc w:val="center"/>
        <w:rPr>
          <w:rFonts w:ascii="Times New Roman" w:eastAsia="Times New Roman" w:hAnsi="Times New Roman" w:cs="Times New Roman"/>
          <w:sz w:val="24"/>
          <w:szCs w:val="24"/>
        </w:rPr>
      </w:pPr>
      <w:r>
        <w:t xml:space="preserve">Figure </w:t>
      </w:r>
      <w:fldSimple w:instr=" SEQ Figure \* ARABIC ">
        <w:r w:rsidR="0099121C">
          <w:rPr>
            <w:noProof/>
          </w:rPr>
          <w:t>6</w:t>
        </w:r>
      </w:fldSimple>
      <w:r>
        <w:t>. Bi-LSTM Model - 30Day</w:t>
      </w:r>
    </w:p>
    <w:p w:rsidR="00600256" w:rsidRDefault="00600256" w:rsidP="00600256">
      <w:pPr>
        <w:keepNext/>
        <w:jc w:val="center"/>
      </w:pPr>
      <w:r>
        <w:rPr>
          <w:noProof/>
        </w:rPr>
        <w:lastRenderedPageBreak/>
        <w:drawing>
          <wp:inline distT="0" distB="0" distL="0" distR="0" wp14:anchorId="1832AFAA" wp14:editId="6B89DBCE">
            <wp:extent cx="3835573" cy="17708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bilstm-best epoch.png"/>
                    <pic:cNvPicPr/>
                  </pic:nvPicPr>
                  <pic:blipFill>
                    <a:blip r:embed="rId12">
                      <a:extLst>
                        <a:ext uri="{28A0092B-C50C-407E-A947-70E740481C1C}">
                          <a14:useLocalDpi xmlns:a14="http://schemas.microsoft.com/office/drawing/2010/main" val="0"/>
                        </a:ext>
                      </a:extLst>
                    </a:blip>
                    <a:stretch>
                      <a:fillRect/>
                    </a:stretch>
                  </pic:blipFill>
                  <pic:spPr>
                    <a:xfrm>
                      <a:off x="0" y="0"/>
                      <a:ext cx="3835573" cy="1770845"/>
                    </a:xfrm>
                    <a:prstGeom prst="rect">
                      <a:avLst/>
                    </a:prstGeom>
                  </pic:spPr>
                </pic:pic>
              </a:graphicData>
            </a:graphic>
          </wp:inline>
        </w:drawing>
      </w:r>
    </w:p>
    <w:p w:rsidR="00EA5E85" w:rsidRDefault="00600256" w:rsidP="00600256">
      <w:pPr>
        <w:pStyle w:val="Caption"/>
        <w:jc w:val="center"/>
      </w:pPr>
      <w:r>
        <w:t xml:space="preserve">Figure </w:t>
      </w:r>
      <w:fldSimple w:instr=" SEQ Figure \* ARABIC ">
        <w:r w:rsidR="0099121C">
          <w:rPr>
            <w:noProof/>
          </w:rPr>
          <w:t>7</w:t>
        </w:r>
      </w:fldSimple>
      <w:r>
        <w:t>. CNN-Bi-LSTM Model</w:t>
      </w:r>
    </w:p>
    <w:p w:rsidR="00600256" w:rsidRDefault="00600256" w:rsidP="00600256">
      <w:pPr>
        <w:keepNext/>
        <w:jc w:val="center"/>
      </w:pPr>
      <w:r>
        <w:rPr>
          <w:noProof/>
        </w:rPr>
        <w:drawing>
          <wp:inline distT="0" distB="0" distL="0" distR="0" wp14:anchorId="375FC8C5" wp14:editId="70A5F44C">
            <wp:extent cx="3831464" cy="176894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best epoch.png"/>
                    <pic:cNvPicPr/>
                  </pic:nvPicPr>
                  <pic:blipFill>
                    <a:blip r:embed="rId13">
                      <a:extLst>
                        <a:ext uri="{28A0092B-C50C-407E-A947-70E740481C1C}">
                          <a14:useLocalDpi xmlns:a14="http://schemas.microsoft.com/office/drawing/2010/main" val="0"/>
                        </a:ext>
                      </a:extLst>
                    </a:blip>
                    <a:stretch>
                      <a:fillRect/>
                    </a:stretch>
                  </pic:blipFill>
                  <pic:spPr>
                    <a:xfrm>
                      <a:off x="0" y="0"/>
                      <a:ext cx="3878476" cy="1790653"/>
                    </a:xfrm>
                    <a:prstGeom prst="rect">
                      <a:avLst/>
                    </a:prstGeom>
                  </pic:spPr>
                </pic:pic>
              </a:graphicData>
            </a:graphic>
          </wp:inline>
        </w:drawing>
      </w:r>
    </w:p>
    <w:p w:rsidR="00600256" w:rsidRDefault="00600256" w:rsidP="00600256">
      <w:pPr>
        <w:pStyle w:val="Caption"/>
        <w:jc w:val="center"/>
      </w:pPr>
      <w:r>
        <w:t xml:space="preserve">Figure </w:t>
      </w:r>
      <w:fldSimple w:instr=" SEQ Figure \* ARABIC ">
        <w:r w:rsidR="0099121C">
          <w:rPr>
            <w:noProof/>
          </w:rPr>
          <w:t>8</w:t>
        </w:r>
      </w:fldSimple>
      <w:r>
        <w:t>. CNN Model</w:t>
      </w:r>
    </w:p>
    <w:p w:rsidR="0099121C" w:rsidRDefault="0099121C" w:rsidP="0099121C">
      <w:pPr>
        <w:keepNext/>
        <w:jc w:val="center"/>
      </w:pPr>
      <w:r>
        <w:rPr>
          <w:noProof/>
        </w:rPr>
        <w:drawing>
          <wp:inline distT="0" distB="0" distL="0" distR="0" wp14:anchorId="59FE0C1C" wp14:editId="02238084">
            <wp:extent cx="3882980" cy="179273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stm -1day best epoch.png"/>
                    <pic:cNvPicPr/>
                  </pic:nvPicPr>
                  <pic:blipFill>
                    <a:blip r:embed="rId14">
                      <a:extLst>
                        <a:ext uri="{28A0092B-C50C-407E-A947-70E740481C1C}">
                          <a14:useLocalDpi xmlns:a14="http://schemas.microsoft.com/office/drawing/2010/main" val="0"/>
                        </a:ext>
                      </a:extLst>
                    </a:blip>
                    <a:stretch>
                      <a:fillRect/>
                    </a:stretch>
                  </pic:blipFill>
                  <pic:spPr>
                    <a:xfrm>
                      <a:off x="0" y="0"/>
                      <a:ext cx="3923308" cy="1811351"/>
                    </a:xfrm>
                    <a:prstGeom prst="rect">
                      <a:avLst/>
                    </a:prstGeom>
                  </pic:spPr>
                </pic:pic>
              </a:graphicData>
            </a:graphic>
          </wp:inline>
        </w:drawing>
      </w:r>
    </w:p>
    <w:p w:rsidR="00600256" w:rsidRPr="00600256" w:rsidRDefault="0099121C" w:rsidP="0099121C">
      <w:pPr>
        <w:pStyle w:val="Caption"/>
        <w:jc w:val="center"/>
      </w:pPr>
      <w:r>
        <w:t xml:space="preserve">Figure </w:t>
      </w:r>
      <w:fldSimple w:instr=" SEQ Figure \* ARABIC ">
        <w:r>
          <w:rPr>
            <w:noProof/>
          </w:rPr>
          <w:t>9</w:t>
        </w:r>
      </w:fldSimple>
      <w:r>
        <w:t>. Bi-LSTM Model - 1Day</w:t>
      </w:r>
      <w:bookmarkStart w:id="0" w:name="_GoBack"/>
      <w:bookmarkEnd w:id="0"/>
    </w:p>
    <w:p w:rsidR="0004127A" w:rsidRDefault="00144FA5">
      <w:pPr>
        <w:pStyle w:val="Heading3"/>
      </w:pPr>
      <w:r>
        <w:rPr>
          <w:sz w:val="28"/>
        </w:rPr>
        <w:t>5.1. Performance of BiLSTM Model</w:t>
      </w:r>
    </w:p>
    <w:p w:rsidR="0004127A" w:rsidRDefault="00144FA5">
      <w:r>
        <w:rPr>
          <w:sz w:val="24"/>
        </w:rPr>
        <w:t xml:space="preserve">BiLSTM is a deep learning model with a symmetrical structure comprising two identical LSTM branches. They process sequential information in opposite directions, capturing temporal dependencies from both past and future contexts. Its ability to analyze sequences bidirectionally results in effective information extraction, making it suitable for time series prediction tasks like gold price forecasting </w:t>
      </w:r>
      <w:r>
        <w:rPr>
          <w:color w:val="000000"/>
          <w:sz w:val="24"/>
        </w:rPr>
        <w:t>[17]</w:t>
      </w:r>
      <w:r>
        <w:rPr>
          <w:sz w:val="24"/>
        </w:rPr>
        <w:t>.</w:t>
      </w:r>
    </w:p>
    <w:p w:rsidR="0004127A" w:rsidRDefault="00144FA5">
      <w:r>
        <w:rPr>
          <w:sz w:val="24"/>
        </w:rPr>
        <w:lastRenderedPageBreak/>
        <w:t>The performance of the BiLSTM model is evaluated using root mean squared error (RMSE), mean absolute error (MAE), mean absolute percentage error (MAPE), and determination coefficient (R-squared). Experimental results indicate that BiLSTM achieves RMSE of 22.782, MAE of 16.957, MAPE of 6.008, and R-squared of 0.958, outperforming CNN but not the hybrid CNN-BiLSTM model. The hybrid model attains the highest accuracy with an RMSE of 19.446, MAE of 12.729, MAPE of 4.375, and R-squared of 0.971.</w:t>
      </w:r>
    </w:p>
    <w:p w:rsidR="0004127A" w:rsidRDefault="00144FA5">
      <w:pPr>
        <w:pStyle w:val="Heading3"/>
      </w:pPr>
      <w:r>
        <w:rPr>
          <w:sz w:val="28"/>
        </w:rPr>
        <w:t>5.2. Performance of CNN Model</w:t>
      </w:r>
    </w:p>
    <w:p w:rsidR="0004127A" w:rsidRDefault="00144FA5">
      <w:r>
        <w:rPr>
          <w:sz w:val="24"/>
        </w:rPr>
        <w:t xml:space="preserve">The CNN architecture consists of an input layer, two convolutional layers, a max-pooling layer, a dropout layer, a flatten layer, a fully connected layer, and an output layer </w:t>
      </w:r>
      <w:r>
        <w:rPr>
          <w:color w:val="000000"/>
          <w:sz w:val="24"/>
        </w:rPr>
        <w:t>[17]</w:t>
      </w:r>
      <w:r>
        <w:rPr>
          <w:sz w:val="24"/>
        </w:rPr>
        <w:t>. Figure 10 illustrates the training and validation loss during model training. The CNN model achieves an RMSE below 0.02 on both training and validation datasets, confirming effective convergence without significant overfitting. The testing phase yields an RMSE around 0.02, demonstrating robust predictive performance on new data. Within the experimental timeframe, the CNN model attains an RMSE of 0.0183 and an MAE of 0.0123. These results surpass those reported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Heading3"/>
      </w:pPr>
      <w:r>
        <w:rPr>
          <w:sz w:val="28"/>
        </w:rPr>
        <w:t>5.3. Performance of Hybrid Model</w:t>
      </w:r>
    </w:p>
    <w:p w:rsidR="0004127A" w:rsidRDefault="00144FA5">
      <w:r>
        <w:rPr>
          <w:sz w:val="24"/>
        </w:rPr>
        <w:t xml:space="preserve">The experimental outcome demonstrates that the hybrid model yields a better prediction of gold price than the individual BiLSTM and CNN models. The CNN technique maintains the same directional accuracy as the BiLSTM approach but suffers from a lower coefficient of determination (R2) and higher prediction errors, such as root mean square error (RMSE) and mean absolute error (MAE). The hybrid CNN-BiLSTM model exhibits improvements across most prediction performance metrics, though it attains only an intermediate directional accuracy. Among the individual methods, BiLSTM provides more accurate forecasting results than CNN. Although the predicted values closely follow the ground truth in most cases, the hybrid model occasionally overestimates during periods of downward trend, thereby reducing directional forecasting accuracy. By effectively capturing time-series characteristics, the hybrid CNN-BiLSTM model offers the highest forecasting accuracy with the lowest RMSE and MAE values, as well as the highest R2. Overall, the hybrid approach demonstrates superior performance in forecasting the trend and magnitude of gold price movements compared to either standalone model. The individual repeatable models yield lower average errors, yet the hybrid structure enhances overall predictive accuracy </w:t>
      </w:r>
      <w:r>
        <w:rPr>
          <w:color w:val="000000"/>
          <w:sz w:val="24"/>
        </w:rPr>
        <w:t>[17]</w:t>
      </w:r>
      <w:r>
        <w:rPr>
          <w:sz w:val="24"/>
        </w:rPr>
        <w:t>.</w:t>
      </w:r>
    </w:p>
    <w:p w:rsidR="0004127A" w:rsidRDefault="00144FA5">
      <w:pPr>
        <w:pStyle w:val="Heading3"/>
      </w:pPr>
      <w:r>
        <w:rPr>
          <w:sz w:val="28"/>
        </w:rPr>
        <w:lastRenderedPageBreak/>
        <w:t>5.4. Comparative Analysis of Models</w:t>
      </w:r>
    </w:p>
    <w:p w:rsidR="0004127A" w:rsidRDefault="00144FA5">
      <w:r>
        <w:rPr>
          <w:sz w:val="24"/>
        </w:rPr>
        <w:t xml:space="preserve">Table 5.1 showcases the models’ parameter configurations alongside their respective performance metrics. Evidently, the hybrid CNN-BiLSTM model exhibits the lowest RMSE, MAE, and R-squared values, thereby surpassing the individual BiLSTM and CNN architectures in forecasting accuracy. The comparative analysis also reveals that BiLSTM outperforms CNN, underscoring the BiLSTM’s superior capability in temporal modeling. The enhanced performance of the hybrid model is attributable to its integrated architecture: CNN layers extract and present features sequentially to BiLSTM components, allowing the latter to effectively capture long-term dependencies by proficient forget-gate management.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The investigation 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 xml:space="preserve">Despite the promising results, several limitations warrant acknowledgment. First, the scope of models considered is limited to the selected deep-learning techniques; incorporating additional architectures could provide a more comprehensive perspective. Second, the evaluation focuses solely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into the forecasting framework. Addressing these aspects in future research would further substantiate the current findings.</w:t>
      </w:r>
    </w:p>
    <w:p w:rsidR="0004127A" w:rsidRDefault="00144FA5">
      <w:pPr>
        <w:pStyle w:val="Heading3"/>
      </w:pPr>
      <w:r>
        <w:rPr>
          <w:sz w:val="28"/>
        </w:rPr>
        <w:t>5.5. Impact of Hyperparameters</w:t>
      </w:r>
    </w:p>
    <w:p w:rsidR="0004127A" w:rsidRDefault="00144FA5">
      <w:r>
        <w:rPr>
          <w:sz w:val="24"/>
        </w:rPr>
        <w:t xml:space="preserve">In empirical analyses of financial markets, model performance depends on hyperparameters that control model complexity and the pattern-learning capacity </w:t>
      </w:r>
      <w:r>
        <w:rPr>
          <w:color w:val="000000"/>
          <w:sz w:val="24"/>
        </w:rPr>
        <w:t>[17]</w:t>
      </w:r>
      <w:r>
        <w:rPr>
          <w:sz w:val="24"/>
        </w:rPr>
        <w:t>. In particular, the number of epochs and batch size are two key hyperparameters that influence models’ efficiency and effectiveness. Such individual hyperparameters can be tuned to optimize forecasting models for the specific goals and datasets considered. This section examines the impact of hyperparameters on the performance of forecasting models.</w:t>
      </w:r>
    </w:p>
    <w:p w:rsidR="0004127A" w:rsidRDefault="00144FA5">
      <w:r>
        <w:rPr>
          <w:sz w:val="24"/>
        </w:rPr>
        <w:t xml:space="preserve">Guided by the exploratory analysis in, the batch sizes were set to 32 (BiLSTM, CNN, and Hybrid CNN-BiLSTM) and 8 (BiLSTM-Attention). The number of epochs was selected as 125 (BiLSTM), 21 (CNN), 15 (Hybrid CNN-BiLSTM), and 8 (BiLSTM-Attention). Table 4 reports the hyperparameters employed for each model, while </w:t>
      </w:r>
      <w:r>
        <w:rPr>
          <w:sz w:val="24"/>
        </w:rPr>
        <w:lastRenderedPageBreak/>
        <w:t>the following sections investigate the influence 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Batch size considerations highlighted the trade-off between computational efficiency and model generalization. Smaller batch sizes, such as 8, offer more weight updates per epoch and finer gradient estimates, which can improve learning for time series data. Experiments showed that errors decreased significantly when the batch size was reduced from 128 to 32 and further to 8; these tendencies are illustrated in Figure 10.</w:t>
      </w:r>
    </w:p>
    <w:p w:rsidR="0004127A" w:rsidRDefault="00144FA5">
      <w:pPr>
        <w:pStyle w:val="Heading3"/>
      </w:pPr>
      <w:r>
        <w:rPr>
          <w:sz w:val="28"/>
        </w:rPr>
        <w:t>5.6. Limitations of the Study</w:t>
      </w:r>
    </w:p>
    <w:p w:rsidR="0004127A" w:rsidRDefault="00144FA5">
      <w:r>
        <w:rPr>
          <w:sz w:val="24"/>
        </w:rPr>
        <w:t>The study’s primary limitation lies in the exclusive reliance on historical price data, without integrating external factors known to influence gold prices such as macroeconomic indicators, geopolitical events, government policies, or financial crises. Incorporating such factors into the forecasting models would likely enhance robustness and yield more comprehensive insights into future gold price movements.</w:t>
      </w:r>
    </w:p>
    <w:p w:rsidR="0004127A" w:rsidRDefault="00144FA5">
      <w:r>
        <w:rPr>
          <w:sz w:val="24"/>
        </w:rPr>
        <w:t>Another constraint stems from the experimental design focusing solely on model comparison rather than the development and fine-tuning of each architecture. Although a variety of forecasting methods exist, and hyperparameter selection significantly affects performance, the analysis did not exhaustively explore the optimal configuration of BiLSTM, CNN, or hybrid CNN-BiLSTM networks. Consequently, while the hybrid model demonstrated superior accuracy on the chosen data, further investigation with diverse datasets and rigorous parameter optimization is necessary to validate and generalize the findings.</w:t>
      </w:r>
    </w:p>
    <w:p w:rsidR="0004127A" w:rsidRDefault="00144FA5">
      <w:pPr>
        <w:pStyle w:val="Heading2"/>
      </w:pPr>
      <w:r>
        <w:rPr>
          <w:sz w:val="36"/>
        </w:rPr>
        <w:t>6. Conclusion</w:t>
      </w:r>
    </w:p>
    <w:p w:rsidR="0004127A" w:rsidRDefault="00144FA5">
      <w:r>
        <w:rPr>
          <w:sz w:val="24"/>
        </w:rPr>
        <w:t xml:space="preserve">A comprehensive empirical exploration of contemporary deep learning methods for gold price forecasting is conducted. Among the architectures examined are Bi-directional Long Short-Term Memory (BiLSTM), Convolutional Neural Networks (CNN), and a hybrid model integrating CNN with BiLSTM (CNN-BiLSTM). Data preprocessing is applied to ensure reliability, and the models are trained and evaluated on a publicly available dataset spanning January 2010 to July 2022. </w:t>
      </w:r>
      <w:r>
        <w:rPr>
          <w:sz w:val="24"/>
        </w:rPr>
        <w:lastRenderedPageBreak/>
        <w:t xml:space="preserve">Performance metrics indicate that the hybrid CNN-BiLSTM approach surpasses both individual models, suggesting its suitability for this application.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 xml:space="preserve">[1] X. Li, J. Wang, and C. Yang, "Risk prediction in financial management of listed companies based on optimized BP neural network under digital economy," Neural Computing and Applications, 2023. </w:t>
      </w:r>
      <w:hyperlink r:id="rId15">
        <w:r>
          <w:rPr>
            <w:color w:val="0000EE"/>
            <w:u w:val="single"/>
          </w:rPr>
          <w:t>[HTML]</w:t>
        </w:r>
      </w:hyperlink>
    </w:p>
    <w:p w:rsidR="0004127A" w:rsidRDefault="00144FA5">
      <w:r>
        <w:rPr>
          <w:sz w:val="24"/>
        </w:rPr>
        <w:t xml:space="preserve">[2] Q. Zhao, H. Li, X. Liu, and Y. Wang, "A Hybrid Model of Multi-Head Attention Enhanced BiLSTM, ARIMA, and XGBoost for Stock Price Forecasting Based on Wavelet Denoising.," Mathematics (2227-7390), 2025. </w:t>
      </w:r>
      <w:hyperlink r:id="rId16">
        <w:r>
          <w:rPr>
            <w:color w:val="0000EE"/>
            <w:u w:val="single"/>
          </w:rPr>
          <w:t>[HTML]</w:t>
        </w:r>
      </w:hyperlink>
    </w:p>
    <w:p w:rsidR="0004127A" w:rsidRDefault="00144FA5">
      <w:r>
        <w:rPr>
          <w:sz w:val="24"/>
        </w:rPr>
        <w:t xml:space="preserve">[3] Y. Li and M. Umair, "The protective nature of gold during times of oil price volatility: an analysis of the COVID-19 pandemic," The Extractive Industries and Society, 2023. </w:t>
      </w:r>
      <w:hyperlink r:id="rId17">
        <w:r>
          <w:rPr>
            <w:color w:val="0000EE"/>
            <w:u w:val="single"/>
          </w:rPr>
          <w:t>nih.gov</w:t>
        </w:r>
      </w:hyperlink>
    </w:p>
    <w:p w:rsidR="0004127A" w:rsidRDefault="00144FA5">
      <w:r>
        <w:rPr>
          <w:sz w:val="24"/>
        </w:rPr>
        <w:t xml:space="preserve">[4] W. Yiming, L. Xun, M. Umair, and A. Aizhan, "COVID-19 and the transformation of emerging economies: financialization, green bonds, and stock market volatility," Resources Policy, 2024. </w:t>
      </w:r>
      <w:hyperlink r:id="rId18">
        <w:r>
          <w:rPr>
            <w:color w:val="0000EE"/>
            <w:u w:val="single"/>
          </w:rPr>
          <w:t>[HTML]</w:t>
        </w:r>
      </w:hyperlink>
    </w:p>
    <w:p w:rsidR="0004127A" w:rsidRDefault="00144FA5">
      <w:r>
        <w:rPr>
          <w:sz w:val="24"/>
        </w:rPr>
        <w:t xml:space="preserve">[5] C. Bagrecha, K. Singh, G. Sharma, and P. B. Saranya, "Forecasting silver prices: a univariate ARIMA approach and a proposed model for future direction," Mineral Economics, 2025. </w:t>
      </w:r>
      <w:hyperlink r:id="rId19">
        <w:r>
          <w:rPr>
            <w:color w:val="0000EE"/>
            <w:u w:val="single"/>
          </w:rPr>
          <w:t>[HTML]</w:t>
        </w:r>
      </w:hyperlink>
    </w:p>
    <w:p w:rsidR="0004127A" w:rsidRDefault="00144FA5">
      <w:r>
        <w:rPr>
          <w:sz w:val="24"/>
        </w:rPr>
        <w:t xml:space="preserve">[6] S. Pandit and X. Luo, "A novel prediction model to evaluate the dynamic interrelationship between gold and crude oil," International Journal of Data Science and Analytics, 2024. </w:t>
      </w:r>
      <w:hyperlink r:id="rId20">
        <w:r>
          <w:rPr>
            <w:color w:val="0000EE"/>
            <w:u w:val="single"/>
          </w:rPr>
          <w:t>springer.com</w:t>
        </w:r>
      </w:hyperlink>
    </w:p>
    <w:p w:rsidR="0004127A" w:rsidRDefault="00144FA5">
      <w:r>
        <w:rPr>
          <w:sz w:val="24"/>
        </w:rPr>
        <w:t xml:space="preserve">[7] Z. Bousbaa, J. Sanchez-Medina, and O. Bencharef, "Financial time series forecasting: a data stream mining-based system," Electronics, 2023. </w:t>
      </w:r>
      <w:hyperlink r:id="rId21">
        <w:r>
          <w:rPr>
            <w:color w:val="0000EE"/>
            <w:u w:val="single"/>
          </w:rPr>
          <w:t>mdpi.com</w:t>
        </w:r>
      </w:hyperlink>
    </w:p>
    <w:p w:rsidR="0004127A" w:rsidRDefault="00144FA5">
      <w:r>
        <w:rPr>
          <w:sz w:val="24"/>
        </w:rPr>
        <w:t xml:space="preserve">[8] X. Kong, Z. Chen, W. Liu, K. Ning, and L. Zhang, "Deep learning for time series forecasting: a survey," *International Journal of …*, 2025. </w:t>
      </w:r>
      <w:hyperlink r:id="rId22">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23">
        <w:r>
          <w:rPr>
            <w:color w:val="0000EE"/>
            <w:u w:val="single"/>
          </w:rPr>
          <w:t>ieee.org</w:t>
        </w:r>
      </w:hyperlink>
    </w:p>
    <w:p w:rsidR="0004127A" w:rsidRDefault="00144FA5">
      <w:r>
        <w:rPr>
          <w:sz w:val="24"/>
        </w:rPr>
        <w:t xml:space="preserve">[10] Y. Cheng, Z. Xu, Y. Chen, Y. Wang, Z. Lin, and J. Liu, "A Deep Learning Framework Integrating CNN and BiLSTM for Financial Systemic Risk Analysis and Prediction," arXiv preprint arXiv:XXXX.XXXXX, 2025. </w:t>
      </w:r>
      <w:hyperlink r:id="rId24">
        <w:r>
          <w:rPr>
            <w:color w:val="0000EE"/>
            <w:u w:val="single"/>
          </w:rPr>
          <w:t>[PDF]</w:t>
        </w:r>
      </w:hyperlink>
    </w:p>
    <w:p w:rsidR="0004127A" w:rsidRDefault="00144FA5">
      <w:r>
        <w:rPr>
          <w:sz w:val="24"/>
        </w:rPr>
        <w:lastRenderedPageBreak/>
        <w:t xml:space="preserve">[11] M. M. Taye, "Theoretical understanding of convolutional neural network: Concepts, architectures, applications, future directions," Computation, 2023. </w:t>
      </w:r>
      <w:hyperlink r:id="rId25">
        <w:r>
          <w:rPr>
            <w:color w:val="0000EE"/>
            <w:u w:val="single"/>
          </w:rPr>
          <w:t>mdpi.com</w:t>
        </w:r>
      </w:hyperlink>
    </w:p>
    <w:p w:rsidR="0004127A" w:rsidRDefault="00144FA5">
      <w:r>
        <w:rPr>
          <w:sz w:val="24"/>
        </w:rPr>
        <w:t xml:space="preserve">[12] Y. Wu, M. Sun, H. Zheng, J. Hu, Y. Liang, "Integrative Analysis of Financial Market Sentiment Using CNN and GRU for Risk Prediction and Alert Systems," in *Proceedings of the IEEE International Conference on Electronics and..., 2024*. </w:t>
      </w:r>
      <w:hyperlink r:id="rId26">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27">
        <w:r>
          <w:rPr>
            <w:color w:val="0000EE"/>
            <w:u w:val="single"/>
          </w:rPr>
          <w:t>researchgate.net</w:t>
        </w:r>
      </w:hyperlink>
    </w:p>
    <w:p w:rsidR="0004127A" w:rsidRDefault="00144FA5">
      <w:r>
        <w:rPr>
          <w:sz w:val="24"/>
        </w:rPr>
        <w:t xml:space="preserve">[14] P. Foroutan and S. Lahmiri, "Deep learning systems for forecasting the prices of crude oil and precious metals," Financial Innovation, 2024. </w:t>
      </w:r>
      <w:hyperlink r:id="rId28">
        <w:r>
          <w:rPr>
            <w:color w:val="0000EE"/>
            <w:u w:val="single"/>
          </w:rPr>
          <w:t>springer.com</w:t>
        </w:r>
      </w:hyperlink>
    </w:p>
    <w:p w:rsidR="0004127A" w:rsidRDefault="00144FA5">
      <w:r>
        <w:rPr>
          <w:sz w:val="24"/>
        </w:rPr>
        <w:t xml:space="preserve">[15] C. K. A. Reddy, V. Gopal, and R. Cutler, "DNSMOS P. 835: A non-intrusive perceptual objective speech quality metric to evaluate noise suppressors," in *ICASSP 2022*, 2022. </w:t>
      </w:r>
      <w:hyperlink r:id="rId29">
        <w:r>
          <w:rPr>
            <w:color w:val="0000EE"/>
            <w:u w:val="single"/>
          </w:rPr>
          <w:t>[PDF]</w:t>
        </w:r>
      </w:hyperlink>
    </w:p>
    <w:p w:rsidR="0004127A" w:rsidRDefault="00144FA5">
      <w:r>
        <w:rPr>
          <w:sz w:val="24"/>
        </w:rPr>
        <w:t xml:space="preserve">[16] A. Ampountolas, "Comparative analysis of machine learning, hybrid, and deep learning forecasting models: evidence from European financial markets and bitcoins," Forecasting, 2023. </w:t>
      </w:r>
      <w:hyperlink r:id="rId30">
        <w:r>
          <w:rPr>
            <w:color w:val="0000EE"/>
            <w:u w:val="single"/>
          </w:rPr>
          <w:t>mdpi.com</w:t>
        </w:r>
      </w:hyperlink>
    </w:p>
    <w:p w:rsidR="0004127A" w:rsidRDefault="00144FA5">
      <w:r>
        <w:rPr>
          <w:sz w:val="24"/>
        </w:rPr>
        <w:t xml:space="preserve">[17] A. Amini and R. Kalantari, "Gold price prediction by a CNN-Bi-LSTM model along with automatic parameter tuning," 2024. </w:t>
      </w:r>
      <w:hyperlink r:id="rId31">
        <w:r>
          <w:rPr>
            <w:color w:val="0000EE"/>
            <w:u w:val="single"/>
          </w:rPr>
          <w:t>ncbi.nlm.nih.gov</w:t>
        </w:r>
      </w:hyperlink>
    </w:p>
    <w:p w:rsidR="0004127A" w:rsidRDefault="00144FA5">
      <w:r>
        <w:rPr>
          <w:sz w:val="24"/>
        </w:rPr>
        <w:t xml:space="preserve">[18] B. Li, "Research on WNN Modeling for Gold Price Forecasting Based on Improved Artificial Bee Colony Algorithm," 2014. </w:t>
      </w:r>
      <w:hyperlink r:id="rId32">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33">
        <w:r>
          <w:rPr>
            <w:color w:val="0000EE"/>
            <w:u w:val="single"/>
          </w:rPr>
          <w:t>[PDF]</w:t>
        </w:r>
      </w:hyperlink>
    </w:p>
    <w:p w:rsidR="003E597C" w:rsidRDefault="003E597C">
      <w:pPr>
        <w:rPr>
          <w:color w:val="0000EE"/>
          <w:u w:val="single"/>
        </w:rPr>
      </w:pPr>
    </w:p>
    <w:p w:rsidR="00021C28" w:rsidRPr="00021C28" w:rsidRDefault="003E597C" w:rsidP="00021C28">
      <w:pPr>
        <w:pStyle w:val="EndNoteBibliography"/>
        <w:spacing w:after="0"/>
        <w:ind w:left="720" w:hanging="720"/>
      </w:pPr>
      <w:r>
        <w:fldChar w:fldCharType="begin"/>
      </w:r>
      <w:r>
        <w:instrText xml:space="preserve"> ADDIN EN.REFLIST </w:instrText>
      </w:r>
      <w:r>
        <w:fldChar w:fldCharType="separate"/>
      </w:r>
      <w:r w:rsidR="00021C28" w:rsidRPr="00021C28">
        <w:t>[1]</w:t>
      </w:r>
      <w:r w:rsidR="00021C28" w:rsidRPr="00021C28">
        <w:tab/>
        <w:t xml:space="preserve">X. Li, J. Wang, and C. Yang, "Risk prediction in financial management of listed companies based on optimized BP neural network under digital economy," </w:t>
      </w:r>
      <w:r w:rsidR="00021C28" w:rsidRPr="00021C28">
        <w:rPr>
          <w:i/>
        </w:rPr>
        <w:t xml:space="preserve">Neural Computing and Applications, </w:t>
      </w:r>
      <w:r w:rsidR="00021C28" w:rsidRPr="00021C28">
        <w:t>vol. 35, no. 3, pp. 2045-2058, 2023.</w:t>
      </w:r>
    </w:p>
    <w:p w:rsidR="00021C28" w:rsidRPr="00021C28" w:rsidRDefault="00021C28" w:rsidP="00021C28">
      <w:pPr>
        <w:pStyle w:val="EndNoteBibliography"/>
        <w:spacing w:after="0"/>
        <w:ind w:left="720" w:hanging="720"/>
      </w:pPr>
      <w:r w:rsidRPr="00021C28">
        <w:t>[2]</w:t>
      </w:r>
      <w:r w:rsidRPr="00021C28">
        <w:tab/>
        <w:t xml:space="preserve">Q. Zhao, H. Li, X. Liu, and Y. Wang, "A Hybrid Model of Multi-Head Attention Enhanced BiLSTM, ARIMA, and XGBoost for Stock Price Forecasting Based on Wavelet Denoising," </w:t>
      </w:r>
      <w:r w:rsidRPr="00021C28">
        <w:rPr>
          <w:i/>
        </w:rPr>
        <w:t xml:space="preserve">Mathematics (2227-7390), </w:t>
      </w:r>
      <w:r w:rsidRPr="00021C28">
        <w:t>vol. 13, no. 16, 2025.</w:t>
      </w:r>
    </w:p>
    <w:p w:rsidR="00021C28" w:rsidRPr="00021C28" w:rsidRDefault="00021C28" w:rsidP="00021C28">
      <w:pPr>
        <w:pStyle w:val="EndNoteBibliography"/>
        <w:spacing w:after="0"/>
        <w:ind w:left="720" w:hanging="720"/>
      </w:pPr>
      <w:r w:rsidRPr="00021C28">
        <w:t>[3]</w:t>
      </w:r>
      <w:r w:rsidRPr="00021C28">
        <w:tab/>
        <w:t xml:space="preserve">Y. Li and M. Umair, "The protective nature of gold during times of oil price volatility: an analysis of the COVID-19 pandemic," </w:t>
      </w:r>
      <w:r w:rsidRPr="00021C28">
        <w:rPr>
          <w:i/>
        </w:rPr>
        <w:t xml:space="preserve">The Extractive Industries and Society, </w:t>
      </w:r>
      <w:r w:rsidRPr="00021C28">
        <w:t>vol. 15, p. 101284, 2023.</w:t>
      </w:r>
    </w:p>
    <w:p w:rsidR="00021C28" w:rsidRPr="00021C28" w:rsidRDefault="00021C28" w:rsidP="00021C28">
      <w:pPr>
        <w:pStyle w:val="EndNoteBibliography"/>
        <w:spacing w:after="0"/>
        <w:ind w:left="720" w:hanging="720"/>
      </w:pPr>
      <w:r w:rsidRPr="00021C28">
        <w:t>[4]</w:t>
      </w:r>
      <w:r w:rsidRPr="00021C28">
        <w:tab/>
        <w:t xml:space="preserve">W. Yiming, L. Xun, M. Umair, and A. Aizhan, "COVID-19 and the transformation of emerging economies: financialization, green bonds, and stock market volatility," </w:t>
      </w:r>
      <w:r w:rsidRPr="00021C28">
        <w:rPr>
          <w:i/>
        </w:rPr>
        <w:t xml:space="preserve">Resources Policy, </w:t>
      </w:r>
      <w:r w:rsidRPr="00021C28">
        <w:t>vol. 92, p. 104963, 2024.</w:t>
      </w:r>
    </w:p>
    <w:p w:rsidR="00021C28" w:rsidRPr="00021C28" w:rsidRDefault="00021C28" w:rsidP="00021C28">
      <w:pPr>
        <w:pStyle w:val="EndNoteBibliography"/>
        <w:spacing w:after="0"/>
        <w:ind w:left="720" w:hanging="720"/>
      </w:pPr>
      <w:r w:rsidRPr="00021C28">
        <w:lastRenderedPageBreak/>
        <w:t>[5]</w:t>
      </w:r>
      <w:r w:rsidRPr="00021C28">
        <w:tab/>
        <w:t xml:space="preserve">C. Bagrecha, K. Singh, G. Sharma, and P. Saranya, "Forecasting silver prices: a univariate ARIMA approach and a proposed model for future direction," </w:t>
      </w:r>
      <w:r w:rsidRPr="00021C28">
        <w:rPr>
          <w:i/>
        </w:rPr>
        <w:t xml:space="preserve">Mineral Economics, </w:t>
      </w:r>
      <w:r w:rsidRPr="00021C28">
        <w:t>vol. 38, no. 1, pp. 131-141, 2025.</w:t>
      </w:r>
    </w:p>
    <w:p w:rsidR="00021C28" w:rsidRPr="00021C28" w:rsidRDefault="00021C28" w:rsidP="00021C28">
      <w:pPr>
        <w:pStyle w:val="EndNoteBibliography"/>
        <w:spacing w:after="0"/>
        <w:ind w:left="720" w:hanging="720"/>
      </w:pPr>
      <w:r w:rsidRPr="00021C28">
        <w:t>[6]</w:t>
      </w:r>
      <w:r w:rsidRPr="00021C28">
        <w:tab/>
        <w:t xml:space="preserve">S. Pandit and X. Luo, "A novel prediction model to evaluate the dynamic interrelationship between gold and crude oil," </w:t>
      </w:r>
      <w:r w:rsidRPr="00021C28">
        <w:rPr>
          <w:i/>
        </w:rPr>
        <w:t xml:space="preserve">International Journal of Data Science and Analytics, </w:t>
      </w:r>
      <w:r w:rsidRPr="00021C28">
        <w:t>pp. 1-22, 2024.</w:t>
      </w:r>
    </w:p>
    <w:p w:rsidR="00021C28" w:rsidRPr="00021C28" w:rsidRDefault="00021C28" w:rsidP="00021C28">
      <w:pPr>
        <w:pStyle w:val="EndNoteBibliography"/>
        <w:spacing w:after="0"/>
        <w:ind w:left="720" w:hanging="720"/>
      </w:pPr>
      <w:r w:rsidRPr="00021C28">
        <w:t>[7]</w:t>
      </w:r>
      <w:r w:rsidRPr="00021C28">
        <w:tab/>
        <w:t xml:space="preserve">Z. Bousbaa, J. Sanchez-Medina, and O. Bencharef, "Financial time series forecasting: a data stream mining-based system," </w:t>
      </w:r>
      <w:r w:rsidRPr="00021C28">
        <w:rPr>
          <w:i/>
        </w:rPr>
        <w:t xml:space="preserve">Electronics, </w:t>
      </w:r>
      <w:r w:rsidRPr="00021C28">
        <w:t>vol. 12, no. 9, p. 2039, 2023.</w:t>
      </w:r>
    </w:p>
    <w:p w:rsidR="00021C28" w:rsidRPr="00021C28" w:rsidRDefault="00021C28" w:rsidP="00021C28">
      <w:pPr>
        <w:pStyle w:val="EndNoteBibliography"/>
        <w:spacing w:after="0"/>
        <w:ind w:left="720" w:hanging="720"/>
      </w:pPr>
      <w:r w:rsidRPr="00021C28">
        <w:t>[8]</w:t>
      </w:r>
      <w:r w:rsidRPr="00021C28">
        <w:tab/>
        <w:t>X. Kong</w:t>
      </w:r>
      <w:r w:rsidRPr="00021C28">
        <w:rPr>
          <w:i/>
        </w:rPr>
        <w:t xml:space="preserve"> et al.</w:t>
      </w:r>
      <w:r w:rsidRPr="00021C28">
        <w:t xml:space="preserve">, "Deep learning for time series forecasting: a survey," </w:t>
      </w:r>
      <w:r w:rsidRPr="00021C28">
        <w:rPr>
          <w:i/>
        </w:rPr>
        <w:t xml:space="preserve">International Journal of Machine Learning and Cybernetics, </w:t>
      </w:r>
      <w:r w:rsidRPr="00021C28">
        <w:t>pp. 1-34, 2025.</w:t>
      </w:r>
    </w:p>
    <w:p w:rsidR="00021C28" w:rsidRPr="00021C28" w:rsidRDefault="00021C28" w:rsidP="00021C28">
      <w:pPr>
        <w:pStyle w:val="EndNoteBibliography"/>
        <w:spacing w:after="0"/>
        <w:ind w:left="720" w:hanging="720"/>
      </w:pPr>
      <w:r w:rsidRPr="00021C28">
        <w:t>[9]</w:t>
      </w:r>
      <w:r w:rsidRPr="00021C28">
        <w:tab/>
        <w:t>M. Ashraf</w:t>
      </w:r>
      <w:r w:rsidRPr="00021C28">
        <w:rPr>
          <w:i/>
        </w:rPr>
        <w:t xml:space="preserve"> et al.</w:t>
      </w:r>
      <w:r w:rsidRPr="00021C28">
        <w:t xml:space="preserve">, "A survey on dimensionality reduction techniques for time-series data," </w:t>
      </w:r>
      <w:r w:rsidRPr="00021C28">
        <w:rPr>
          <w:i/>
        </w:rPr>
        <w:t xml:space="preserve">IEEE Access, </w:t>
      </w:r>
      <w:r w:rsidRPr="00021C28">
        <w:t>vol. 11, pp. 42909-42923, 2023.</w:t>
      </w:r>
    </w:p>
    <w:p w:rsidR="00021C28" w:rsidRPr="00021C28" w:rsidRDefault="00021C28" w:rsidP="00021C28">
      <w:pPr>
        <w:pStyle w:val="EndNoteBibliography"/>
        <w:spacing w:after="0"/>
        <w:ind w:left="720" w:hanging="720"/>
      </w:pPr>
      <w:r w:rsidRPr="00021C28">
        <w:t>[10]</w:t>
      </w:r>
      <w:r w:rsidRPr="00021C28">
        <w:tab/>
        <w:t xml:space="preserve">Y. Cheng, Z. Xu, Y. Chen, Y. Wang, Z. Lin, and J. Liu, "A Deep Learning Framework Integrating CNN and BiLSTM for Financial Systemic Risk Analysis and Prediction," </w:t>
      </w:r>
      <w:r w:rsidRPr="00021C28">
        <w:rPr>
          <w:i/>
        </w:rPr>
        <w:t xml:space="preserve">arXiv preprint arXiv:2502.06847, </w:t>
      </w:r>
      <w:r w:rsidRPr="00021C28">
        <w:t>2025.</w:t>
      </w:r>
    </w:p>
    <w:p w:rsidR="00021C28" w:rsidRPr="00021C28" w:rsidRDefault="00021C28" w:rsidP="00021C28">
      <w:pPr>
        <w:pStyle w:val="EndNoteBibliography"/>
        <w:spacing w:after="0"/>
        <w:ind w:left="720" w:hanging="720"/>
      </w:pPr>
      <w:r w:rsidRPr="00021C28">
        <w:t>[11]</w:t>
      </w:r>
      <w:r w:rsidRPr="00021C28">
        <w:tab/>
        <w:t xml:space="preserve">M. M. Taye, "Theoretical understanding of convolutional neural network: Concepts, architectures, applications, future directions," </w:t>
      </w:r>
      <w:r w:rsidRPr="00021C28">
        <w:rPr>
          <w:i/>
        </w:rPr>
        <w:t xml:space="preserve">Computation, </w:t>
      </w:r>
      <w:r w:rsidRPr="00021C28">
        <w:t>vol. 11, no. 3, p. 52, 2023.</w:t>
      </w:r>
    </w:p>
    <w:p w:rsidR="00021C28" w:rsidRPr="00021C28" w:rsidRDefault="00021C28" w:rsidP="00021C28">
      <w:pPr>
        <w:pStyle w:val="EndNoteBibliography"/>
        <w:spacing w:after="0"/>
        <w:ind w:left="720" w:hanging="720"/>
      </w:pPr>
      <w:r w:rsidRPr="00021C28">
        <w:t>[12]</w:t>
      </w:r>
      <w:r w:rsidRPr="00021C28">
        <w:tab/>
        <w:t xml:space="preserve">Y. Wu, M. Sun, H. Zheng, J. Hu, Y. Liang, and Z. Lin, "Integrative Analysis of Financial Market Sentiment Using CNN and GRU for Risk Prediction and Alert Systems," in </w:t>
      </w:r>
      <w:r w:rsidRPr="00021C28">
        <w:rPr>
          <w:i/>
        </w:rPr>
        <w:t>2024 International Conference on Electronics and Devices, Computational Science (ICEDCS)</w:t>
      </w:r>
      <w:r w:rsidRPr="00021C28">
        <w:t>, 2024, pp. 410-415: IEEE.</w:t>
      </w:r>
    </w:p>
    <w:p w:rsidR="00021C28" w:rsidRPr="00021C28" w:rsidRDefault="00021C28" w:rsidP="00021C28">
      <w:pPr>
        <w:pStyle w:val="EndNoteBibliography"/>
        <w:spacing w:after="0"/>
        <w:ind w:left="720" w:hanging="720"/>
      </w:pPr>
      <w:r w:rsidRPr="00021C28">
        <w:t>[13]</w:t>
      </w:r>
      <w:r w:rsidRPr="00021C28">
        <w:tab/>
        <w:t xml:space="preserve">V. Ramamoorthi, "Optimizing Cloud Load Forecasting with a CNN-BiLSTM Hybrid Model," </w:t>
      </w:r>
      <w:r w:rsidRPr="00021C28">
        <w:rPr>
          <w:i/>
        </w:rPr>
        <w:t xml:space="preserve">International Journal of Intelligent Automation and Computing, </w:t>
      </w:r>
      <w:r w:rsidRPr="00021C28">
        <w:t>vol. 5, no. 2, pp. 79-91, 2022.</w:t>
      </w:r>
    </w:p>
    <w:p w:rsidR="00021C28" w:rsidRPr="00021C28" w:rsidRDefault="00021C28" w:rsidP="00021C28">
      <w:pPr>
        <w:pStyle w:val="EndNoteBibliography"/>
        <w:spacing w:after="0"/>
        <w:ind w:left="720" w:hanging="720"/>
      </w:pPr>
      <w:r w:rsidRPr="00021C28">
        <w:t>[14]</w:t>
      </w:r>
      <w:r w:rsidRPr="00021C28">
        <w:tab/>
        <w:t xml:space="preserve">P. Foroutan and S. Lahmiri, "Deep learning systems for forecasting the prices of crude oil and precious metals," </w:t>
      </w:r>
      <w:r w:rsidRPr="00021C28">
        <w:rPr>
          <w:i/>
        </w:rPr>
        <w:t xml:space="preserve">Financial Innovation, </w:t>
      </w:r>
      <w:r w:rsidRPr="00021C28">
        <w:t>vol. 10, no. 1, p. 111, 2024.</w:t>
      </w:r>
    </w:p>
    <w:p w:rsidR="00021C28" w:rsidRPr="00021C28" w:rsidRDefault="00021C28" w:rsidP="00021C28">
      <w:pPr>
        <w:pStyle w:val="EndNoteBibliography"/>
        <w:spacing w:after="0"/>
        <w:ind w:left="720" w:hanging="720"/>
      </w:pPr>
      <w:r w:rsidRPr="00021C28">
        <w:t>[15]</w:t>
      </w:r>
      <w:r w:rsidRPr="00021C28">
        <w:tab/>
        <w:t xml:space="preserve">C. K. Reddy, V. Gopal, and R. Cutler, "DNSMOS P. 835: A non-intrusive perceptual objective speech quality metric to evaluate noise suppressors," in </w:t>
      </w:r>
      <w:r w:rsidRPr="00021C28">
        <w:rPr>
          <w:i/>
        </w:rPr>
        <w:t>ICASSP 2022-2022 IEEE international conference on acoustics, speech and signal processing (ICASSP)</w:t>
      </w:r>
      <w:r w:rsidRPr="00021C28">
        <w:t>, 2022, pp. 886-890: IEEE.</w:t>
      </w:r>
    </w:p>
    <w:p w:rsidR="00021C28" w:rsidRPr="00021C28" w:rsidRDefault="00021C28" w:rsidP="00021C28">
      <w:pPr>
        <w:pStyle w:val="EndNoteBibliography"/>
        <w:spacing w:after="0"/>
        <w:ind w:left="720" w:hanging="720"/>
      </w:pPr>
      <w:r w:rsidRPr="00021C28">
        <w:t>[16]</w:t>
      </w:r>
      <w:r w:rsidRPr="00021C28">
        <w:tab/>
        <w:t xml:space="preserve">A. Ampountolas, "Comparative analysis of machine learning, hybrid, and deep learning forecasting models: evidence from European financial markets and bitcoins," </w:t>
      </w:r>
      <w:r w:rsidRPr="00021C28">
        <w:rPr>
          <w:i/>
        </w:rPr>
        <w:t xml:space="preserve">Forecasting, </w:t>
      </w:r>
      <w:r w:rsidRPr="00021C28">
        <w:t>vol. 5, no. 2, pp. 472-486, 2023.</w:t>
      </w:r>
    </w:p>
    <w:p w:rsidR="00021C28" w:rsidRPr="00021C28" w:rsidRDefault="00021C28" w:rsidP="00021C28">
      <w:pPr>
        <w:pStyle w:val="EndNoteBibliography"/>
        <w:spacing w:after="0"/>
        <w:ind w:left="720" w:hanging="720"/>
      </w:pPr>
      <w:r w:rsidRPr="00021C28">
        <w:t>[17]</w:t>
      </w:r>
      <w:r w:rsidRPr="00021C28">
        <w:tab/>
        <w:t xml:space="preserve">A. Amini and R. Kalantari, "Gold price prediction by a CNN-Bi-LSTM model along with automatic parameter tuning," </w:t>
      </w:r>
      <w:r w:rsidRPr="00021C28">
        <w:rPr>
          <w:i/>
        </w:rPr>
        <w:t xml:space="preserve">Plos one, </w:t>
      </w:r>
      <w:r w:rsidRPr="00021C28">
        <w:t>vol. 19, no. 3, p. e0298426, 2024.</w:t>
      </w:r>
    </w:p>
    <w:p w:rsidR="00021C28" w:rsidRPr="00021C28" w:rsidRDefault="00021C28" w:rsidP="00021C28">
      <w:pPr>
        <w:pStyle w:val="EndNoteBibliography"/>
        <w:spacing w:after="0"/>
        <w:ind w:left="720" w:hanging="720"/>
      </w:pPr>
      <w:r w:rsidRPr="00021C28">
        <w:t>[18]</w:t>
      </w:r>
      <w:r w:rsidRPr="00021C28">
        <w:tab/>
        <w:t xml:space="preserve">M. Ghahramani and H. E. Najafabadi, "Compatible deep neural network framework with financial time series data, including data preprocessor, neural network model and trading strategy," </w:t>
      </w:r>
      <w:r w:rsidRPr="00021C28">
        <w:rPr>
          <w:i/>
        </w:rPr>
        <w:t xml:space="preserve">arXiv preprint arXiv:2205.08382, </w:t>
      </w:r>
      <w:r w:rsidRPr="00021C28">
        <w:t>2022.</w:t>
      </w:r>
    </w:p>
    <w:p w:rsidR="00021C28" w:rsidRPr="00021C28" w:rsidRDefault="00021C28" w:rsidP="00021C28">
      <w:pPr>
        <w:pStyle w:val="EndNoteBibliography"/>
        <w:spacing w:after="0"/>
        <w:ind w:left="720" w:hanging="720"/>
      </w:pPr>
      <w:r w:rsidRPr="00021C28">
        <w:t>[19]</w:t>
      </w:r>
      <w:r w:rsidRPr="00021C28">
        <w:tab/>
        <w:t xml:space="preserve">B. Tripathi and R. K. Sharma, "Modeling bitcoin prices using signal processing methods, bayesian optimization, and deep neural networks," </w:t>
      </w:r>
      <w:r w:rsidRPr="00021C28">
        <w:rPr>
          <w:i/>
        </w:rPr>
        <w:t xml:space="preserve">Computational Economics, </w:t>
      </w:r>
      <w:r w:rsidRPr="00021C28">
        <w:t>vol. 62, no. 4, pp. 1919-1945, 2023.</w:t>
      </w:r>
    </w:p>
    <w:p w:rsidR="00021C28" w:rsidRPr="00021C28" w:rsidRDefault="00021C28" w:rsidP="00021C28">
      <w:pPr>
        <w:pStyle w:val="EndNoteBibliography"/>
        <w:spacing w:after="0"/>
        <w:ind w:left="720" w:hanging="720"/>
      </w:pPr>
      <w:r w:rsidRPr="00021C28">
        <w:t>[20]</w:t>
      </w:r>
      <w:r w:rsidRPr="00021C28">
        <w:tab/>
        <w:t xml:space="preserve">P. D. Modi, K. Arshi, P. J. Kunz, and A. M. Zoubir, "A Data-driven Deep Learning Approach for Bitcoin Price Forecasting," </w:t>
      </w:r>
      <w:r w:rsidRPr="00021C28">
        <w:rPr>
          <w:i/>
        </w:rPr>
        <w:t xml:space="preserve">arXiv preprint arXiv:2311.06280, </w:t>
      </w:r>
      <w:r w:rsidRPr="00021C28">
        <w:t>2023.</w:t>
      </w:r>
    </w:p>
    <w:p w:rsidR="00021C28" w:rsidRPr="00021C28" w:rsidRDefault="00021C28" w:rsidP="00021C28">
      <w:pPr>
        <w:pStyle w:val="EndNoteBibliography"/>
        <w:spacing w:after="0"/>
        <w:ind w:left="720" w:hanging="720"/>
      </w:pPr>
      <w:r w:rsidRPr="00021C28">
        <w:t>[21]</w:t>
      </w:r>
      <w:r w:rsidRPr="00021C28">
        <w:tab/>
        <w:t xml:space="preserve">H. Gupta and A. Jaiswal, "A Study on Stock Forecasting Using Deep Learning and Statistical Models," </w:t>
      </w:r>
      <w:r w:rsidRPr="00021C28">
        <w:rPr>
          <w:i/>
        </w:rPr>
        <w:t xml:space="preserve">arXiv preprint arXiv:2402.06689, </w:t>
      </w:r>
      <w:r w:rsidRPr="00021C28">
        <w:t>2024.</w:t>
      </w:r>
    </w:p>
    <w:p w:rsidR="00021C28" w:rsidRPr="00021C28" w:rsidRDefault="00021C28" w:rsidP="00021C28">
      <w:pPr>
        <w:pStyle w:val="EndNoteBibliography"/>
        <w:spacing w:after="0"/>
        <w:ind w:left="720" w:hanging="720"/>
      </w:pPr>
      <w:r w:rsidRPr="00021C28">
        <w:t>[22]</w:t>
      </w:r>
      <w:r w:rsidRPr="00021C28">
        <w:tab/>
        <w:t xml:space="preserve">H. Ben Ameur, S. Boubaker, Z. Ftiti, W. Louhichi, and K. Tissaoui, "Forecasting commodity prices: empirical evidence using deep learning tools," </w:t>
      </w:r>
      <w:r w:rsidRPr="00021C28">
        <w:rPr>
          <w:i/>
        </w:rPr>
        <w:t xml:space="preserve">Annals of Operations Research, </w:t>
      </w:r>
      <w:r w:rsidRPr="00021C28">
        <w:t>vol. 339, no. 1, pp. 349-367, 2024.</w:t>
      </w:r>
    </w:p>
    <w:p w:rsidR="00021C28" w:rsidRPr="00021C28" w:rsidRDefault="00021C28" w:rsidP="00021C28">
      <w:pPr>
        <w:pStyle w:val="EndNoteBibliography"/>
        <w:spacing w:after="0"/>
        <w:ind w:left="720" w:hanging="720"/>
      </w:pPr>
      <w:r w:rsidRPr="00021C28">
        <w:lastRenderedPageBreak/>
        <w:t>[23]</w:t>
      </w:r>
      <w:r w:rsidRPr="00021C28">
        <w:tab/>
        <w:t xml:space="preserve">J. Zhang, L. Ye, and Y. Lai, "Stock price prediction using CNN-BiLSTM-Attention model," </w:t>
      </w:r>
      <w:r w:rsidRPr="00021C28">
        <w:rPr>
          <w:i/>
        </w:rPr>
        <w:t xml:space="preserve">Mathematics, </w:t>
      </w:r>
      <w:r w:rsidRPr="00021C28">
        <w:t>vol. 11, no. 9, p. 1985, 2023.</w:t>
      </w:r>
    </w:p>
    <w:p w:rsidR="00021C28" w:rsidRPr="00021C28" w:rsidRDefault="00021C28" w:rsidP="00021C28">
      <w:pPr>
        <w:pStyle w:val="EndNoteBibliography"/>
        <w:spacing w:after="0"/>
        <w:ind w:left="720" w:hanging="720"/>
      </w:pPr>
      <w:r w:rsidRPr="00021C28">
        <w:t>[24]</w:t>
      </w:r>
      <w:r w:rsidRPr="00021C28">
        <w:tab/>
        <w:t xml:space="preserve">Y. Chen and Z. Fu, "Multi-step ahead forecasting of the energy consumed by the residential and commercial sectors in the United States based on a hybrid CNN-BiLSTM model," </w:t>
      </w:r>
      <w:r w:rsidRPr="00021C28">
        <w:rPr>
          <w:i/>
        </w:rPr>
        <w:t xml:space="preserve">Sustainability, </w:t>
      </w:r>
      <w:r w:rsidRPr="00021C28">
        <w:t>vol. 15, no. 3, p. 1895, 2023.</w:t>
      </w:r>
    </w:p>
    <w:p w:rsidR="00021C28" w:rsidRPr="00021C28" w:rsidRDefault="00021C28" w:rsidP="00021C28">
      <w:pPr>
        <w:pStyle w:val="EndNoteBibliography"/>
        <w:spacing w:after="0"/>
        <w:ind w:left="720" w:hanging="720"/>
      </w:pPr>
      <w:r w:rsidRPr="00021C28">
        <w:t>[25]</w:t>
      </w:r>
      <w:r w:rsidRPr="00021C28">
        <w:tab/>
        <w:t xml:space="preserve">H. Karnati, A. Soma, A. Alam, and B. Kalaavathi, "Comprehensive analysis of various imputation and forecasting models for predicting PM2. 5 pollutant in Delhi," </w:t>
      </w:r>
      <w:r w:rsidRPr="00021C28">
        <w:rPr>
          <w:i/>
        </w:rPr>
        <w:t xml:space="preserve">Neural Computing and Applications, </w:t>
      </w:r>
      <w:r w:rsidRPr="00021C28">
        <w:t>vol. 37, no. 17, pp. 11441-11458, 2025.</w:t>
      </w:r>
    </w:p>
    <w:p w:rsidR="00021C28" w:rsidRPr="00021C28" w:rsidRDefault="00021C28" w:rsidP="00021C28">
      <w:pPr>
        <w:pStyle w:val="EndNoteBibliography"/>
        <w:spacing w:after="0"/>
        <w:ind w:left="720" w:hanging="720"/>
      </w:pPr>
      <w:r w:rsidRPr="00021C28">
        <w:t>[26]</w:t>
      </w:r>
      <w:r w:rsidRPr="00021C28">
        <w:tab/>
        <w:t xml:space="preserve">C.-L. Fan, "Optimization and performance evaluation of machine learning classifiers for predicting construction quality and schedule," </w:t>
      </w:r>
      <w:r w:rsidRPr="00021C28">
        <w:rPr>
          <w:i/>
        </w:rPr>
        <w:t xml:space="preserve">Automation in Construction, </w:t>
      </w:r>
      <w:r w:rsidRPr="00021C28">
        <w:t>vol. 179, p. 106470, 2025.</w:t>
      </w:r>
    </w:p>
    <w:p w:rsidR="00021C28" w:rsidRPr="00021C28" w:rsidRDefault="00021C28" w:rsidP="00021C28">
      <w:pPr>
        <w:pStyle w:val="EndNoteBibliography"/>
        <w:ind w:left="720" w:hanging="720"/>
      </w:pPr>
      <w:r w:rsidRPr="00021C28">
        <w:t>[27]</w:t>
      </w:r>
      <w:r w:rsidRPr="00021C28">
        <w:tab/>
        <w:t xml:space="preserve">M. G. Lanjewar, R. K. Parate, and J. S. Parab, "Machine learning approach with data normalization technique for early stage detection of hypothyroidism," in </w:t>
      </w:r>
      <w:r w:rsidRPr="00021C28">
        <w:rPr>
          <w:i/>
        </w:rPr>
        <w:t>Artificial intelligence applications for health care</w:t>
      </w:r>
      <w:r w:rsidRPr="00021C28">
        <w:t>: CRC Press, 2022, pp. 91-108.</w:t>
      </w:r>
    </w:p>
    <w:p w:rsidR="0004127A" w:rsidRDefault="003E597C" w:rsidP="00021C28">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7592"/>
    <w:multiLevelType w:val="hybridMultilevel"/>
    <w:tmpl w:val="437C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CA54D3"/>
    <w:multiLevelType w:val="multilevel"/>
    <w:tmpl w:val="E13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01458"/>
    <w:multiLevelType w:val="multilevel"/>
    <w:tmpl w:val="462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85EC0"/>
    <w:multiLevelType w:val="multilevel"/>
    <w:tmpl w:val="077A21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80" w:hanging="50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C010E"/>
    <w:multiLevelType w:val="multilevel"/>
    <w:tmpl w:val="36AAA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4248E1"/>
    <w:multiLevelType w:val="multilevel"/>
    <w:tmpl w:val="6DC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9162D"/>
    <w:multiLevelType w:val="multilevel"/>
    <w:tmpl w:val="CF2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80210"/>
    <w:multiLevelType w:val="multilevel"/>
    <w:tmpl w:val="A3129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127675"/>
    <w:multiLevelType w:val="multilevel"/>
    <w:tmpl w:val="7DA0E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80" w:hanging="5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B5831"/>
    <w:multiLevelType w:val="multilevel"/>
    <w:tmpl w:val="463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E48BD"/>
    <w:multiLevelType w:val="multilevel"/>
    <w:tmpl w:val="8F3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F6DF3"/>
    <w:multiLevelType w:val="hybridMultilevel"/>
    <w:tmpl w:val="ACDA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57D4F"/>
    <w:multiLevelType w:val="multilevel"/>
    <w:tmpl w:val="1B2846F4"/>
    <w:lvl w:ilvl="0">
      <w:start w:val="3"/>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0" w15:restartNumberingAfterBreak="0">
    <w:nsid w:val="729514F3"/>
    <w:multiLevelType w:val="multilevel"/>
    <w:tmpl w:val="E94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E06D82"/>
    <w:multiLevelType w:val="multilevel"/>
    <w:tmpl w:val="D0F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lvlOverride w:ilvl="0">
      <w:startOverride w:val="1"/>
    </w:lvlOverride>
  </w:num>
  <w:num w:numId="11">
    <w:abstractNumId w:val="14"/>
    <w:lvlOverride w:ilvl="0">
      <w:startOverride w:val="2"/>
    </w:lvlOverride>
  </w:num>
  <w:num w:numId="12">
    <w:abstractNumId w:val="29"/>
    <w:lvlOverride w:ilvl="0">
      <w:startOverride w:val="3"/>
    </w:lvlOverride>
  </w:num>
  <w:num w:numId="13">
    <w:abstractNumId w:val="22"/>
    <w:lvlOverride w:ilvl="0">
      <w:startOverride w:val="4"/>
    </w:lvlOverride>
  </w:num>
  <w:num w:numId="14">
    <w:abstractNumId w:val="31"/>
    <w:lvlOverride w:ilvl="0">
      <w:startOverride w:val="5"/>
    </w:lvlOverride>
  </w:num>
  <w:num w:numId="15">
    <w:abstractNumId w:val="25"/>
    <w:lvlOverride w:ilvl="0">
      <w:startOverride w:val="6"/>
    </w:lvlOverride>
  </w:num>
  <w:num w:numId="16">
    <w:abstractNumId w:val="19"/>
    <w:lvlOverride w:ilvl="0">
      <w:startOverride w:val="7"/>
    </w:lvlOverride>
  </w:num>
  <w:num w:numId="17">
    <w:abstractNumId w:val="27"/>
    <w:lvlOverride w:ilvl="0">
      <w:startOverride w:val="8"/>
    </w:lvlOverride>
  </w:num>
  <w:num w:numId="18">
    <w:abstractNumId w:val="18"/>
    <w:lvlOverride w:ilvl="0">
      <w:startOverride w:val="9"/>
    </w:lvlOverride>
  </w:num>
  <w:num w:numId="19">
    <w:abstractNumId w:val="15"/>
    <w:lvlOverride w:ilvl="0">
      <w:startOverride w:val="10"/>
    </w:lvlOverride>
  </w:num>
  <w:num w:numId="20">
    <w:abstractNumId w:val="17"/>
    <w:lvlOverride w:ilvl="0">
      <w:startOverride w:val="1"/>
    </w:lvlOverride>
  </w:num>
  <w:num w:numId="21">
    <w:abstractNumId w:val="20"/>
    <w:lvlOverride w:ilvl="0">
      <w:startOverride w:val="2"/>
    </w:lvlOverride>
  </w:num>
  <w:num w:numId="22">
    <w:abstractNumId w:val="13"/>
    <w:lvlOverride w:ilvl="0">
      <w:startOverride w:val="3"/>
    </w:lvlOverride>
  </w:num>
  <w:num w:numId="23">
    <w:abstractNumId w:val="24"/>
  </w:num>
  <w:num w:numId="24">
    <w:abstractNumId w:val="23"/>
  </w:num>
  <w:num w:numId="25">
    <w:abstractNumId w:val="16"/>
  </w:num>
  <w:num w:numId="26">
    <w:abstractNumId w:val="30"/>
  </w:num>
  <w:num w:numId="27">
    <w:abstractNumId w:val="10"/>
    <w:lvlOverride w:ilvl="0">
      <w:startOverride w:val="1"/>
    </w:lvlOverride>
  </w:num>
  <w:num w:numId="28">
    <w:abstractNumId w:val="10"/>
    <w:lvlOverride w:ilvl="0">
      <w:startOverride w:val="2"/>
    </w:lvlOverride>
  </w:num>
  <w:num w:numId="29">
    <w:abstractNumId w:val="10"/>
    <w:lvlOverride w:ilvl="0">
      <w:startOverride w:val="3"/>
    </w:lvlOverride>
  </w:num>
  <w:num w:numId="30">
    <w:abstractNumId w:val="10"/>
    <w:lvlOverride w:ilvl="0">
      <w:startOverride w:val="4"/>
    </w:lvlOverride>
  </w:num>
  <w:num w:numId="31">
    <w:abstractNumId w:val="32"/>
    <w:lvlOverride w:ilvl="0">
      <w:startOverride w:val="1"/>
    </w:lvlOverride>
  </w:num>
  <w:num w:numId="32">
    <w:abstractNumId w:val="32"/>
    <w:lvlOverride w:ilvl="0">
      <w:startOverride w:val="2"/>
    </w:lvlOverride>
  </w:num>
  <w:num w:numId="33">
    <w:abstractNumId w:val="11"/>
  </w:num>
  <w:num w:numId="34">
    <w:abstractNumId w:val="12"/>
  </w:num>
  <w:num w:numId="35">
    <w:abstractNumId w:val="26"/>
  </w:num>
  <w:num w:numId="36">
    <w:abstractNumId w:val="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B47730"/>
    <w:rsid w:val="00021C28"/>
    <w:rsid w:val="00034616"/>
    <w:rsid w:val="0004127A"/>
    <w:rsid w:val="0006063C"/>
    <w:rsid w:val="0007232B"/>
    <w:rsid w:val="000965FE"/>
    <w:rsid w:val="000F52AC"/>
    <w:rsid w:val="00144FA5"/>
    <w:rsid w:val="0015074B"/>
    <w:rsid w:val="00185D5F"/>
    <w:rsid w:val="0020541A"/>
    <w:rsid w:val="0029639D"/>
    <w:rsid w:val="002D2A98"/>
    <w:rsid w:val="00326F90"/>
    <w:rsid w:val="00380E9F"/>
    <w:rsid w:val="00393F34"/>
    <w:rsid w:val="003A09DE"/>
    <w:rsid w:val="003E0FE1"/>
    <w:rsid w:val="003E597C"/>
    <w:rsid w:val="003F1A3B"/>
    <w:rsid w:val="004143BC"/>
    <w:rsid w:val="00484926"/>
    <w:rsid w:val="004C7539"/>
    <w:rsid w:val="00514D0C"/>
    <w:rsid w:val="0057698D"/>
    <w:rsid w:val="005C0A59"/>
    <w:rsid w:val="005C3BAE"/>
    <w:rsid w:val="005E4274"/>
    <w:rsid w:val="005E799D"/>
    <w:rsid w:val="00600256"/>
    <w:rsid w:val="00600CB3"/>
    <w:rsid w:val="00624636"/>
    <w:rsid w:val="00636021"/>
    <w:rsid w:val="006466A9"/>
    <w:rsid w:val="006A46FB"/>
    <w:rsid w:val="007661E9"/>
    <w:rsid w:val="007B7905"/>
    <w:rsid w:val="007F4678"/>
    <w:rsid w:val="0082735A"/>
    <w:rsid w:val="0085695A"/>
    <w:rsid w:val="008605E5"/>
    <w:rsid w:val="008D0C99"/>
    <w:rsid w:val="00932A25"/>
    <w:rsid w:val="0099121C"/>
    <w:rsid w:val="00A211F3"/>
    <w:rsid w:val="00AA1D8D"/>
    <w:rsid w:val="00B47730"/>
    <w:rsid w:val="00C00545"/>
    <w:rsid w:val="00C21897"/>
    <w:rsid w:val="00C32241"/>
    <w:rsid w:val="00C522B8"/>
    <w:rsid w:val="00C94591"/>
    <w:rsid w:val="00C96CF2"/>
    <w:rsid w:val="00CB0664"/>
    <w:rsid w:val="00CB6C5E"/>
    <w:rsid w:val="00CD4810"/>
    <w:rsid w:val="00D40C2C"/>
    <w:rsid w:val="00D5578B"/>
    <w:rsid w:val="00D678C3"/>
    <w:rsid w:val="00E275C5"/>
    <w:rsid w:val="00E6483A"/>
    <w:rsid w:val="00EA4070"/>
    <w:rsid w:val="00EA5E85"/>
    <w:rsid w:val="00F42F4A"/>
    <w:rsid w:val="00F959A9"/>
    <w:rsid w:val="00FA2B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1AA5"/>
  <w14:defaultImageDpi w14:val="33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Normal"/>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E597C"/>
    <w:rPr>
      <w:rFonts w:ascii="Cambria" w:hAnsi="Cambria"/>
      <w:noProof/>
    </w:rPr>
  </w:style>
  <w:style w:type="paragraph" w:customStyle="1" w:styleId="EndNoteBibliography">
    <w:name w:val="EndNote Bibliography"/>
    <w:basedOn w:val="Normal"/>
    <w:link w:val="EndNoteBibliographyChar"/>
    <w:rsid w:val="003E597C"/>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3E597C"/>
    <w:rPr>
      <w:rFonts w:ascii="Cambria" w:hAnsi="Cambria"/>
      <w:noProof/>
    </w:rPr>
  </w:style>
  <w:style w:type="paragraph" w:customStyle="1" w:styleId="paragraph">
    <w:name w:val="paragraph"/>
    <w:basedOn w:val="Normal"/>
    <w:rsid w:val="00C5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2B8"/>
    <w:rPr>
      <w:color w:val="0000FF"/>
      <w:u w:val="single"/>
    </w:rPr>
  </w:style>
  <w:style w:type="character" w:styleId="FollowedHyperlink">
    <w:name w:val="FollowedHyperlink"/>
    <w:basedOn w:val="DefaultParagraphFont"/>
    <w:uiPriority w:val="99"/>
    <w:semiHidden/>
    <w:unhideWhenUsed/>
    <w:rsid w:val="005E799D"/>
    <w:rPr>
      <w:color w:val="800080" w:themeColor="followedHyperlink"/>
      <w:u w:val="single"/>
    </w:rPr>
  </w:style>
  <w:style w:type="character" w:customStyle="1" w:styleId="citation">
    <w:name w:val="citation"/>
    <w:basedOn w:val="DefaultParagraphFont"/>
    <w:rsid w:val="00C96CF2"/>
  </w:style>
  <w:style w:type="character" w:customStyle="1" w:styleId="citation-link">
    <w:name w:val="citation-link"/>
    <w:basedOn w:val="DefaultParagraphFont"/>
    <w:rsid w:val="00C96CF2"/>
  </w:style>
  <w:style w:type="paragraph" w:styleId="NormalWeb">
    <w:name w:val="Normal (Web)"/>
    <w:basedOn w:val="Normal"/>
    <w:uiPriority w:val="99"/>
    <w:semiHidden/>
    <w:unhideWhenUsed/>
    <w:rsid w:val="00F42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0990">
      <w:bodyDiv w:val="1"/>
      <w:marLeft w:val="0"/>
      <w:marRight w:val="0"/>
      <w:marTop w:val="0"/>
      <w:marBottom w:val="0"/>
      <w:divBdr>
        <w:top w:val="none" w:sz="0" w:space="0" w:color="auto"/>
        <w:left w:val="none" w:sz="0" w:space="0" w:color="auto"/>
        <w:bottom w:val="none" w:sz="0" w:space="0" w:color="auto"/>
        <w:right w:val="none" w:sz="0" w:space="0" w:color="auto"/>
      </w:divBdr>
    </w:div>
    <w:div w:id="325086698">
      <w:bodyDiv w:val="1"/>
      <w:marLeft w:val="0"/>
      <w:marRight w:val="0"/>
      <w:marTop w:val="0"/>
      <w:marBottom w:val="0"/>
      <w:divBdr>
        <w:top w:val="none" w:sz="0" w:space="0" w:color="auto"/>
        <w:left w:val="none" w:sz="0" w:space="0" w:color="auto"/>
        <w:bottom w:val="none" w:sz="0" w:space="0" w:color="auto"/>
        <w:right w:val="none" w:sz="0" w:space="0" w:color="auto"/>
      </w:divBdr>
    </w:div>
    <w:div w:id="514997115">
      <w:bodyDiv w:val="1"/>
      <w:marLeft w:val="0"/>
      <w:marRight w:val="0"/>
      <w:marTop w:val="0"/>
      <w:marBottom w:val="0"/>
      <w:divBdr>
        <w:top w:val="none" w:sz="0" w:space="0" w:color="auto"/>
        <w:left w:val="none" w:sz="0" w:space="0" w:color="auto"/>
        <w:bottom w:val="none" w:sz="0" w:space="0" w:color="auto"/>
        <w:right w:val="none" w:sz="0" w:space="0" w:color="auto"/>
      </w:divBdr>
    </w:div>
    <w:div w:id="566766064">
      <w:bodyDiv w:val="1"/>
      <w:marLeft w:val="0"/>
      <w:marRight w:val="0"/>
      <w:marTop w:val="0"/>
      <w:marBottom w:val="0"/>
      <w:divBdr>
        <w:top w:val="none" w:sz="0" w:space="0" w:color="auto"/>
        <w:left w:val="none" w:sz="0" w:space="0" w:color="auto"/>
        <w:bottom w:val="none" w:sz="0" w:space="0" w:color="auto"/>
        <w:right w:val="none" w:sz="0" w:space="0" w:color="auto"/>
      </w:divBdr>
    </w:div>
    <w:div w:id="589391087">
      <w:bodyDiv w:val="1"/>
      <w:marLeft w:val="0"/>
      <w:marRight w:val="0"/>
      <w:marTop w:val="0"/>
      <w:marBottom w:val="0"/>
      <w:divBdr>
        <w:top w:val="none" w:sz="0" w:space="0" w:color="auto"/>
        <w:left w:val="none" w:sz="0" w:space="0" w:color="auto"/>
        <w:bottom w:val="none" w:sz="0" w:space="0" w:color="auto"/>
        <w:right w:val="none" w:sz="0" w:space="0" w:color="auto"/>
      </w:divBdr>
    </w:div>
    <w:div w:id="653147424">
      <w:bodyDiv w:val="1"/>
      <w:marLeft w:val="0"/>
      <w:marRight w:val="0"/>
      <w:marTop w:val="0"/>
      <w:marBottom w:val="0"/>
      <w:divBdr>
        <w:top w:val="none" w:sz="0" w:space="0" w:color="auto"/>
        <w:left w:val="none" w:sz="0" w:space="0" w:color="auto"/>
        <w:bottom w:val="none" w:sz="0" w:space="0" w:color="auto"/>
        <w:right w:val="none" w:sz="0" w:space="0" w:color="auto"/>
      </w:divBdr>
    </w:div>
    <w:div w:id="985889889">
      <w:bodyDiv w:val="1"/>
      <w:marLeft w:val="0"/>
      <w:marRight w:val="0"/>
      <w:marTop w:val="0"/>
      <w:marBottom w:val="0"/>
      <w:divBdr>
        <w:top w:val="none" w:sz="0" w:space="0" w:color="auto"/>
        <w:left w:val="none" w:sz="0" w:space="0" w:color="auto"/>
        <w:bottom w:val="none" w:sz="0" w:space="0" w:color="auto"/>
        <w:right w:val="none" w:sz="0" w:space="0" w:color="auto"/>
      </w:divBdr>
    </w:div>
    <w:div w:id="1182670680">
      <w:bodyDiv w:val="1"/>
      <w:marLeft w:val="0"/>
      <w:marRight w:val="0"/>
      <w:marTop w:val="0"/>
      <w:marBottom w:val="0"/>
      <w:divBdr>
        <w:top w:val="none" w:sz="0" w:space="0" w:color="auto"/>
        <w:left w:val="none" w:sz="0" w:space="0" w:color="auto"/>
        <w:bottom w:val="none" w:sz="0" w:space="0" w:color="auto"/>
        <w:right w:val="none" w:sz="0" w:space="0" w:color="auto"/>
      </w:divBdr>
    </w:div>
    <w:div w:id="1276711724">
      <w:bodyDiv w:val="1"/>
      <w:marLeft w:val="0"/>
      <w:marRight w:val="0"/>
      <w:marTop w:val="0"/>
      <w:marBottom w:val="0"/>
      <w:divBdr>
        <w:top w:val="none" w:sz="0" w:space="0" w:color="auto"/>
        <w:left w:val="none" w:sz="0" w:space="0" w:color="auto"/>
        <w:bottom w:val="none" w:sz="0" w:space="0" w:color="auto"/>
        <w:right w:val="none" w:sz="0" w:space="0" w:color="auto"/>
      </w:divBdr>
    </w:div>
    <w:div w:id="1491292189">
      <w:bodyDiv w:val="1"/>
      <w:marLeft w:val="0"/>
      <w:marRight w:val="0"/>
      <w:marTop w:val="0"/>
      <w:marBottom w:val="0"/>
      <w:divBdr>
        <w:top w:val="none" w:sz="0" w:space="0" w:color="auto"/>
        <w:left w:val="none" w:sz="0" w:space="0" w:color="auto"/>
        <w:bottom w:val="none" w:sz="0" w:space="0" w:color="auto"/>
        <w:right w:val="none" w:sz="0" w:space="0" w:color="auto"/>
      </w:divBdr>
    </w:div>
    <w:div w:id="1607082361">
      <w:bodyDiv w:val="1"/>
      <w:marLeft w:val="0"/>
      <w:marRight w:val="0"/>
      <w:marTop w:val="0"/>
      <w:marBottom w:val="0"/>
      <w:divBdr>
        <w:top w:val="none" w:sz="0" w:space="0" w:color="auto"/>
        <w:left w:val="none" w:sz="0" w:space="0" w:color="auto"/>
        <w:bottom w:val="none" w:sz="0" w:space="0" w:color="auto"/>
        <w:right w:val="none" w:sz="0" w:space="0" w:color="auto"/>
      </w:divBdr>
    </w:div>
    <w:div w:id="1957902107">
      <w:bodyDiv w:val="1"/>
      <w:marLeft w:val="0"/>
      <w:marRight w:val="0"/>
      <w:marTop w:val="0"/>
      <w:marBottom w:val="0"/>
      <w:divBdr>
        <w:top w:val="none" w:sz="0" w:space="0" w:color="auto"/>
        <w:left w:val="none" w:sz="0" w:space="0" w:color="auto"/>
        <w:bottom w:val="none" w:sz="0" w:space="0" w:color="auto"/>
        <w:right w:val="none" w:sz="0" w:space="0" w:color="auto"/>
      </w:divBdr>
    </w:div>
    <w:div w:id="2111007836">
      <w:bodyDiv w:val="1"/>
      <w:marLeft w:val="0"/>
      <w:marRight w:val="0"/>
      <w:marTop w:val="0"/>
      <w:marBottom w:val="0"/>
      <w:divBdr>
        <w:top w:val="none" w:sz="0" w:space="0" w:color="auto"/>
        <w:left w:val="none" w:sz="0" w:space="0" w:color="auto"/>
        <w:bottom w:val="none" w:sz="0" w:space="0" w:color="auto"/>
        <w:right w:val="none" w:sz="0" w:space="0" w:color="auto"/>
      </w:divBdr>
    </w:div>
    <w:div w:id="212356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sciencedirect.com/science/article/pii/S0301420724003301" TargetMode="External"/><Relationship Id="rId26" Type="http://schemas.openxmlformats.org/officeDocument/2006/relationships/hyperlink" Target="https://arxiv.org/pdf/2412.10199?" TargetMode="External"/><Relationship Id="rId3" Type="http://schemas.openxmlformats.org/officeDocument/2006/relationships/styles" Target="styles.xml"/><Relationship Id="rId21" Type="http://schemas.openxmlformats.org/officeDocument/2006/relationships/hyperlink" Target="https://www.mdpi.com/2079-9292/12/9/2039"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mc.ncbi.nlm.nih.gov/articles/PMC10242154/pdf/main.pdf" TargetMode="External"/><Relationship Id="rId25" Type="http://schemas.openxmlformats.org/officeDocument/2006/relationships/hyperlink" Target="https://www.mdpi.com/2079-3197/11/3/52" TargetMode="External"/><Relationship Id="rId33" Type="http://schemas.openxmlformats.org/officeDocument/2006/relationships/hyperlink" Target="https://arxiv.org/pdf/2110.10233" TargetMode="External"/><Relationship Id="rId2" Type="http://schemas.openxmlformats.org/officeDocument/2006/relationships/numbering" Target="numbering.xml"/><Relationship Id="rId16"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20" Type="http://schemas.openxmlformats.org/officeDocument/2006/relationships/hyperlink" Target="https://link.springer.com/content/pdf/10.1007/s41060-024-00519-8.pdf" TargetMode="External"/><Relationship Id="rId29" Type="http://schemas.openxmlformats.org/officeDocument/2006/relationships/hyperlink" Target="https://arxiv.org/pdf/2110.0176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rxiv.org/pdf/2502.06847" TargetMode="External"/><Relationship Id="rId32" Type="http://schemas.openxmlformats.org/officeDocument/2006/relationships/hyperlink" Target="https://www.ncbi.nlm.nih.gov/pmc/articles/PMC3950484/" TargetMode="External"/><Relationship Id="rId5" Type="http://schemas.openxmlformats.org/officeDocument/2006/relationships/webSettings" Target="webSettings.xml"/><Relationship Id="rId15" Type="http://schemas.openxmlformats.org/officeDocument/2006/relationships/hyperlink" Target="https://link.springer.com/article/10.1007/s00521-022-07377-0" TargetMode="External"/><Relationship Id="rId23" Type="http://schemas.openxmlformats.org/officeDocument/2006/relationships/hyperlink" Target="https://ieeexplore.ieee.org/iel7/6287639/6514899/10107391.pdf" TargetMode="External"/><Relationship Id="rId28" Type="http://schemas.openxmlformats.org/officeDocument/2006/relationships/hyperlink" Target="https://link.springer.com/content/pdf/10.1186/s40854-024-00637-z.pdf" TargetMode="External"/><Relationship Id="rId10" Type="http://schemas.openxmlformats.org/officeDocument/2006/relationships/image" Target="media/image5.png"/><Relationship Id="rId19" Type="http://schemas.openxmlformats.org/officeDocument/2006/relationships/hyperlink" Target="https://link.springer.com/article/10.1007/s13563-024-00461-y" TargetMode="External"/><Relationship Id="rId31" Type="http://schemas.openxmlformats.org/officeDocument/2006/relationships/hyperlink" Target="https://www.ncbi.nlm.nih.gov/pmc/articles/PMC1091969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ink.springer.com/content/pdf/10.1007/s13042-025-02560-w.pdf" TargetMode="External"/><Relationship Id="rId27"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30" Type="http://schemas.openxmlformats.org/officeDocument/2006/relationships/hyperlink" Target="https://www.mdpi.com/2571-9394/5/2/26"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9E3FB-ADE9-4EB2-A634-361C6951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20</Pages>
  <Words>11912</Words>
  <Characters>67903</Characters>
  <Application>Microsoft Office Word</Application>
  <DocSecurity>0</DocSecurity>
  <Lines>565</Lines>
  <Paragraphs>159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Manager/>
  <Company/>
  <LinksUpToDate>false</LinksUpToDate>
  <CharactersWithSpaces>79656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30</cp:revision>
  <dcterms:created xsi:type="dcterms:W3CDTF">2025-09-20T12:07:00Z</dcterms:created>
  <dcterms:modified xsi:type="dcterms:W3CDTF">2025-09-22T11:33:00Z</dcterms:modified>
  <cp:category/>
</cp:coreProperties>
</file>