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4"/>
          <w:szCs w:val="34"/>
        </w:rPr>
        <w:t xml:space="preserve">Product Ownership — 3D Diagnostix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Resume Bullets &amp; Portfolio Case Study  |  2024 – February 2025</w:t>
      </w:r>
    </w:p>
    <w:p>
      <w:pPr>
        <w:pStyle w:val="Heading1"/>
        <w:pBdr>
          <w:bottom w:val="single" w:color="1F3864" w:sz="6" w:space="4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Resume Bullets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Product Owner — 3D Diagnostix (2024–2025)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Served as Product Owner for 3D Diagnostix's CRM/CP platform and Connect client portal, leading </w:t>
      </w:r>
      <w:r>
        <w:rPr>
          <w:b/>
          <w:bCs/>
        </w:rPr>
        <w:t xml:space="preserve">35+ production releases</w:t>
      </w:r>
      <w:r>
        <w:t xml:space="preserve"> supporting clinical ordering, manufacturing, and logistics workflows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Launched </w:t>
      </w:r>
      <w:r>
        <w:rPr>
          <w:b/>
          <w:bCs/>
        </w:rPr>
        <w:t xml:space="preserve">Digital Design Services (DDS)</w:t>
      </w:r>
      <w:r>
        <w:t xml:space="preserve">, a new self-service ordering channel on Connect, and </w:t>
      </w:r>
      <w:r>
        <w:rPr>
          <w:b/>
          <w:bCs/>
        </w:rPr>
        <w:t xml:space="preserve">Guided Full Mouth Photogrammetry (GFMP)</w:t>
      </w:r>
      <w:r>
        <w:t xml:space="preserve">, a new billable service line — expanding the company's product portfolio and revenue channels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Owned the </w:t>
      </w:r>
      <w:r>
        <w:rPr>
          <w:b/>
          <w:bCs/>
        </w:rPr>
        <w:t xml:space="preserve">GFMR (Guided Full Mouth Restoration) workflow</w:t>
      </w:r>
      <w:r>
        <w:t xml:space="preserve">, resolving a critical wax-up adjustment bottleneck affecting </w:t>
      </w:r>
      <w:r>
        <w:rPr>
          <w:b/>
          <w:bCs/>
        </w:rPr>
        <w:t xml:space="preserve">~20% of GFMR case volume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Introduced </w:t>
      </w:r>
      <w:r>
        <w:rPr>
          <w:b/>
          <w:bCs/>
        </w:rPr>
        <w:t xml:space="preserve">OnyxCeph³™</w:t>
      </w:r>
      <w:r>
        <w:t xml:space="preserve"> as a new iSmile treatment-planning software option, expanding client choice and competitive positioning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Drove cross-functional delivery across Restoration, TP (Treatment Planning), Production, Logistics, and Finance teams — including the Vulcan Components Sheet, SurgiPal Sheet, and Boston Closers Report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Owned end-to-end feature delivery — from requirements through release notes and stakeholder communication — for a </w:t>
      </w:r>
      <w:r>
        <w:rPr>
          <w:b/>
          <w:bCs/>
        </w:rPr>
        <w:t xml:space="preserve">high-velocity B2B healthcare SaaS platform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Portfolio Case Study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Scaling 3D Diagnostix's Digital Ordering Platform</w:t>
      </w:r>
    </w:p>
    <w:p>
      <w:pPr>
        <w:spacing w:after="160"/>
      </w:pPr>
      <w:r>
        <w:t xml:space="preserve">As Product Owner at 3D Diagnostix, I led product strategy and execution across the company's Control Panel (CP) and Connect client portal, serving dental clinics, scanning centers, and manufacturing partners. Over 13 months, I shipped 35+ releases across three areas: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New Product Lines</w:t>
      </w:r>
    </w:p>
    <w:p>
      <w:pPr>
        <w:spacing w:after="160"/>
      </w:pPr>
      <w:r>
        <w:t xml:space="preserve">Launched Digital Design Services (DDS), enabling clients to self-order surgical guides, restorations, and other services directly through Connect. Introduced Guided Full Mouth Photogrammetry (GFMP) as a new billable service line.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Experience Iteration</w:t>
      </w:r>
    </w:p>
    <w:p>
      <w:pPr>
        <w:spacing w:after="160"/>
      </w:pPr>
      <w:r>
        <w:t xml:space="preserve">Matured DDS through 3 release phases based on real client usage, and introduced OnyxCeph³™ as a new iSmile treatment-planning software option to expand client choice.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Operational Efficiency</w:t>
      </w:r>
    </w:p>
    <w:p>
      <w:pPr>
        <w:spacing w:after="160"/>
      </w:pPr>
      <w:r>
        <w:t xml:space="preserve">Delivered ongoing workflow automation and cross-team tooling across Restoration, TP, Production, and Logistics — including resolving a GFMR wax-up adjustment bottleneck affecting ~20% of case volume, and building tools like the Vulcan Components Sheet, SurgiPal Sheet, and Boston Closers Report.</w:t>
      </w:r>
    </w:p>
    <w:p>
      <w:pPr>
        <w:spacing w:after="160"/>
      </w:pPr>
      <w:r>
        <w:t xml:space="preserve">This work required coordinating across engineering, QA, production, logistics, and clinical operations teams in a compliance-conscious healthcare manufacturing environment.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2026-07-23T19:41:07.494Z</dcterms:created>
  <dcterms:modified xsi:type="dcterms:W3CDTF">2026-07-23T19:41:07.510Z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