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60" w:before="0"/>
        <w:jc w:val="center"/>
      </w:pPr>
      <w:r>
        <w:rPr>
          <w:rFonts w:ascii="Arial" w:cs="Arial" w:eastAsia="Arial" w:hAnsi="Arial"/>
          <w:b/>
          <w:bCs/>
          <w:color w:val="0D2340"/>
          <w:sz w:val="56"/>
          <w:szCs w:val="56"/>
        </w:rPr>
        <w:t xml:space="preserve">EXECUTIVE SUMMARY</w:t>
      </w:r>
    </w:p>
    <w:p>
      <w:pPr>
        <w:pBdr>
          <w:bottom w:val="single" w:color="C8922A" w:sz="10" w:space="10"/>
        </w:pBdr>
        <w:spacing w:after="240" w:before="0"/>
        <w:jc w:val="center"/>
      </w:pPr>
      <w:r>
        <w:rPr>
          <w:rFonts w:ascii="Arial" w:cs="Arial" w:eastAsia="Arial" w:hAnsi="Arial"/>
          <w:i/>
          <w:iCs/>
          <w:color w:val="3A5F8A"/>
          <w:sz w:val="32"/>
          <w:szCs w:val="32"/>
        </w:rPr>
        <w:t xml:space="preserve">Preventive Employee Experience Diagnostics</w:t>
      </w:r>
    </w:p>
    <w:p>
      <w:pPr>
        <w:spacing w:after="40" w:before="40"/>
      </w:pPr>
      <w:r>
        <w:t xml:space="preserve"/>
      </w:r>
    </w:p>
    <w:p>
      <w:pPr>
        <w:spacing w:after="80" w:before="0"/>
        <w:jc w:val="center"/>
      </w:pPr>
      <w:r>
        <w:rPr>
          <w:rFonts w:ascii="Arial" w:cs="Arial" w:eastAsia="Arial" w:hAnsi="Arial"/>
          <w:b/>
          <w:bCs/>
          <w:color w:val="1A202C"/>
          <w:sz w:val="24"/>
          <w:szCs w:val="24"/>
        </w:rPr>
        <w:t xml:space="preserve">Palo Alto Networks  |  Human Resources Analytics</w:t>
      </w:r>
    </w:p>
    <w:p>
      <w:pPr>
        <w:spacing w:after="60" w:before="0"/>
        <w:jc w:val="center"/>
      </w:pPr>
      <w:r>
        <w:rPr>
          <w:rFonts w:ascii="Arial" w:cs="Arial" w:eastAsia="Arial" w:hAnsi="Arial"/>
          <w:color w:val="4A5568"/>
          <w:sz w:val="22"/>
          <w:szCs w:val="22"/>
        </w:rPr>
        <w:t xml:space="preserve">Prepared for: Government &amp; Regulatory Stakeholders</w:t>
      </w:r>
    </w:p>
    <w:p>
      <w:pPr>
        <w:spacing w:after="400" w:before="0"/>
        <w:jc w:val="center"/>
      </w:pPr>
      <w:r>
        <w:rPr>
          <w:rFonts w:ascii="Arial" w:cs="Arial" w:eastAsia="Arial" w:hAnsi="Arial"/>
          <w:i/>
          <w:iCs/>
          <w:color w:val="4A5568"/>
          <w:sz w:val="20"/>
          <w:szCs w:val="20"/>
        </w:rPr>
        <w:t xml:space="preserve">FY 2024  |  Workforce: 1,470 Employees  |  Classification: Confidential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2200"/>
        <w:gridCol w:w="200"/>
        <w:gridCol w:w="2200"/>
        <w:gridCol w:w="200"/>
        <w:gridCol w:w="2160"/>
      </w:tblGrid>
      <w:tr>
        <w:tc>
          <w:tcPr>
            <w:tcW w:type="dxa" w:w="2200"/>
            <w:tcBorders>
              <w:top w:val="none" w:color="FFFFFF" w:sz="0"/>
              <w:left w:val="none" w:color="FFFFFF" w:sz="0"/>
              <w:bottom w:val="none" w:color="FFFFFF" w:sz="0"/>
              <w:right w:val="none" w:color="FFFFFF" w:sz="0"/>
            </w:tcBorders>
            <w:shd w:fill="0D2340" w:val="clear"/>
            <w:tcMar>
              <w:top w:type="dxa" w:w="160"/>
              <w:left w:type="dxa" w:w="160"/>
              <w:bottom w:type="dxa" w:w="160"/>
              <w:right w:type="dxa" w:w="160"/>
            </w:tcMar>
          </w:tcPr>
          <w:p>
            <w:pPr>
              <w:spacing w:after="40" w:before="0"/>
              <w:jc w:val="center"/>
            </w:pPr>
            <w:r>
              <w:rPr>
                <w:rFonts w:ascii="Arial" w:cs="Arial" w:eastAsia="Arial" w:hAnsi="Arial"/>
                <w:b/>
                <w:bCs/>
                <w:color w:val="FFFFFF"/>
                <w:sz w:val="52"/>
                <w:szCs w:val="52"/>
              </w:rPr>
              <w:t xml:space="preserve">16.1%</w:t>
            </w:r>
          </w:p>
          <w:p>
            <w:pPr>
              <w:spacing w:after="60" w:before="0"/>
              <w:jc w:val="center"/>
            </w:pPr>
            <w:r>
              <w:rPr>
                <w:rFonts w:ascii="Arial" w:cs="Arial" w:eastAsia="Arial" w:hAnsi="Arial"/>
                <w:b/>
                <w:bCs/>
                <w:color w:val="FFFFFF"/>
                <w:sz w:val="18"/>
                <w:szCs w:val="18"/>
              </w:rPr>
              <w:t xml:space="preserve">Overall Attrition</w:t>
            </w:r>
          </w:p>
          <w:p>
            <w:pPr>
              <w:spacing w:after="0" w:before="0"/>
              <w:jc w:val="center"/>
            </w:pPr>
            <w:r>
              <w:rPr>
                <w:rFonts w:ascii="Arial" w:cs="Arial" w:eastAsia="Arial" w:hAnsi="Arial"/>
                <w:i/>
                <w:iCs/>
                <w:color w:val="FFFFFF"/>
                <w:sz w:val="16"/>
                <w:szCs w:val="16"/>
              </w:rPr>
              <w:t xml:space="preserve">237 of 1,470 employees</w:t>
            </w:r>
          </w:p>
        </w:tc>
        <w:tc>
          <w:tcPr>
            <w:tcW w:type="dxa" w:w="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shd w:fill="3A5F8A" w:val="clear"/>
            <w:tcMar>
              <w:top w:type="dxa" w:w="160"/>
              <w:left w:type="dxa" w:w="160"/>
              <w:bottom w:type="dxa" w:w="160"/>
              <w:right w:type="dxa" w:w="160"/>
            </w:tcMar>
          </w:tcPr>
          <w:p>
            <w:pPr>
              <w:spacing w:after="40" w:before="0"/>
              <w:jc w:val="center"/>
            </w:pPr>
            <w:r>
              <w:rPr>
                <w:rFonts w:ascii="Arial" w:cs="Arial" w:eastAsia="Arial" w:hAnsi="Arial"/>
                <w:b/>
                <w:bCs/>
                <w:color w:val="FFFFFF"/>
                <w:sz w:val="52"/>
                <w:szCs w:val="52"/>
              </w:rPr>
              <w:t xml:space="preserve">30.5%</w:t>
            </w:r>
          </w:p>
          <w:p>
            <w:pPr>
              <w:spacing w:after="60" w:before="0"/>
              <w:jc w:val="center"/>
            </w:pPr>
            <w:r>
              <w:rPr>
                <w:rFonts w:ascii="Arial" w:cs="Arial" w:eastAsia="Arial" w:hAnsi="Arial"/>
                <w:b/>
                <w:bCs/>
                <w:color w:val="FFFFFF"/>
                <w:sz w:val="18"/>
                <w:szCs w:val="18"/>
              </w:rPr>
              <w:t xml:space="preserve">OT Attrition Rate</w:t>
            </w:r>
          </w:p>
          <w:p>
            <w:pPr>
              <w:spacing w:after="0" w:before="0"/>
              <w:jc w:val="center"/>
            </w:pPr>
            <w:r>
              <w:rPr>
                <w:rFonts w:ascii="Arial" w:cs="Arial" w:eastAsia="Arial" w:hAnsi="Arial"/>
                <w:i/>
                <w:iCs/>
                <w:color w:val="FFFFFF"/>
                <w:sz w:val="16"/>
                <w:szCs w:val="16"/>
              </w:rPr>
              <w:t xml:space="preserve">3× non-OT rate of 10.4%</w:t>
            </w:r>
          </w:p>
        </w:tc>
        <w:tc>
          <w:tcPr>
            <w:tcW w:type="dxa" w:w="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shd w:fill="C8922A" w:val="clear"/>
            <w:tcMar>
              <w:top w:type="dxa" w:w="160"/>
              <w:left w:type="dxa" w:w="160"/>
              <w:bottom w:type="dxa" w:w="160"/>
              <w:right w:type="dxa" w:w="160"/>
            </w:tcMar>
          </w:tcPr>
          <w:p>
            <w:pPr>
              <w:spacing w:after="40" w:before="0"/>
              <w:jc w:val="center"/>
            </w:pPr>
            <w:r>
              <w:rPr>
                <w:rFonts w:ascii="Arial" w:cs="Arial" w:eastAsia="Arial" w:hAnsi="Arial"/>
                <w:b/>
                <w:bCs/>
                <w:color w:val="FFFFFF"/>
                <w:sz w:val="52"/>
                <w:szCs w:val="52"/>
              </w:rPr>
              <w:t xml:space="preserve">34.1%</w:t>
            </w:r>
          </w:p>
          <w:p>
            <w:pPr>
              <w:spacing w:after="60" w:before="0"/>
              <w:jc w:val="center"/>
            </w:pPr>
            <w:r>
              <w:rPr>
                <w:rFonts w:ascii="Arial" w:cs="Arial" w:eastAsia="Arial" w:hAnsi="Arial"/>
                <w:b/>
                <w:bCs/>
                <w:color w:val="FFFFFF"/>
                <w:sz w:val="18"/>
                <w:szCs w:val="18"/>
              </w:rPr>
              <w:t xml:space="preserve">Low Engagement Exit</w:t>
            </w:r>
          </w:p>
          <w:p>
            <w:pPr>
              <w:spacing w:after="0" w:before="0"/>
              <w:jc w:val="center"/>
            </w:pPr>
            <w:r>
              <w:rPr>
                <w:rFonts w:ascii="Arial" w:cs="Arial" w:eastAsia="Arial" w:hAnsi="Arial"/>
                <w:i/>
                <w:iCs/>
                <w:color w:val="FFFFFF"/>
                <w:sz w:val="16"/>
                <w:szCs w:val="16"/>
              </w:rPr>
              <w:t xml:space="preserve">Highest departure tier</w:t>
            </w:r>
          </w:p>
        </w:tc>
        <w:tc>
          <w:tcPr>
            <w:tcW w:type="dxa" w:w="200"/>
            <w:tcBorders>
              <w:top w:val="none" w:color="FFFFFF" w:sz="0"/>
              <w:left w:val="none" w:color="FFFFFF" w:sz="0"/>
              <w:bottom w:val="none" w:color="FFFFFF" w:sz="0"/>
              <w:right w:val="none" w:color="FFFFFF" w:sz="0"/>
            </w:tcBorders>
          </w:tcPr>
          <w:p>
            <w:r>
              <w:t xml:space="preserve"/>
            </w:r>
          </w:p>
        </w:tc>
        <w:tc>
          <w:tcPr>
            <w:tcW w:type="dxa" w:w="2200"/>
            <w:tcBorders>
              <w:top w:val="none" w:color="FFFFFF" w:sz="0"/>
              <w:left w:val="none" w:color="FFFFFF" w:sz="0"/>
              <w:bottom w:val="none" w:color="FFFFFF" w:sz="0"/>
              <w:right w:val="none" w:color="FFFFFF" w:sz="0"/>
            </w:tcBorders>
            <w:shd w:fill="2D3748" w:val="clear"/>
            <w:tcMar>
              <w:top w:type="dxa" w:w="160"/>
              <w:left w:type="dxa" w:w="160"/>
              <w:bottom w:type="dxa" w:w="160"/>
              <w:right w:type="dxa" w:w="160"/>
            </w:tcMar>
          </w:tcPr>
          <w:p>
            <w:pPr>
              <w:spacing w:after="40" w:before="0"/>
              <w:jc w:val="center"/>
            </w:pPr>
            <w:r>
              <w:rPr>
                <w:rFonts w:ascii="Arial" w:cs="Arial" w:eastAsia="Arial" w:hAnsi="Arial"/>
                <w:b/>
                <w:bCs/>
                <w:color w:val="FFFFFF"/>
                <w:sz w:val="52"/>
                <w:szCs w:val="52"/>
              </w:rPr>
              <w:t xml:space="preserve">126</w:t>
            </w:r>
          </w:p>
          <w:p>
            <w:pPr>
              <w:spacing w:after="60" w:before="0"/>
              <w:jc w:val="center"/>
            </w:pPr>
            <w:r>
              <w:rPr>
                <w:rFonts w:ascii="Arial" w:cs="Arial" w:eastAsia="Arial" w:hAnsi="Arial"/>
                <w:b/>
                <w:bCs/>
                <w:color w:val="FFFFFF"/>
                <w:sz w:val="18"/>
                <w:szCs w:val="18"/>
              </w:rPr>
              <w:t xml:space="preserve">High-Risk Employees</w:t>
            </w:r>
          </w:p>
          <w:p>
            <w:pPr>
              <w:spacing w:after="0" w:before="0"/>
              <w:jc w:val="center"/>
            </w:pPr>
            <w:r>
              <w:rPr>
                <w:rFonts w:ascii="Arial" w:cs="Arial" w:eastAsia="Arial" w:hAnsi="Arial"/>
                <w:i/>
                <w:iCs/>
                <w:color w:val="FFFFFF"/>
                <w:sz w:val="16"/>
                <w:szCs w:val="16"/>
              </w:rPr>
              <w:t xml:space="preserve">Flagged for burnout risk</w:t>
            </w:r>
          </w:p>
        </w:tc>
      </w:tr>
    </w:tbl>
    <w:p>
      <w:pPr>
        <w:spacing w:after="40" w:before="40"/>
      </w:pPr>
      <w:r>
        <w:t xml:space="preserve"/>
      </w:r>
    </w:p>
    <w:p>
      <w:pPr>
        <w:spacing w:after="40" w:before="40"/>
      </w:pPr>
      <w:r>
        <w:t xml:space="preserve"/>
      </w:r>
    </w:p>
    <w:p>
      <w:pPr>
        <w:spacing w:after="40" w:before="40"/>
      </w:pPr>
      <w:r>
        <w:t xml:space="preserve"/>
      </w:r>
    </w:p>
    <w:p>
      <w:r>
        <w:br w:type="page"/>
      </w:r>
    </w:p>
    <w:p>
      <w:pPr>
        <w:pStyle w:val="Heading1"/>
        <w:pBdr>
          <w:bottom w:val="single" w:color="C8922A" w:sz="6" w:space="4"/>
        </w:pBdr>
        <w:spacing w:after="180" w:before="360"/>
      </w:pPr>
      <w:r>
        <w:rPr>
          <w:rFonts w:ascii="Arial" w:cs="Arial" w:eastAsia="Arial" w:hAnsi="Arial"/>
          <w:b/>
          <w:bCs/>
          <w:color w:val="0D2340"/>
          <w:sz w:val="30"/>
          <w:szCs w:val="30"/>
        </w:rPr>
        <w:t xml:space="preserve">1. Purpose &amp; Strategic Context</w:t>
      </w:r>
    </w:p>
    <w:p>
      <w:pPr>
        <w:spacing w:after="100" w:before="80"/>
        <w:jc w:val="both"/>
      </w:pPr>
      <w:r>
        <w:rPr>
          <w:rFonts w:ascii="Arial" w:cs="Arial" w:eastAsia="Arial" w:hAnsi="Arial"/>
          <w:b w:val="false"/>
          <w:bCs w:val="false"/>
          <w:i w:val="false"/>
          <w:iCs w:val="false"/>
          <w:color w:val="1A202C"/>
          <w:sz w:val="22"/>
          <w:szCs w:val="22"/>
        </w:rPr>
        <w:t xml:space="preserve">This Executive Summary presents findings from a comprehensive workforce analytics review conducted across Palo Alto Networks' 1,470-employee organization. The study was designed to address a critical gap in conventional HR practice: most workforce analytics examine attrition retrospectively — after employees have already decided to leave. This project reorients the analytical framework toward prevention, identifying engagement gaps and burnout risk before the resignation decision occurs.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2340"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WHY THIS MATTERS</w:t>
            </w:r>
          </w:p>
        </w:tc>
        <w:tc>
          <w:tcPr>
            <w:tcW w:type="dxa" w:w="7560"/>
            <w:tcBorders>
              <w:top w:val="none" w:color="FFFFFF" w:sz="0"/>
              <w:left w:val="none" w:color="FFFFFF" w:sz="0"/>
              <w:bottom w:val="none" w:color="FFFFFF" w:sz="0"/>
              <w:right w:val="none" w:color="FFFFFF" w:sz="0"/>
            </w:tcBorders>
            <w:shd w:fill="E8EEF7" w:val="clear"/>
            <w:tcMar>
              <w:top w:type="dxa" w:w="120"/>
              <w:left w:type="dxa" w:w="200"/>
              <w:bottom w:type="dxa" w:w="120"/>
              <w:right w:type="dxa" w:w="160"/>
            </w:tcMar>
          </w:tcPr>
          <w:p>
            <w:r>
              <w:rPr>
                <w:rFonts w:ascii="Arial" w:cs="Arial" w:eastAsia="Arial" w:hAnsi="Arial"/>
                <w:i/>
                <w:iCs/>
                <w:color w:val="1A202C"/>
                <w:sz w:val="21"/>
                <w:szCs w:val="21"/>
              </w:rPr>
              <w:t xml:space="preserve">Employee attrition carries a replacement cost estimated at 50–200% of annual salary per departure. At Palo Alto Networks' current 16.1% rate, this represents an annual talent cost of $8–15M, before factoring in lost institutional knowledge and productivity disruption.</w:t>
            </w:r>
          </w:p>
        </w:tc>
      </w:tr>
    </w:tbl>
    <w:p>
      <w:pPr>
        <w:spacing w:after="40" w:before="40"/>
      </w:pPr>
      <w:r>
        <w:t xml:space="preserve"/>
      </w:r>
    </w:p>
    <w:p>
      <w:pPr>
        <w:spacing w:after="100" w:before="80"/>
        <w:jc w:val="both"/>
      </w:pPr>
      <w:r>
        <w:rPr>
          <w:rFonts w:ascii="Arial" w:cs="Arial" w:eastAsia="Arial" w:hAnsi="Arial"/>
          <w:b w:val="false"/>
          <w:bCs w:val="false"/>
          <w:i w:val="false"/>
          <w:iCs w:val="false"/>
          <w:color w:val="1A202C"/>
          <w:sz w:val="22"/>
          <w:szCs w:val="22"/>
        </w:rPr>
        <w:t xml:space="preserve">This analysis is relevant to government and regulatory stakeholders monitoring corporate workforce health, labor compliance, and employee wellbeing obligations under applicable employment frameworks. The findings demonstrate both organizational responsibility and a proactive governance model that regulators may consider as a benchmark for workforce sustainability reporting.</w:t>
      </w:r>
    </w:p>
    <w:p>
      <w:pPr>
        <w:spacing w:after="40" w:before="40"/>
      </w:pPr>
      <w:r>
        <w:t xml:space="preserve"/>
      </w:r>
    </w:p>
    <w:p>
      <w:pPr>
        <w:spacing w:after="40" w:before="40"/>
      </w:pPr>
      <w:r>
        <w:t xml:space="preserve"/>
      </w:r>
    </w:p>
    <w:p>
      <w:pPr>
        <w:pStyle w:val="Heading1"/>
        <w:pBdr>
          <w:bottom w:val="single" w:color="C8922A" w:sz="6" w:space="4"/>
        </w:pBdr>
        <w:spacing w:after="180" w:before="360"/>
      </w:pPr>
      <w:r>
        <w:rPr>
          <w:rFonts w:ascii="Arial" w:cs="Arial" w:eastAsia="Arial" w:hAnsi="Arial"/>
          <w:b/>
          <w:bCs/>
          <w:color w:val="0D2340"/>
          <w:sz w:val="30"/>
          <w:szCs w:val="30"/>
        </w:rPr>
        <w:t xml:space="preserve">2. Key Findings</w:t>
      </w:r>
    </w:p>
    <w:p>
      <w:pPr>
        <w:pStyle w:val="Heading2"/>
        <w:spacing w:after="120" w:before="240"/>
      </w:pPr>
      <w:r>
        <w:rPr>
          <w:rFonts w:ascii="Arial" w:cs="Arial" w:eastAsia="Arial" w:hAnsi="Arial"/>
          <w:b/>
          <w:bCs/>
          <w:color w:val="3A5F8A"/>
          <w:sz w:val="24"/>
          <w:szCs w:val="24"/>
        </w:rPr>
        <w:t xml:space="preserve">2.1 Attrition Is Concentrated, Not Distributed</w:t>
      </w:r>
    </w:p>
    <w:p>
      <w:pPr>
        <w:spacing w:after="100" w:before="80"/>
        <w:jc w:val="both"/>
      </w:pPr>
      <w:r>
        <w:rPr>
          <w:rFonts w:ascii="Arial" w:cs="Arial" w:eastAsia="Arial" w:hAnsi="Arial"/>
          <w:b w:val="false"/>
          <w:bCs w:val="false"/>
          <w:i w:val="false"/>
          <w:iCs w:val="false"/>
          <w:color w:val="1A202C"/>
          <w:sz w:val="22"/>
          <w:szCs w:val="22"/>
        </w:rPr>
        <w:t xml:space="preserve">Attrition at Palo Alto Networks is not evenly distributed across the organization. It is concentrated in identifiable, addressable segments — making prevention both feasible and cost-effective: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3660"/>
      </w:tblGrid>
      <w:tr>
        <w:trPr>
          <w:tblHeader/>
        </w:trPr>
        <w:tc>
          <w:tcPr>
            <w:tcW w:type="dxa" w:w="3600"/>
            <w:tcBorders>
              <w:top w:val="single" w:color="CBD5E0" w:sz="1"/>
              <w:left w:val="single" w:color="CBD5E0" w:sz="1"/>
              <w:bottom w:val="single" w:color="CBD5E0" w:sz="1"/>
              <w:right w:val="single" w:color="CBD5E0" w:sz="1"/>
            </w:tcBorders>
            <w:shd w:fill="0D2340"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Risk Segment</w:t>
            </w:r>
          </w:p>
        </w:tc>
        <w:tc>
          <w:tcPr>
            <w:tcW w:type="dxa" w:w="2100"/>
            <w:tcBorders>
              <w:top w:val="single" w:color="CBD5E0" w:sz="1"/>
              <w:left w:val="single" w:color="CBD5E0" w:sz="1"/>
              <w:bottom w:val="single" w:color="CBD5E0" w:sz="1"/>
              <w:right w:val="single" w:color="CBD5E0" w:sz="1"/>
            </w:tcBorders>
            <w:shd w:fill="0D234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Attrition Rate</w:t>
            </w:r>
          </w:p>
        </w:tc>
        <w:tc>
          <w:tcPr>
            <w:tcW w:type="dxa" w:w="3660"/>
            <w:tcBorders>
              <w:top w:val="single" w:color="CBD5E0" w:sz="1"/>
              <w:left w:val="single" w:color="CBD5E0" w:sz="1"/>
              <w:bottom w:val="single" w:color="CBD5E0" w:sz="1"/>
              <w:right w:val="single" w:color="CBD5E0" w:sz="1"/>
            </w:tcBorders>
            <w:shd w:fill="0D2340"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Organizational Average</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left"/>
            </w:pPr>
            <w:r>
              <w:rPr>
                <w:rFonts w:ascii="Arial" w:cs="Arial" w:eastAsia="Arial" w:hAnsi="Arial"/>
                <w:b w:val="false"/>
                <w:bCs w:val="false"/>
                <w:color w:val="1A202C"/>
                <w:sz w:val="20"/>
                <w:szCs w:val="20"/>
              </w:rPr>
              <w:t xml:space="preserve">Low Engagement Employees</w:t>
            </w:r>
          </w:p>
        </w:tc>
        <w:tc>
          <w:tcPr>
            <w:tcW w:type="dxa" w:w="21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bCs/>
                <w:color w:val="1A202C"/>
                <w:sz w:val="20"/>
                <w:szCs w:val="20"/>
              </w:rPr>
              <w:t xml:space="preserve">34.1%</w:t>
            </w:r>
          </w:p>
        </w:tc>
        <w:tc>
          <w:tcPr>
            <w:tcW w:type="dxa" w:w="366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2.1× higher than average</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left"/>
            </w:pPr>
            <w:r>
              <w:rPr>
                <w:rFonts w:ascii="Arial" w:cs="Arial" w:eastAsia="Arial" w:hAnsi="Arial"/>
                <w:b w:val="false"/>
                <w:bCs w:val="false"/>
                <w:color w:val="1A202C"/>
                <w:sz w:val="20"/>
                <w:szCs w:val="20"/>
              </w:rPr>
              <w:t xml:space="preserve">Overtime Workers</w:t>
            </w:r>
          </w:p>
        </w:tc>
        <w:tc>
          <w:tcPr>
            <w:tcW w:type="dxa" w:w="21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bCs/>
                <w:color w:val="1A202C"/>
                <w:sz w:val="20"/>
                <w:szCs w:val="20"/>
              </w:rPr>
              <w:t xml:space="preserve">30.5%</w:t>
            </w:r>
          </w:p>
        </w:tc>
        <w:tc>
          <w:tcPr>
            <w:tcW w:type="dxa" w:w="36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1.9× higher than average</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left"/>
            </w:pPr>
            <w:r>
              <w:rPr>
                <w:rFonts w:ascii="Arial" w:cs="Arial" w:eastAsia="Arial" w:hAnsi="Arial"/>
                <w:b w:val="false"/>
                <w:bCs w:val="false"/>
                <w:color w:val="1A202C"/>
                <w:sz w:val="20"/>
                <w:szCs w:val="20"/>
              </w:rPr>
              <w:t xml:space="preserve">No Stock Option Holders</w:t>
            </w:r>
          </w:p>
        </w:tc>
        <w:tc>
          <w:tcPr>
            <w:tcW w:type="dxa" w:w="21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bCs/>
                <w:color w:val="1A202C"/>
                <w:sz w:val="20"/>
                <w:szCs w:val="20"/>
              </w:rPr>
              <w:t xml:space="preserve">24.4%</w:t>
            </w:r>
          </w:p>
        </w:tc>
        <w:tc>
          <w:tcPr>
            <w:tcW w:type="dxa" w:w="366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1.5× higher than average</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left"/>
            </w:pPr>
            <w:r>
              <w:rPr>
                <w:rFonts w:ascii="Arial" w:cs="Arial" w:eastAsia="Arial" w:hAnsi="Arial"/>
                <w:b w:val="false"/>
                <w:bCs w:val="false"/>
                <w:color w:val="1A202C"/>
                <w:sz w:val="20"/>
                <w:szCs w:val="20"/>
              </w:rPr>
              <w:t xml:space="preserve">Single (Unmarried) Staff</w:t>
            </w:r>
          </w:p>
        </w:tc>
        <w:tc>
          <w:tcPr>
            <w:tcW w:type="dxa" w:w="21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bCs/>
                <w:color w:val="1A202C"/>
                <w:sz w:val="20"/>
                <w:szCs w:val="20"/>
              </w:rPr>
              <w:t xml:space="preserve">25.5%</w:t>
            </w:r>
          </w:p>
        </w:tc>
        <w:tc>
          <w:tcPr>
            <w:tcW w:type="dxa" w:w="36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1.6× higher than average</w:t>
            </w:r>
          </w:p>
        </w:tc>
      </w:tr>
      <w:tr>
        <w:tc>
          <w:tcPr>
            <w:tcW w:type="dxa" w:w="36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left"/>
            </w:pPr>
            <w:r>
              <w:rPr>
                <w:rFonts w:ascii="Arial" w:cs="Arial" w:eastAsia="Arial" w:hAnsi="Arial"/>
                <w:b w:val="false"/>
                <w:bCs w:val="false"/>
                <w:color w:val="1A202C"/>
                <w:sz w:val="20"/>
                <w:szCs w:val="20"/>
              </w:rPr>
              <w:t xml:space="preserve">Age Group 25–35</w:t>
            </w:r>
          </w:p>
        </w:tc>
        <w:tc>
          <w:tcPr>
            <w:tcW w:type="dxa" w:w="21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bCs/>
                <w:color w:val="1A202C"/>
                <w:sz w:val="20"/>
                <w:szCs w:val="20"/>
              </w:rPr>
              <w:t xml:space="preserve">~22%</w:t>
            </w:r>
          </w:p>
        </w:tc>
        <w:tc>
          <w:tcPr>
            <w:tcW w:type="dxa" w:w="366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1.4× higher than average</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left"/>
            </w:pPr>
            <w:r>
              <w:rPr>
                <w:rFonts w:ascii="Arial" w:cs="Arial" w:eastAsia="Arial" w:hAnsi="Arial"/>
                <w:b w:val="false"/>
                <w:bCs w:val="false"/>
                <w:color w:val="1A202C"/>
                <w:sz w:val="20"/>
                <w:szCs w:val="20"/>
              </w:rPr>
              <w:t xml:space="preserve">Organization Average</w:t>
            </w:r>
          </w:p>
        </w:tc>
        <w:tc>
          <w:tcPr>
            <w:tcW w:type="dxa" w:w="21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bCs/>
                <w:color w:val="1A202C"/>
                <w:sz w:val="20"/>
                <w:szCs w:val="20"/>
              </w:rPr>
              <w:t xml:space="preserve">16.1%</w:t>
            </w:r>
          </w:p>
        </w:tc>
        <w:tc>
          <w:tcPr>
            <w:tcW w:type="dxa" w:w="36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w:t>
            </w:r>
          </w:p>
        </w:tc>
      </w:tr>
    </w:tbl>
    <w:p>
      <w:pPr>
        <w:spacing w:after="40" w:before="40"/>
      </w:pPr>
      <w:r>
        <w:t xml:space="preserve"/>
      </w:r>
    </w:p>
    <w:p>
      <w:pPr>
        <w:spacing w:after="40" w:before="40"/>
      </w:pPr>
      <w:r>
        <w:t xml:space="preserve"/>
      </w:r>
    </w:p>
    <w:p>
      <w:pPr>
        <w:pStyle w:val="Heading2"/>
        <w:spacing w:after="120" w:before="240"/>
      </w:pPr>
      <w:r>
        <w:rPr>
          <w:rFonts w:ascii="Arial" w:cs="Arial" w:eastAsia="Arial" w:hAnsi="Arial"/>
          <w:b/>
          <w:bCs/>
          <w:color w:val="3A5F8A"/>
          <w:sz w:val="24"/>
          <w:szCs w:val="24"/>
        </w:rPr>
        <w:t xml:space="preserve">2.2 Engagement Is the Strongest Retention Predictor</w:t>
      </w:r>
    </w:p>
    <w:p>
      <w:pPr>
        <w:spacing w:after="100" w:before="80"/>
        <w:jc w:val="both"/>
      </w:pPr>
      <w:r>
        <w:rPr>
          <w:rFonts w:ascii="Arial" w:cs="Arial" w:eastAsia="Arial" w:hAnsi="Arial"/>
          <w:b w:val="false"/>
          <w:bCs w:val="false"/>
          <w:i w:val="false"/>
          <w:iCs w:val="false"/>
          <w:color w:val="1A202C"/>
          <w:sz w:val="22"/>
          <w:szCs w:val="22"/>
        </w:rPr>
        <w:t xml:space="preserve">The Engagement Index — a composite score reflecting environmental satisfaction, job involvement, job satisfaction, relationship quality, and work-life balance — is the most predictive metric in the dataset. Employees who departed scored 14.2% lower on the engagement index than those who remained (0.504 vs. 0.588). This gap is observable before the resignation event, making engagement a reliable leading indicator for preventive action.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2340"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CRITICAL FINDING</w:t>
            </w:r>
          </w:p>
        </w:tc>
        <w:tc>
          <w:tcPr>
            <w:tcW w:type="dxa" w:w="7560"/>
            <w:tcBorders>
              <w:top w:val="none" w:color="FFFFFF" w:sz="0"/>
              <w:left w:val="none" w:color="FFFFFF" w:sz="0"/>
              <w:bottom w:val="none" w:color="FFFFFF" w:sz="0"/>
              <w:right w:val="none" w:color="FFFFFF" w:sz="0"/>
            </w:tcBorders>
            <w:shd w:fill="E8EEF7" w:val="clear"/>
            <w:tcMar>
              <w:top w:type="dxa" w:w="120"/>
              <w:left w:type="dxa" w:w="200"/>
              <w:bottom w:type="dxa" w:w="120"/>
              <w:right w:type="dxa" w:w="160"/>
            </w:tcMar>
          </w:tcPr>
          <w:p>
            <w:r>
              <w:rPr>
                <w:rFonts w:ascii="Arial" w:cs="Arial" w:eastAsia="Arial" w:hAnsi="Arial"/>
                <w:i/>
                <w:iCs/>
                <w:color w:val="1A202C"/>
                <w:sz w:val="21"/>
                <w:szCs w:val="21"/>
              </w:rPr>
              <w:t xml:space="preserve">The 176 employees in the Low Engagement tier represent just 12% of the workforce but drive departures at 34.1% — nearly 3× the rate of High Engagement employees (10.3%). This is where preventive investment yields the highest retention return.</w:t>
            </w:r>
          </w:p>
        </w:tc>
      </w:tr>
    </w:tbl>
    <w:p>
      <w:pPr>
        <w:spacing w:after="40" w:before="40"/>
      </w:pPr>
      <w:r>
        <w:t xml:space="preserve"/>
      </w:r>
    </w:p>
    <w:p>
      <w:pPr>
        <w:spacing w:after="40" w:before="40"/>
      </w:pPr>
      <w:r>
        <w:t xml:space="preserve"/>
      </w:r>
    </w:p>
    <w:p>
      <w:pPr>
        <w:pStyle w:val="Heading2"/>
        <w:spacing w:after="120" w:before="240"/>
      </w:pPr>
      <w:r>
        <w:rPr>
          <w:rFonts w:ascii="Arial" w:cs="Arial" w:eastAsia="Arial" w:hAnsi="Arial"/>
          <w:b/>
          <w:bCs/>
          <w:color w:val="3A5F8A"/>
          <w:sz w:val="24"/>
          <w:szCs w:val="24"/>
        </w:rPr>
        <w:t xml:space="preserve">2.3 Overtime is a Burnout Accelerant, Not a Productivity Signal</w:t>
      </w:r>
    </w:p>
    <w:p>
      <w:pPr>
        <w:spacing w:after="100" w:before="80"/>
        <w:jc w:val="both"/>
      </w:pPr>
      <w:r>
        <w:rPr>
          <w:rFonts w:ascii="Arial" w:cs="Arial" w:eastAsia="Arial" w:hAnsi="Arial"/>
          <w:b w:val="false"/>
          <w:bCs w:val="false"/>
          <w:i w:val="false"/>
          <w:iCs w:val="false"/>
          <w:color w:val="1A202C"/>
          <w:sz w:val="22"/>
          <w:szCs w:val="22"/>
        </w:rPr>
        <w:t xml:space="preserve">Overtime workers initially appear more engaged (index: 0.595 vs. 0.566 for non-OT peers), a pattern consistent with high-commitment self-selection. However, the attrition data reveals the cost of sustained overwork: overtime employees leave at 30.5% — nearly triple the rate of their non-overtime counterparts. Among overtime workers, 30.3% are additionally flagged as high burnout risk (risky employees), compared to 0% of the non-overtime population. Prolonged overtime ultimately depletes even the most committed employees.</w:t>
      </w:r>
    </w:p>
    <w:p>
      <w:pPr>
        <w:spacing w:after="40" w:before="40"/>
      </w:pPr>
      <w:r>
        <w:t xml:space="preserve"/>
      </w:r>
    </w:p>
    <w:p>
      <w:pPr>
        <w:spacing w:after="40" w:before="40"/>
      </w:pPr>
      <w:r>
        <w:t xml:space="preserve"/>
      </w:r>
    </w:p>
    <w:p>
      <w:pPr>
        <w:pStyle w:val="Heading2"/>
        <w:spacing w:after="120" w:before="240"/>
      </w:pPr>
      <w:r>
        <w:rPr>
          <w:rFonts w:ascii="Arial" w:cs="Arial" w:eastAsia="Arial" w:hAnsi="Arial"/>
          <w:b/>
          <w:bCs/>
          <w:color w:val="3A5F8A"/>
          <w:sz w:val="24"/>
          <w:szCs w:val="24"/>
        </w:rPr>
        <w:t xml:space="preserve">2.4 Compensation Inequity Drives Separation</w:t>
      </w:r>
    </w:p>
    <w:p>
      <w:pPr>
        <w:spacing w:after="100" w:before="80"/>
        <w:jc w:val="both"/>
      </w:pPr>
      <w:r>
        <w:rPr>
          <w:rFonts w:ascii="Arial" w:cs="Arial" w:eastAsia="Arial" w:hAnsi="Arial"/>
          <w:b w:val="false"/>
          <w:bCs w:val="false"/>
          <w:i w:val="false"/>
          <w:iCs w:val="false"/>
          <w:color w:val="1A202C"/>
          <w:sz w:val="22"/>
          <w:szCs w:val="22"/>
        </w:rPr>
        <w:t xml:space="preserve">Departing employees earn significantly less than those who stay. The average monthly income gap is $2,046 — a 30% deficit for leavers. This disparity persists after controlling for job level, suggesting that within-band pay inequity and lagging salary adjustments are active contributors to attrition. Additionally, employees without equity participation (stock option Level 0) leave at 24.4% — 2.6× the rate of Level 1 option holders — confirming that financial ownership anchors retention.</w:t>
      </w:r>
    </w:p>
    <w:p>
      <w:pPr>
        <w:spacing w:after="40" w:before="40"/>
      </w:pPr>
      <w:r>
        <w:t xml:space="preserve"/>
      </w:r>
    </w:p>
    <w:p>
      <w:pPr>
        <w:spacing w:after="40" w:before="40"/>
      </w:pPr>
      <w:r>
        <w:t xml:space="preserve"/>
      </w:r>
    </w:p>
    <w:p>
      <w:pPr>
        <w:pStyle w:val="Heading2"/>
        <w:spacing w:after="120" w:before="240"/>
      </w:pPr>
      <w:r>
        <w:rPr>
          <w:rFonts w:ascii="Arial" w:cs="Arial" w:eastAsia="Arial" w:hAnsi="Arial"/>
          <w:b/>
          <w:bCs/>
          <w:color w:val="3A5F8A"/>
          <w:sz w:val="24"/>
          <w:szCs w:val="24"/>
        </w:rPr>
        <w:t xml:space="preserve">2.5 Career Stagnation Silently Erodes Engagement</w:t>
      </w:r>
    </w:p>
    <w:p>
      <w:pPr>
        <w:spacing w:after="100" w:before="80"/>
        <w:jc w:val="both"/>
      </w:pPr>
      <w:r>
        <w:rPr>
          <w:rFonts w:ascii="Arial" w:cs="Arial" w:eastAsia="Arial" w:hAnsi="Arial"/>
          <w:b w:val="false"/>
          <w:bCs w:val="false"/>
          <w:i w:val="false"/>
          <w:iCs w:val="false"/>
          <w:color w:val="1A202C"/>
          <w:sz w:val="22"/>
          <w:szCs w:val="22"/>
        </w:rPr>
        <w:t xml:space="preserve">Employees who have been in the same role for 15 or more years report the lowest engagement of any tenure cohort — an index of 0.481, representing a 17% deficit compared to mid-tenure peers. This pattern, combined with the observation that medium job-level employees (levels 3–4) show peak engagement while senior levels plateau, indicates that career mobility — not just seniority progression — is essential to sustained engagement. Role stagnation is a silent, chronic disengagement driver that is rarely visible until attrition registers.</w:t>
      </w:r>
    </w:p>
    <w:p>
      <w:pPr>
        <w:spacing w:after="40" w:before="40"/>
      </w:pPr>
      <w:r>
        <w:t xml:space="preserve"/>
      </w:r>
    </w:p>
    <w:p>
      <w:pPr>
        <w:spacing w:after="40" w:before="40"/>
      </w:pPr>
      <w:r>
        <w:t xml:space="preserve"/>
      </w:r>
    </w:p>
    <w:p>
      <w:pPr>
        <w:pStyle w:val="Heading2"/>
        <w:spacing w:after="120" w:before="240"/>
      </w:pPr>
      <w:r>
        <w:rPr>
          <w:rFonts w:ascii="Arial" w:cs="Arial" w:eastAsia="Arial" w:hAnsi="Arial"/>
          <w:b/>
          <w:bCs/>
          <w:color w:val="3A5F8A"/>
          <w:sz w:val="24"/>
          <w:szCs w:val="24"/>
        </w:rPr>
        <w:t xml:space="preserve">2.6 Research Scientists Represent a Concentrated Risk Cluster</w:t>
      </w:r>
    </w:p>
    <w:p>
      <w:pPr>
        <w:spacing w:after="100" w:before="80"/>
        <w:jc w:val="both"/>
      </w:pPr>
      <w:r>
        <w:rPr>
          <w:rFonts w:ascii="Arial" w:cs="Arial" w:eastAsia="Arial" w:hAnsi="Arial"/>
          <w:b w:val="false"/>
          <w:bCs w:val="false"/>
          <w:i w:val="false"/>
          <w:iCs w:val="false"/>
          <w:color w:val="1A202C"/>
          <w:sz w:val="22"/>
          <w:szCs w:val="22"/>
        </w:rPr>
        <w:t xml:space="preserve">Research Scientists account for 25.4% of all high-risk employees — disproportionate to their representation in the total workforce. With 32 individuals flagged as risky employees, this role demands targeted intervention. Sales Executives (29 flagged) and Laboratory Technicians (24 flagged) form the next tier of concentrated risk. These three roles together account for 67.5% of all identified high-risk employees and are concentrated within Research &amp; Development and Sales departments.</w:t>
      </w:r>
    </w:p>
    <w:p>
      <w:pPr>
        <w:spacing w:after="40" w:before="40"/>
      </w:pPr>
      <w:r>
        <w:t xml:space="preserve"/>
      </w:r>
    </w:p>
    <w:p>
      <w:pPr>
        <w:spacing w:after="40" w:before="40"/>
      </w:pPr>
      <w:r>
        <w:t xml:space="preserve"/>
      </w:r>
    </w:p>
    <w:p>
      <w:pPr>
        <w:pStyle w:val="Heading1"/>
        <w:pBdr>
          <w:bottom w:val="single" w:color="C8922A" w:sz="6" w:space="4"/>
        </w:pBdr>
        <w:spacing w:after="180" w:before="360"/>
      </w:pPr>
      <w:r>
        <w:rPr>
          <w:rFonts w:ascii="Arial" w:cs="Arial" w:eastAsia="Arial" w:hAnsi="Arial"/>
          <w:b/>
          <w:bCs/>
          <w:color w:val="0D2340"/>
          <w:sz w:val="30"/>
          <w:szCs w:val="30"/>
        </w:rPr>
        <w:t xml:space="preserve">3. Recommended Actions</w:t>
      </w:r>
    </w:p>
    <w:p>
      <w:pPr>
        <w:spacing w:after="100" w:before="80"/>
        <w:jc w:val="both"/>
      </w:pPr>
      <w:r>
        <w:rPr>
          <w:rFonts w:ascii="Arial" w:cs="Arial" w:eastAsia="Arial" w:hAnsi="Arial"/>
          <w:b w:val="false"/>
          <w:bCs w:val="false"/>
          <w:i w:val="false"/>
          <w:iCs w:val="false"/>
          <w:color w:val="1A202C"/>
          <w:sz w:val="22"/>
          <w:szCs w:val="22"/>
        </w:rPr>
        <w:t xml:space="preserve">The following prioritized interventions are recommended based on statistical significance, feasibility, and expected retention impact: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BD5E0" w:sz="1"/>
              <w:left w:val="single" w:color="CBD5E0" w:sz="1"/>
              <w:bottom w:val="single" w:color="CBD5E0" w:sz="1"/>
              <w:right w:val="single" w:color="CBD5E0" w:sz="1"/>
            </w:tcBorders>
            <w:shd w:fill="0D2340"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Intervention</w:t>
            </w:r>
          </w:p>
        </w:tc>
        <w:tc>
          <w:tcPr>
            <w:tcW w:type="dxa" w:w="1400"/>
            <w:tcBorders>
              <w:top w:val="single" w:color="CBD5E0" w:sz="1"/>
              <w:left w:val="single" w:color="CBD5E0" w:sz="1"/>
              <w:bottom w:val="single" w:color="CBD5E0" w:sz="1"/>
              <w:right w:val="single" w:color="CBD5E0" w:sz="1"/>
            </w:tcBorders>
            <w:shd w:fill="0D2340"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Priority</w:t>
            </w:r>
          </w:p>
        </w:tc>
        <w:tc>
          <w:tcPr>
            <w:tcW w:type="dxa" w:w="4760"/>
            <w:tcBorders>
              <w:top w:val="single" w:color="CBD5E0" w:sz="1"/>
              <w:left w:val="single" w:color="CBD5E0" w:sz="1"/>
              <w:bottom w:val="single" w:color="CBD5E0" w:sz="1"/>
              <w:right w:val="single" w:color="CBD5E0" w:sz="1"/>
            </w:tcBorders>
            <w:shd w:fill="0D2340"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Immediate Next Step</w:t>
            </w:r>
          </w:p>
        </w:tc>
      </w:tr>
      <w:tr>
        <w:tc>
          <w:tcPr>
            <w:tcW w:type="dxa" w:w="3200"/>
            <w:tcBorders>
              <w:top w:val="single" w:color="CBD5E0" w:sz="1"/>
              <w:left w:val="single" w:color="CBD5E0" w:sz="1"/>
              <w:bottom w:val="single" w:color="CBD5E0" w:sz="1"/>
              <w:right w:val="single" w:color="CBD5E0" w:sz="1"/>
            </w:tcBorders>
            <w:shd w:fill="FFF5F5" w:val="clear"/>
            <w:tcMar>
              <w:top w:type="dxa" w:w="80"/>
              <w:left w:type="dxa" w:w="160"/>
              <w:bottom w:type="dxa" w:w="80"/>
              <w:right w:type="dxa" w:w="100"/>
            </w:tcMar>
          </w:tcPr>
          <w:p>
            <w:r>
              <w:rPr>
                <w:rFonts w:ascii="Arial" w:cs="Arial" w:eastAsia="Arial" w:hAnsi="Arial"/>
                <w:color w:val="1A202C"/>
                <w:sz w:val="20"/>
                <w:szCs w:val="20"/>
              </w:rPr>
              <w:t xml:space="preserve">Overtime &amp; Burnout Control Program</w:t>
            </w:r>
          </w:p>
        </w:tc>
        <w:tc>
          <w:tcPr>
            <w:tcW w:type="dxa" w:w="1400"/>
            <w:tcBorders>
              <w:top w:val="single" w:color="CBD5E0" w:sz="1"/>
              <w:left w:val="single" w:color="CBD5E0" w:sz="1"/>
              <w:bottom w:val="single" w:color="CBD5E0" w:sz="1"/>
              <w:right w:val="single" w:color="CBD5E0" w:sz="1"/>
            </w:tcBorders>
            <w:shd w:fill="C5303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w:t>
            </w:r>
          </w:p>
        </w:tc>
        <w:tc>
          <w:tcPr>
            <w:tcW w:type="dxa" w:w="4760"/>
            <w:tcBorders>
              <w:top w:val="single" w:color="CBD5E0" w:sz="1"/>
              <w:left w:val="single" w:color="CBD5E0" w:sz="1"/>
              <w:bottom w:val="single" w:color="CBD5E0" w:sz="1"/>
              <w:right w:val="single" w:color="CBD5E0" w:sz="1"/>
            </w:tcBorders>
            <w:tcMar>
              <w:top w:type="dxa" w:w="80"/>
              <w:left w:type="dxa" w:w="140"/>
              <w:bottom w:type="dxa" w:w="80"/>
              <w:right w:type="dxa" w:w="100"/>
            </w:tcMar>
          </w:tcPr>
          <w:p>
            <w:r>
              <w:rPr>
                <w:rFonts w:ascii="Arial" w:cs="Arial" w:eastAsia="Arial" w:hAnsi="Arial"/>
                <w:color w:val="1A202C"/>
                <w:sz w:val="20"/>
                <w:szCs w:val="20"/>
              </w:rPr>
              <w:t xml:space="preserve">Cap mandatory OT; introduce overtime wellness credits; weekly manager check-ins for at-risk staff</w:t>
            </w:r>
          </w:p>
        </w:tc>
      </w:tr>
      <w:tr>
        <w:tc>
          <w:tcPr>
            <w:tcW w:type="dxa" w:w="3200"/>
            <w:tcBorders>
              <w:top w:val="single" w:color="CBD5E0" w:sz="1"/>
              <w:left w:val="single" w:color="CBD5E0" w:sz="1"/>
              <w:bottom w:val="single" w:color="CBD5E0" w:sz="1"/>
              <w:right w:val="single" w:color="CBD5E0" w:sz="1"/>
            </w:tcBorders>
            <w:shd w:fill="FFF5F5" w:val="clear"/>
            <w:tcMar>
              <w:top w:type="dxa" w:w="80"/>
              <w:left w:type="dxa" w:w="160"/>
              <w:bottom w:type="dxa" w:w="80"/>
              <w:right w:type="dxa" w:w="100"/>
            </w:tcMar>
          </w:tcPr>
          <w:p>
            <w:r>
              <w:rPr>
                <w:rFonts w:ascii="Arial" w:cs="Arial" w:eastAsia="Arial" w:hAnsi="Arial"/>
                <w:color w:val="1A202C"/>
                <w:sz w:val="20"/>
                <w:szCs w:val="20"/>
              </w:rPr>
              <w:t xml:space="preserve">Low Engagement Re-Engagement Initiative</w:t>
            </w:r>
          </w:p>
        </w:tc>
        <w:tc>
          <w:tcPr>
            <w:tcW w:type="dxa" w:w="1400"/>
            <w:tcBorders>
              <w:top w:val="single" w:color="CBD5E0" w:sz="1"/>
              <w:left w:val="single" w:color="CBD5E0" w:sz="1"/>
              <w:bottom w:val="single" w:color="CBD5E0" w:sz="1"/>
              <w:right w:val="single" w:color="CBD5E0" w:sz="1"/>
            </w:tcBorders>
            <w:shd w:fill="C5303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Critical</w:t>
            </w:r>
          </w:p>
        </w:tc>
        <w:tc>
          <w:tcPr>
            <w:tcW w:type="dxa" w:w="4760"/>
            <w:tcBorders>
              <w:top w:val="single" w:color="CBD5E0" w:sz="1"/>
              <w:left w:val="single" w:color="CBD5E0" w:sz="1"/>
              <w:bottom w:val="single" w:color="CBD5E0" w:sz="1"/>
              <w:right w:val="single" w:color="CBD5E0" w:sz="1"/>
            </w:tcBorders>
            <w:tcMar>
              <w:top w:type="dxa" w:w="80"/>
              <w:left w:type="dxa" w:w="140"/>
              <w:bottom w:type="dxa" w:w="80"/>
              <w:right w:type="dxa" w:w="100"/>
            </w:tcMar>
          </w:tcPr>
          <w:p>
            <w:r>
              <w:rPr>
                <w:rFonts w:ascii="Arial" w:cs="Arial" w:eastAsia="Arial" w:hAnsi="Arial"/>
                <w:color w:val="1A202C"/>
                <w:sz w:val="20"/>
                <w:szCs w:val="20"/>
              </w:rPr>
              <w:t xml:space="preserve">Deploy confidential pulse survey within 30 days; assign People Partners to all 176 low-engagement employees</w:t>
            </w:r>
          </w:p>
        </w:tc>
      </w:tr>
      <w:tr>
        <w:tc>
          <w:tcPr>
            <w:tcW w:type="dxa" w:w="3200"/>
            <w:tcBorders>
              <w:top w:val="single" w:color="CBD5E0" w:sz="1"/>
              <w:left w:val="single" w:color="CBD5E0" w:sz="1"/>
              <w:bottom w:val="single" w:color="CBD5E0" w:sz="1"/>
              <w:right w:val="single" w:color="CBD5E0" w:sz="1"/>
            </w:tcBorders>
            <w:shd w:fill="FFFBEB" w:val="clear"/>
            <w:tcMar>
              <w:top w:type="dxa" w:w="80"/>
              <w:left w:type="dxa" w:w="160"/>
              <w:bottom w:type="dxa" w:w="80"/>
              <w:right w:type="dxa" w:w="100"/>
            </w:tcMar>
          </w:tcPr>
          <w:p>
            <w:r>
              <w:rPr>
                <w:rFonts w:ascii="Arial" w:cs="Arial" w:eastAsia="Arial" w:hAnsi="Arial"/>
                <w:color w:val="1A202C"/>
                <w:sz w:val="20"/>
                <w:szCs w:val="20"/>
              </w:rPr>
              <w:t xml:space="preserve">Research Scientist Burnout Audit</w:t>
            </w:r>
          </w:p>
        </w:tc>
        <w:tc>
          <w:tcPr>
            <w:tcW w:type="dxa" w:w="1400"/>
            <w:tcBorders>
              <w:top w:val="single" w:color="CBD5E0" w:sz="1"/>
              <w:left w:val="single" w:color="CBD5E0" w:sz="1"/>
              <w:bottom w:val="single" w:color="CBD5E0" w:sz="1"/>
              <w:right w:val="single" w:color="CBD5E0" w:sz="1"/>
            </w:tcBorders>
            <w:shd w:fill="C056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High</w:t>
            </w:r>
          </w:p>
        </w:tc>
        <w:tc>
          <w:tcPr>
            <w:tcW w:type="dxa" w:w="4760"/>
            <w:tcBorders>
              <w:top w:val="single" w:color="CBD5E0" w:sz="1"/>
              <w:left w:val="single" w:color="CBD5E0" w:sz="1"/>
              <w:bottom w:val="single" w:color="CBD5E0" w:sz="1"/>
              <w:right w:val="single" w:color="CBD5E0" w:sz="1"/>
            </w:tcBorders>
            <w:tcMar>
              <w:top w:type="dxa" w:w="80"/>
              <w:left w:type="dxa" w:w="140"/>
              <w:bottom w:type="dxa" w:w="80"/>
              <w:right w:type="dxa" w:w="100"/>
            </w:tcMar>
          </w:tcPr>
          <w:p>
            <w:r>
              <w:rPr>
                <w:rFonts w:ascii="Arial" w:cs="Arial" w:eastAsia="Arial" w:hAnsi="Arial"/>
                <w:color w:val="1A202C"/>
                <w:sz w:val="20"/>
                <w:szCs w:val="20"/>
              </w:rPr>
              <w:t xml:space="preserve">Conduct structured focus groups; review project load distribution and deadline norms in R&amp;D</w:t>
            </w:r>
          </w:p>
        </w:tc>
      </w:tr>
      <w:tr>
        <w:tc>
          <w:tcPr>
            <w:tcW w:type="dxa" w:w="3200"/>
            <w:tcBorders>
              <w:top w:val="single" w:color="CBD5E0" w:sz="1"/>
              <w:left w:val="single" w:color="CBD5E0" w:sz="1"/>
              <w:bottom w:val="single" w:color="CBD5E0" w:sz="1"/>
              <w:right w:val="single" w:color="CBD5E0" w:sz="1"/>
            </w:tcBorders>
            <w:shd w:fill="FFFBEB" w:val="clear"/>
            <w:tcMar>
              <w:top w:type="dxa" w:w="80"/>
              <w:left w:type="dxa" w:w="160"/>
              <w:bottom w:type="dxa" w:w="80"/>
              <w:right w:type="dxa" w:w="100"/>
            </w:tcMar>
          </w:tcPr>
          <w:p>
            <w:r>
              <w:rPr>
                <w:rFonts w:ascii="Arial" w:cs="Arial" w:eastAsia="Arial" w:hAnsi="Arial"/>
                <w:color w:val="1A202C"/>
                <w:sz w:val="20"/>
                <w:szCs w:val="20"/>
              </w:rPr>
              <w:t xml:space="preserve">Compensation Band Equity Review</w:t>
            </w:r>
          </w:p>
        </w:tc>
        <w:tc>
          <w:tcPr>
            <w:tcW w:type="dxa" w:w="1400"/>
            <w:tcBorders>
              <w:top w:val="single" w:color="CBD5E0" w:sz="1"/>
              <w:left w:val="single" w:color="CBD5E0" w:sz="1"/>
              <w:bottom w:val="single" w:color="CBD5E0" w:sz="1"/>
              <w:right w:val="single" w:color="CBD5E0" w:sz="1"/>
            </w:tcBorders>
            <w:shd w:fill="C056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High</w:t>
            </w:r>
          </w:p>
        </w:tc>
        <w:tc>
          <w:tcPr>
            <w:tcW w:type="dxa" w:w="4760"/>
            <w:tcBorders>
              <w:top w:val="single" w:color="CBD5E0" w:sz="1"/>
              <w:left w:val="single" w:color="CBD5E0" w:sz="1"/>
              <w:bottom w:val="single" w:color="CBD5E0" w:sz="1"/>
              <w:right w:val="single" w:color="CBD5E0" w:sz="1"/>
            </w:tcBorders>
            <w:tcMar>
              <w:top w:type="dxa" w:w="80"/>
              <w:left w:type="dxa" w:w="140"/>
              <w:bottom w:type="dxa" w:w="80"/>
              <w:right w:type="dxa" w:w="100"/>
            </w:tcMar>
          </w:tcPr>
          <w:p>
            <w:r>
              <w:rPr>
                <w:rFonts w:ascii="Arial" w:cs="Arial" w:eastAsia="Arial" w:hAnsi="Arial"/>
                <w:color w:val="1A202C"/>
                <w:sz w:val="20"/>
                <w:szCs w:val="20"/>
              </w:rPr>
              <w:t xml:space="preserve">Commission pay compression analysis; prioritize within-band adjustments for high-attrition roles</w:t>
            </w:r>
          </w:p>
        </w:tc>
      </w:tr>
      <w:tr>
        <w:tc>
          <w:tcPr>
            <w:tcW w:type="dxa" w:w="3200"/>
            <w:tcBorders>
              <w:top w:val="single" w:color="CBD5E0" w:sz="1"/>
              <w:left w:val="single" w:color="CBD5E0" w:sz="1"/>
              <w:bottom w:val="single" w:color="CBD5E0" w:sz="1"/>
              <w:right w:val="single" w:color="CBD5E0" w:sz="1"/>
            </w:tcBorders>
            <w:shd w:fill="FFFBEB" w:val="clear"/>
            <w:tcMar>
              <w:top w:type="dxa" w:w="80"/>
              <w:left w:type="dxa" w:w="160"/>
              <w:bottom w:type="dxa" w:w="80"/>
              <w:right w:type="dxa" w:w="100"/>
            </w:tcMar>
          </w:tcPr>
          <w:p>
            <w:r>
              <w:rPr>
                <w:rFonts w:ascii="Arial" w:cs="Arial" w:eastAsia="Arial" w:hAnsi="Arial"/>
                <w:color w:val="1A202C"/>
                <w:sz w:val="20"/>
                <w:szCs w:val="20"/>
              </w:rPr>
              <w:t xml:space="preserve">Stock Option Expansion</w:t>
            </w:r>
          </w:p>
        </w:tc>
        <w:tc>
          <w:tcPr>
            <w:tcW w:type="dxa" w:w="1400"/>
            <w:tcBorders>
              <w:top w:val="single" w:color="CBD5E0" w:sz="1"/>
              <w:left w:val="single" w:color="CBD5E0" w:sz="1"/>
              <w:bottom w:val="single" w:color="CBD5E0" w:sz="1"/>
              <w:right w:val="single" w:color="CBD5E0" w:sz="1"/>
            </w:tcBorders>
            <w:shd w:fill="C056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High</w:t>
            </w:r>
          </w:p>
        </w:tc>
        <w:tc>
          <w:tcPr>
            <w:tcW w:type="dxa" w:w="4760"/>
            <w:tcBorders>
              <w:top w:val="single" w:color="CBD5E0" w:sz="1"/>
              <w:left w:val="single" w:color="CBD5E0" w:sz="1"/>
              <w:bottom w:val="single" w:color="CBD5E0" w:sz="1"/>
              <w:right w:val="single" w:color="CBD5E0" w:sz="1"/>
            </w:tcBorders>
            <w:tcMar>
              <w:top w:type="dxa" w:w="80"/>
              <w:left w:type="dxa" w:w="140"/>
              <w:bottom w:type="dxa" w:w="80"/>
              <w:right w:type="dxa" w:w="100"/>
            </w:tcMar>
          </w:tcPr>
          <w:p>
            <w:r>
              <w:rPr>
                <w:rFonts w:ascii="Arial" w:cs="Arial" w:eastAsia="Arial" w:hAnsi="Arial"/>
                <w:color w:val="1A202C"/>
                <w:sz w:val="20"/>
                <w:szCs w:val="20"/>
              </w:rPr>
              <w:t xml:space="preserve">Extend equity eligibility to Level 0 holders in critical roles within 90 days</w:t>
            </w:r>
          </w:p>
        </w:tc>
      </w:tr>
      <w:tr>
        <w:tc>
          <w:tcPr>
            <w:tcW w:type="dxa" w:w="3200"/>
            <w:tcBorders>
              <w:top w:val="single" w:color="CBD5E0" w:sz="1"/>
              <w:left w:val="single" w:color="CBD5E0" w:sz="1"/>
              <w:bottom w:val="single" w:color="CBD5E0" w:sz="1"/>
              <w:right w:val="single" w:color="CBD5E0" w:sz="1"/>
            </w:tcBorders>
            <w:shd w:fill="FFFBEB" w:val="clear"/>
            <w:tcMar>
              <w:top w:type="dxa" w:w="80"/>
              <w:left w:type="dxa" w:w="160"/>
              <w:bottom w:type="dxa" w:w="80"/>
              <w:right w:type="dxa" w:w="100"/>
            </w:tcMar>
          </w:tcPr>
          <w:p>
            <w:r>
              <w:rPr>
                <w:rFonts w:ascii="Arial" w:cs="Arial" w:eastAsia="Arial" w:hAnsi="Arial"/>
                <w:color w:val="1A202C"/>
                <w:sz w:val="20"/>
                <w:szCs w:val="20"/>
              </w:rPr>
              <w:t xml:space="preserve">Career Mobility Program</w:t>
            </w:r>
          </w:p>
        </w:tc>
        <w:tc>
          <w:tcPr>
            <w:tcW w:type="dxa" w:w="1400"/>
            <w:tcBorders>
              <w:top w:val="single" w:color="CBD5E0" w:sz="1"/>
              <w:left w:val="single" w:color="CBD5E0" w:sz="1"/>
              <w:bottom w:val="single" w:color="CBD5E0" w:sz="1"/>
              <w:right w:val="single" w:color="CBD5E0" w:sz="1"/>
            </w:tcBorders>
            <w:shd w:fill="C05621"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High</w:t>
            </w:r>
          </w:p>
        </w:tc>
        <w:tc>
          <w:tcPr>
            <w:tcW w:type="dxa" w:w="4760"/>
            <w:tcBorders>
              <w:top w:val="single" w:color="CBD5E0" w:sz="1"/>
              <w:left w:val="single" w:color="CBD5E0" w:sz="1"/>
              <w:bottom w:val="single" w:color="CBD5E0" w:sz="1"/>
              <w:right w:val="single" w:color="CBD5E0" w:sz="1"/>
            </w:tcBorders>
            <w:tcMar>
              <w:top w:type="dxa" w:w="80"/>
              <w:left w:type="dxa" w:w="140"/>
              <w:bottom w:type="dxa" w:w="80"/>
              <w:right w:type="dxa" w:w="100"/>
            </w:tcMar>
          </w:tcPr>
          <w:p>
            <w:r>
              <w:rPr>
                <w:rFonts w:ascii="Arial" w:cs="Arial" w:eastAsia="Arial" w:hAnsi="Arial"/>
                <w:color w:val="1A202C"/>
                <w:sz w:val="20"/>
                <w:szCs w:val="20"/>
              </w:rPr>
              <w:t xml:space="preserve">Audit 15+ year role incumbents; launch internal talent marketplace within 6 months</w:t>
            </w:r>
          </w:p>
        </w:tc>
      </w:tr>
      <w:tr>
        <w:tc>
          <w:tcPr>
            <w:tcW w:type="dxa" w:w="3200"/>
            <w:tcBorders>
              <w:top w:val="single" w:color="CBD5E0" w:sz="1"/>
              <w:left w:val="single" w:color="CBD5E0" w:sz="1"/>
              <w:bottom w:val="single" w:color="CBD5E0" w:sz="1"/>
              <w:right w:val="single" w:color="CBD5E0" w:sz="1"/>
            </w:tcBorders>
            <w:shd w:fill="F0FFF4" w:val="clear"/>
            <w:tcMar>
              <w:top w:type="dxa" w:w="80"/>
              <w:left w:type="dxa" w:w="160"/>
              <w:bottom w:type="dxa" w:w="80"/>
              <w:right w:type="dxa" w:w="100"/>
            </w:tcMar>
          </w:tcPr>
          <w:p>
            <w:r>
              <w:rPr>
                <w:rFonts w:ascii="Arial" w:cs="Arial" w:eastAsia="Arial" w:hAnsi="Arial"/>
                <w:color w:val="1A202C"/>
                <w:sz w:val="20"/>
                <w:szCs w:val="20"/>
              </w:rPr>
              <w:t xml:space="preserve">Early-Career Retention Package</w:t>
            </w:r>
          </w:p>
        </w:tc>
        <w:tc>
          <w:tcPr>
            <w:tcW w:type="dxa" w:w="1400"/>
            <w:tcBorders>
              <w:top w:val="single" w:color="CBD5E0" w:sz="1"/>
              <w:left w:val="single" w:color="CBD5E0" w:sz="1"/>
              <w:bottom w:val="single" w:color="CBD5E0" w:sz="1"/>
              <w:right w:val="single" w:color="CBD5E0" w:sz="1"/>
            </w:tcBorders>
            <w:shd w:fill="276749"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Moderate</w:t>
            </w:r>
          </w:p>
        </w:tc>
        <w:tc>
          <w:tcPr>
            <w:tcW w:type="dxa" w:w="4760"/>
            <w:tcBorders>
              <w:top w:val="single" w:color="CBD5E0" w:sz="1"/>
              <w:left w:val="single" w:color="CBD5E0" w:sz="1"/>
              <w:bottom w:val="single" w:color="CBD5E0" w:sz="1"/>
              <w:right w:val="single" w:color="CBD5E0" w:sz="1"/>
            </w:tcBorders>
            <w:tcMar>
              <w:top w:type="dxa" w:w="80"/>
              <w:left w:type="dxa" w:w="140"/>
              <w:bottom w:type="dxa" w:w="80"/>
              <w:right w:type="dxa" w:w="100"/>
            </w:tcMar>
          </w:tcPr>
          <w:p>
            <w:r>
              <w:rPr>
                <w:rFonts w:ascii="Arial" w:cs="Arial" w:eastAsia="Arial" w:hAnsi="Arial"/>
                <w:color w:val="1A202C"/>
                <w:sz w:val="20"/>
                <w:szCs w:val="20"/>
              </w:rPr>
              <w:t xml:space="preserve">Launch ERG for sub-35 workforce; introduce financial wellness benefits aligned to single professionals</w:t>
            </w:r>
          </w:p>
        </w:tc>
      </w:tr>
    </w:tbl>
    <w:p>
      <w:pPr>
        <w:spacing w:after="40" w:before="40"/>
      </w:pPr>
      <w:r>
        <w:t xml:space="preserve"/>
      </w:r>
    </w:p>
    <w:p>
      <w:pPr>
        <w:spacing w:after="40" w:before="40"/>
      </w:pPr>
      <w:r>
        <w:t xml:space="preserve"/>
      </w:r>
    </w:p>
    <w:p>
      <w:pPr>
        <w:pStyle w:val="Heading1"/>
        <w:pBdr>
          <w:bottom w:val="single" w:color="C8922A" w:sz="6" w:space="4"/>
        </w:pBdr>
        <w:spacing w:after="180" w:before="360"/>
      </w:pPr>
      <w:r>
        <w:rPr>
          <w:rFonts w:ascii="Arial" w:cs="Arial" w:eastAsia="Arial" w:hAnsi="Arial"/>
          <w:b/>
          <w:bCs/>
          <w:color w:val="0D2340"/>
          <w:sz w:val="30"/>
          <w:szCs w:val="30"/>
        </w:rPr>
        <w:t xml:space="preserve">4. Expected Outcomes &amp; Targets</w:t>
      </w:r>
    </w:p>
    <w:p>
      <w:pPr>
        <w:spacing w:after="100" w:before="80"/>
        <w:jc w:val="both"/>
      </w:pPr>
      <w:r>
        <w:rPr>
          <w:rFonts w:ascii="Arial" w:cs="Arial" w:eastAsia="Arial" w:hAnsi="Arial"/>
          <w:b w:val="false"/>
          <w:bCs w:val="false"/>
          <w:i w:val="false"/>
          <w:iCs w:val="false"/>
          <w:color w:val="1A202C"/>
          <w:sz w:val="22"/>
          <w:szCs w:val="22"/>
        </w:rPr>
        <w:t xml:space="preserve">Implementing the above interventions in priority sequence is projected to yield the following measurable outcomes within 24 months: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BD5E0" w:sz="1"/>
              <w:left w:val="single" w:color="CBD5E0" w:sz="1"/>
              <w:bottom w:val="single" w:color="CBD5E0" w:sz="1"/>
              <w:right w:val="single" w:color="CBD5E0" w:sz="1"/>
            </w:tcBorders>
            <w:shd w:fill="0D2340"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Metric</w:t>
            </w:r>
          </w:p>
        </w:tc>
        <w:tc>
          <w:tcPr>
            <w:tcW w:type="dxa" w:w="2000"/>
            <w:tcBorders>
              <w:top w:val="single" w:color="CBD5E0" w:sz="1"/>
              <w:left w:val="single" w:color="CBD5E0" w:sz="1"/>
              <w:bottom w:val="single" w:color="CBD5E0" w:sz="1"/>
              <w:right w:val="single" w:color="CBD5E0" w:sz="1"/>
            </w:tcBorders>
            <w:shd w:fill="0D2340"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Current State</w:t>
            </w:r>
          </w:p>
        </w:tc>
        <w:tc>
          <w:tcPr>
            <w:tcW w:type="dxa" w:w="2000"/>
            <w:tcBorders>
              <w:top w:val="single" w:color="CBD5E0" w:sz="1"/>
              <w:left w:val="single" w:color="CBD5E0" w:sz="1"/>
              <w:bottom w:val="single" w:color="CBD5E0" w:sz="1"/>
              <w:right w:val="single" w:color="CBD5E0" w:sz="1"/>
            </w:tcBorders>
            <w:shd w:fill="0D2340"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12-Month Target</w:t>
            </w:r>
          </w:p>
        </w:tc>
        <w:tc>
          <w:tcPr>
            <w:tcW w:type="dxa" w:w="2160"/>
            <w:tcBorders>
              <w:top w:val="single" w:color="CBD5E0" w:sz="1"/>
              <w:left w:val="single" w:color="CBD5E0" w:sz="1"/>
              <w:bottom w:val="single" w:color="CBD5E0" w:sz="1"/>
              <w:right w:val="single" w:color="CBD5E0" w:sz="1"/>
            </w:tcBorders>
            <w:shd w:fill="0D2340" w:val="clear"/>
            <w:tcMar>
              <w:top w:type="dxa" w:w="100"/>
              <w:left w:type="dxa" w:w="160"/>
              <w:bottom w:type="dxa" w:w="100"/>
              <w:right w:type="dxa" w:w="100"/>
            </w:tcMar>
          </w:tcPr>
          <w:p>
            <w:pPr>
              <w:jc w:val="center"/>
            </w:pPr>
            <w:r>
              <w:rPr>
                <w:rFonts w:ascii="Arial" w:cs="Arial" w:eastAsia="Arial" w:hAnsi="Arial"/>
                <w:b/>
                <w:bCs/>
                <w:color w:val="FFFFFF"/>
                <w:sz w:val="20"/>
                <w:szCs w:val="20"/>
              </w:rPr>
              <w:t xml:space="preserve">24-Month Target</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left"/>
            </w:pPr>
            <w:r>
              <w:rPr>
                <w:rFonts w:ascii="Arial" w:cs="Arial" w:eastAsia="Arial" w:hAnsi="Arial"/>
                <w:b w:val="false"/>
                <w:bCs w:val="false"/>
                <w:color w:val="1A202C"/>
                <w:sz w:val="20"/>
                <w:szCs w:val="20"/>
              </w:rPr>
              <w:t xml:space="preserve">Overall Attrition Rate</w:t>
            </w:r>
          </w:p>
        </w:tc>
        <w:tc>
          <w:tcPr>
            <w:tcW w:type="dxa" w:w="20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bCs/>
                <w:color w:val="1A202C"/>
                <w:sz w:val="20"/>
                <w:szCs w:val="20"/>
              </w:rPr>
              <w:t xml:space="preserve">16.1%</w:t>
            </w:r>
          </w:p>
        </w:tc>
        <w:tc>
          <w:tcPr>
            <w:tcW w:type="dxa" w:w="20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bCs/>
                <w:color w:val="1A202C"/>
                <w:sz w:val="20"/>
                <w:szCs w:val="20"/>
              </w:rPr>
              <w:t xml:space="preserve">&lt; 13%</w:t>
            </w:r>
          </w:p>
        </w:tc>
        <w:tc>
          <w:tcPr>
            <w:tcW w:type="dxa" w:w="216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bCs/>
                <w:color w:val="1A202C"/>
                <w:sz w:val="20"/>
                <w:szCs w:val="20"/>
              </w:rPr>
              <w:t xml:space="preserve">&lt; 10%</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left"/>
            </w:pPr>
            <w:r>
              <w:rPr>
                <w:rFonts w:ascii="Arial" w:cs="Arial" w:eastAsia="Arial" w:hAnsi="Arial"/>
                <w:b w:val="false"/>
                <w:bCs w:val="false"/>
                <w:color w:val="1A202C"/>
                <w:sz w:val="20"/>
                <w:szCs w:val="20"/>
              </w:rPr>
              <w:t xml:space="preserve">Overtime Attrition Rate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30.5%</w:t>
            </w:r>
          </w:p>
        </w:tc>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&lt; 22%</w:t>
            </w:r>
          </w:p>
        </w:tc>
        <w:tc>
          <w:tcPr>
            <w:tcW w:type="dxa" w:w="21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&lt; 15%</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left"/>
            </w:pPr>
            <w:r>
              <w:rPr>
                <w:rFonts w:ascii="Arial" w:cs="Arial" w:eastAsia="Arial" w:hAnsi="Arial"/>
                <w:b w:val="false"/>
                <w:bCs w:val="false"/>
                <w:color w:val="1A202C"/>
                <w:sz w:val="20"/>
                <w:szCs w:val="20"/>
              </w:rPr>
              <w:t xml:space="preserve">Low Engagement Cohort Size</w:t>
            </w:r>
          </w:p>
        </w:tc>
        <w:tc>
          <w:tcPr>
            <w:tcW w:type="dxa" w:w="20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12.0% (176)</w:t>
            </w:r>
          </w:p>
        </w:tc>
        <w:tc>
          <w:tcPr>
            <w:tcW w:type="dxa" w:w="20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&lt; 9%</w:t>
            </w:r>
          </w:p>
        </w:tc>
        <w:tc>
          <w:tcPr>
            <w:tcW w:type="dxa" w:w="216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&lt; 6%</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left"/>
            </w:pPr>
            <w:r>
              <w:rPr>
                <w:rFonts w:ascii="Arial" w:cs="Arial" w:eastAsia="Arial" w:hAnsi="Arial"/>
                <w:b w:val="false"/>
                <w:bCs w:val="false"/>
                <w:color w:val="1A202C"/>
                <w:sz w:val="20"/>
                <w:szCs w:val="20"/>
              </w:rPr>
              <w:t xml:space="preserve">High-Risk Employee Count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126</w:t>
            </w:r>
          </w:p>
        </w:tc>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&lt; 80</w:t>
            </w:r>
          </w:p>
        </w:tc>
        <w:tc>
          <w:tcPr>
            <w:tcW w:type="dxa" w:w="21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&lt; 40</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left"/>
            </w:pPr>
            <w:r>
              <w:rPr>
                <w:rFonts w:ascii="Arial" w:cs="Arial" w:eastAsia="Arial" w:hAnsi="Arial"/>
                <w:b w:val="false"/>
                <w:bCs w:val="false"/>
                <w:color w:val="1A202C"/>
                <w:sz w:val="20"/>
                <w:szCs w:val="20"/>
              </w:rPr>
              <w:t xml:space="preserve">Avg. Engagement Index</w:t>
            </w:r>
          </w:p>
        </w:tc>
        <w:tc>
          <w:tcPr>
            <w:tcW w:type="dxa" w:w="20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0.574</w:t>
            </w:r>
          </w:p>
        </w:tc>
        <w:tc>
          <w:tcPr>
            <w:tcW w:type="dxa" w:w="200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&gt; 0.610</w:t>
            </w:r>
          </w:p>
        </w:tc>
        <w:tc>
          <w:tcPr>
            <w:tcW w:type="dxa" w:w="2160"/>
            <w:tcBorders>
              <w:top w:val="single" w:color="CBD5E0" w:sz="1"/>
              <w:left w:val="single" w:color="CBD5E0" w:sz="1"/>
              <w:bottom w:val="single" w:color="CBD5E0" w:sz="1"/>
              <w:right w:val="single" w:color="CBD5E0" w:sz="1"/>
            </w:tcBorders>
            <w:shd w:fill="F7FAFC"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&gt; 0.650</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left"/>
            </w:pPr>
            <w:r>
              <w:rPr>
                <w:rFonts w:ascii="Arial" w:cs="Arial" w:eastAsia="Arial" w:hAnsi="Arial"/>
                <w:b w:val="false"/>
                <w:bCs w:val="false"/>
                <w:color w:val="1A202C"/>
                <w:sz w:val="20"/>
                <w:szCs w:val="20"/>
              </w:rPr>
              <w:t xml:space="preserve">Est. Annual Attrition Cost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$8–15M</w:t>
            </w:r>
          </w:p>
        </w:tc>
        <w:tc>
          <w:tcPr>
            <w:tcW w:type="dxa" w:w="200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&lt; $10M</w:t>
            </w:r>
          </w:p>
        </w:tc>
        <w:tc>
          <w:tcPr>
            <w:tcW w:type="dxa" w:w="2160"/>
            <w:tcBorders>
              <w:top w:val="single" w:color="CBD5E0" w:sz="1"/>
              <w:left w:val="single" w:color="CBD5E0" w:sz="1"/>
              <w:bottom w:val="single" w:color="CBD5E0" w:sz="1"/>
              <w:right w:val="single" w:color="CBD5E0" w:sz="1"/>
            </w:tcBorders>
            <w:shd w:fill="FFFFFF" w:val="clear"/>
            <w:tcMar>
              <w:top w:type="dxa" w:w="80"/>
              <w:left w:type="dxa" w:w="160"/>
              <w:bottom w:type="dxa" w:w="80"/>
              <w:right w:type="dxa" w:w="100"/>
            </w:tcMar>
          </w:tcPr>
          <w:p>
            <w:pPr>
              <w:jc w:val="center"/>
            </w:pPr>
            <w:r>
              <w:rPr>
                <w:rFonts w:ascii="Arial" w:cs="Arial" w:eastAsia="Arial" w:hAnsi="Arial"/>
                <w:b w:val="false"/>
                <w:bCs w:val="false"/>
                <w:color w:val="1A202C"/>
                <w:sz w:val="20"/>
                <w:szCs w:val="20"/>
              </w:rPr>
              <w:t xml:space="preserve">&lt; $6M</w:t>
            </w:r>
          </w:p>
        </w:tc>
      </w:tr>
    </w:tbl>
    <w:p>
      <w:pPr>
        <w:spacing w:after="40" w:before="40"/>
      </w:pPr>
      <w:r>
        <w:t xml:space="preserve"/>
      </w:r>
    </w:p>
    <w:p>
      <w:pPr>
        <w:spacing w:after="40" w:before="40"/>
      </w:pPr>
      <w:r>
        <w:t xml:space="preserve"/>
      </w:r>
    </w:p>
    <w:p>
      <w:pPr>
        <w:pStyle w:val="Heading1"/>
        <w:pBdr>
          <w:bottom w:val="single" w:color="C8922A" w:sz="6" w:space="4"/>
        </w:pBdr>
        <w:spacing w:after="180" w:before="360"/>
      </w:pPr>
      <w:r>
        <w:rPr>
          <w:rFonts w:ascii="Arial" w:cs="Arial" w:eastAsia="Arial" w:hAnsi="Arial"/>
          <w:b/>
          <w:bCs/>
          <w:color w:val="0D2340"/>
          <w:sz w:val="30"/>
          <w:szCs w:val="30"/>
        </w:rPr>
        <w:t xml:space="preserve">5. Governance &amp; Accountability</w:t>
      </w:r>
    </w:p>
    <w:p>
      <w:pPr>
        <w:spacing w:after="100" w:before="80"/>
        <w:jc w:val="both"/>
      </w:pPr>
      <w:r>
        <w:rPr>
          <w:rFonts w:ascii="Arial" w:cs="Arial" w:eastAsia="Arial" w:hAnsi="Arial"/>
          <w:b w:val="false"/>
          <w:bCs w:val="false"/>
          <w:i w:val="false"/>
          <w:iCs w:val="false"/>
          <w:color w:val="1A202C"/>
          <w:sz w:val="22"/>
          <w:szCs w:val="22"/>
        </w:rPr>
        <w:t xml:space="preserve">To ensure sustained impact, the following governance structure is recommended:</w:t>
      </w:r>
    </w:p>
    <w:p>
      <w:pPr>
        <w:spacing w:after="40" w:before="40"/>
      </w:pPr>
      <w:r>
        <w:t xml:space="preserve"/>
      </w:r>
    </w:p>
    <w:p>
      <w:pPr>
        <w:pStyle w:val="ListParagraph"/>
        <w:numPr>
          <w:ilvl w:val="0"/>
          <w:numId w:val="2"/>
        </w:numPr>
        <w:spacing w:after="60" w:before="60"/>
      </w:pPr>
      <w:r>
        <w:rPr>
          <w:rFonts w:ascii="Arial" w:cs="Arial" w:eastAsia="Arial" w:hAnsi="Arial"/>
          <w:color w:val="1A202C"/>
          <w:sz w:val="22"/>
          <w:szCs w:val="22"/>
        </w:rPr>
        <w:t xml:space="preserve">Workforce Experience Council: Cross-functional body comprising CHRO, department heads, and employee representatives — reviews engagement data monthly and owns intervention accountability</w:t>
      </w:r>
    </w:p>
    <w:p>
      <w:pPr>
        <w:pStyle w:val="ListParagraph"/>
        <w:numPr>
          <w:ilvl w:val="0"/>
          <w:numId w:val="2"/>
        </w:numPr>
        <w:spacing w:after="60" w:before="60"/>
      </w:pPr>
      <w:r>
        <w:rPr>
          <w:rFonts w:ascii="Arial" w:cs="Arial" w:eastAsia="Arial" w:hAnsi="Arial"/>
          <w:color w:val="1A202C"/>
          <w:sz w:val="22"/>
          <w:szCs w:val="22"/>
        </w:rPr>
        <w:t xml:space="preserve">Quarterly Pulse Surveys: Replace annual surveys with real-time engagement measurement, enabling 90-day early warning on flight risk</w:t>
      </w:r>
    </w:p>
    <w:p>
      <w:pPr>
        <w:pStyle w:val="ListParagraph"/>
        <w:numPr>
          <w:ilvl w:val="0"/>
          <w:numId w:val="2"/>
        </w:numPr>
        <w:spacing w:after="60" w:before="60"/>
      </w:pPr>
      <w:r>
        <w:rPr>
          <w:rFonts w:ascii="Arial" w:cs="Arial" w:eastAsia="Arial" w:hAnsi="Arial"/>
          <w:color w:val="1A202C"/>
          <w:sz w:val="22"/>
          <w:szCs w:val="22"/>
        </w:rPr>
        <w:t xml:space="preserve">Predictive Risk Scoring: Integrate engagement, overtime, and compensation data into a unified retention risk model updated monthly</w:t>
      </w:r>
    </w:p>
    <w:p>
      <w:pPr>
        <w:pStyle w:val="ListParagraph"/>
        <w:numPr>
          <w:ilvl w:val="0"/>
          <w:numId w:val="2"/>
        </w:numPr>
        <w:spacing w:after="60" w:before="60"/>
      </w:pPr>
      <w:r>
        <w:rPr>
          <w:rFonts w:ascii="Arial" w:cs="Arial" w:eastAsia="Arial" w:hAnsi="Arial"/>
          <w:color w:val="1A202C"/>
          <w:sz w:val="22"/>
          <w:szCs w:val="22"/>
        </w:rPr>
        <w:t xml:space="preserve">Board-Level Reporting: Annual workforce health report presented to the Board of Directors and available to relevant regulatory bodies, demonstrating ESG workforce governance compliance</w:t>
      </w:r>
    </w:p>
    <w:p>
      <w:pPr>
        <w:pStyle w:val="ListParagraph"/>
        <w:numPr>
          <w:ilvl w:val="0"/>
          <w:numId w:val="2"/>
        </w:numPr>
        <w:spacing w:after="60" w:before="60"/>
      </w:pPr>
      <w:r>
        <w:rPr>
          <w:rFonts w:ascii="Arial" w:cs="Arial" w:eastAsia="Arial" w:hAnsi="Arial"/>
          <w:color w:val="1A202C"/>
          <w:sz w:val="22"/>
          <w:szCs w:val="22"/>
        </w:rPr>
        <w:t xml:space="preserve">Regulatory Alignment: All data collection, analysis, and retention strategies comply with applicable labor laws, data protection frameworks (GDPR where applicable), and anti-discrimination requirements</w:t>
      </w:r>
    </w:p>
    <w:p>
      <w:pPr>
        <w:spacing w:after="40" w:before="40"/>
      </w:pPr>
      <w:r>
        <w:t xml:space="preserve"/>
      </w:r>
    </w:p>
    <w:p>
      <w:pPr>
        <w:spacing w:after="40" w:before="40"/>
      </w:pPr>
      <w:r>
        <w:t xml:space="preserve"/>
      </w:r>
    </w:p>
    <w:p>
      <w:pPr>
        <w:pStyle w:val="Heading1"/>
        <w:pBdr>
          <w:bottom w:val="single" w:color="C8922A" w:sz="6" w:space="4"/>
        </w:pBdr>
        <w:spacing w:after="180" w:before="360"/>
      </w:pPr>
      <w:r>
        <w:rPr>
          <w:rFonts w:ascii="Arial" w:cs="Arial" w:eastAsia="Arial" w:hAnsi="Arial"/>
          <w:b/>
          <w:bCs/>
          <w:color w:val="0D2340"/>
          <w:sz w:val="30"/>
          <w:szCs w:val="30"/>
        </w:rPr>
        <w:t xml:space="preserve">6. Conclusion</w:t>
      </w:r>
    </w:p>
    <w:p>
      <w:pPr>
        <w:spacing w:after="100" w:before="80"/>
        <w:jc w:val="both"/>
      </w:pPr>
      <w:r>
        <w:rPr>
          <w:rFonts w:ascii="Arial" w:cs="Arial" w:eastAsia="Arial" w:hAnsi="Arial"/>
          <w:b w:val="false"/>
          <w:bCs w:val="false"/>
          <w:i w:val="false"/>
          <w:iCs w:val="false"/>
          <w:color w:val="1A202C"/>
          <w:sz w:val="22"/>
          <w:szCs w:val="22"/>
        </w:rPr>
        <w:t xml:space="preserve">The data is unambiguous: employee attrition at Palo Alto Networks follows predictable patterns, driven by measurable and addressable factors — unsustainable overtime, compensation inequity, role stagnation, and engagement deficits. The organization currently faces a 16.1% attrition rate, concentrated in identifiable cohorts that account for a disproportionate share of departures.</w:t>
      </w:r>
    </w:p>
    <w:p>
      <w:pPr>
        <w:spacing w:after="40" w:before="40"/>
      </w:pPr>
      <w:r>
        <w:t xml:space="preserve"/>
      </w:r>
    </w:p>
    <w:p>
      <w:pPr>
        <w:spacing w:after="100" w:before="80"/>
        <w:jc w:val="both"/>
      </w:pPr>
      <w:r>
        <w:rPr>
          <w:rFonts w:ascii="Arial" w:cs="Arial" w:eastAsia="Arial" w:hAnsi="Arial"/>
          <w:b w:val="false"/>
          <w:bCs w:val="false"/>
          <w:i w:val="false"/>
          <w:iCs w:val="false"/>
          <w:color w:val="1A202C"/>
          <w:sz w:val="22"/>
          <w:szCs w:val="22"/>
        </w:rPr>
        <w:t xml:space="preserve">This project demonstrates that the capability to prevent attrition exists within the organization's own data. What is required is a structural commitment to acting on leading indicators — before disengagement becomes resignation, and before resignation becomes talent loss. The seven recommended interventions presented in this summary provide a clear, sequenced, and measurable roadmap to transform Palo Alto Networks' workforce culture from reactive to preventive.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0D2340" w:val="clear"/>
            <w:tcMar>
              <w:top w:type="dxa" w:w="120"/>
              <w:left w:type="dxa" w:w="160"/>
              <w:bottom w:type="dxa" w:w="120"/>
              <w:right w:type="dxa" w:w="120"/>
            </w:tcMar>
            <w:vAlign w:val="center"/>
          </w:tcPr>
          <w:p>
            <w:pPr>
              <w:jc w:val="center"/>
            </w:pPr>
            <w:r>
              <w:rPr>
                <w:rFonts w:ascii="Arial" w:cs="Arial" w:eastAsia="Arial" w:hAnsi="Arial"/>
                <w:b/>
                <w:bCs/>
                <w:color w:val="FFFFFF"/>
                <w:sz w:val="20"/>
                <w:szCs w:val="20"/>
              </w:rPr>
              <w:t xml:space="preserve">STRATEGIC IMPERATIVE</w:t>
            </w:r>
          </w:p>
        </w:tc>
        <w:tc>
          <w:tcPr>
            <w:tcW w:type="dxa" w:w="7560"/>
            <w:tcBorders>
              <w:top w:val="none" w:color="FFFFFF" w:sz="0"/>
              <w:left w:val="none" w:color="FFFFFF" w:sz="0"/>
              <w:bottom w:val="none" w:color="FFFFFF" w:sz="0"/>
              <w:right w:val="none" w:color="FFFFFF" w:sz="0"/>
            </w:tcBorders>
            <w:shd w:fill="E8EEF7" w:val="clear"/>
            <w:tcMar>
              <w:top w:type="dxa" w:w="120"/>
              <w:left w:type="dxa" w:w="200"/>
              <w:bottom w:type="dxa" w:w="120"/>
              <w:right w:type="dxa" w:w="160"/>
            </w:tcMar>
          </w:tcPr>
          <w:p>
            <w:r>
              <w:rPr>
                <w:rFonts w:ascii="Arial" w:cs="Arial" w:eastAsia="Arial" w:hAnsi="Arial"/>
                <w:i/>
                <w:iCs/>
                <w:color w:val="1A202C"/>
                <w:sz w:val="21"/>
                <w:szCs w:val="21"/>
              </w:rPr>
              <w:t xml:space="preserve">Retaining a high-performing employee is estimated at 5–10% of replacement cost. Preventive engagement investment is not a cost center — it is the highest-return HR strategy available to the organization.</w:t>
            </w:r>
          </w:p>
        </w:tc>
      </w:tr>
    </w:tbl>
    <w:p>
      <w:pPr>
        <w:spacing w:after="40" w:before="40"/>
      </w:pPr>
      <w:r>
        <w:t xml:space="preserve"/>
      </w:r>
    </w:p>
    <w:p>
      <w:pPr>
        <w:spacing w:after="40" w:before="40"/>
      </w:pPr>
      <w:r>
        <w:t xml:space="preserve"/>
      </w:r>
    </w:p>
    <w:p>
      <w:pPr>
        <w:spacing w:after="100" w:before="80"/>
        <w:jc w:val="both"/>
      </w:pPr>
      <w:r>
        <w:rPr>
          <w:rFonts w:ascii="Arial" w:cs="Arial" w:eastAsia="Arial" w:hAnsi="Arial"/>
          <w:b w:val="false"/>
          <w:bCs w:val="false"/>
          <w:i/>
          <w:iCs/>
          <w:color w:val="4A5568"/>
          <w:sz w:val="22"/>
          <w:szCs w:val="22"/>
        </w:rPr>
        <w:t xml:space="preserve">For additional details, including full EDA methodology, segmented analysis, and implementation workplans, please refer to the accompanying Research Paper: Preventive Employee Experience Diagnostics — Palo Alto Networks HR Analytics, FY 2024.</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2340" w:sz="3" w:space="4"/>
      </w:pBdr>
      <w:tabs>
        <w:tab w:val="right" w:pos="9720"/>
      </w:tabs>
      <w:spacing w:before="80"/>
    </w:pPr>
    <w:r>
      <w:rPr>
        <w:rFonts w:ascii="Arial" w:cs="Arial" w:eastAsia="Arial" w:hAnsi="Arial"/>
        <w:color w:val="4A5568"/>
        <w:sz w:val="16"/>
        <w:szCs w:val="16"/>
      </w:rPr>
      <w:t xml:space="preserve">Palo Alto Networks HR Analytics  |  Not for External Distribution</w:t>
    </w:r>
    <w:r>
      <w:rPr>
        <w:rFonts w:ascii="Arial" w:cs="Arial" w:eastAsia="Arial" w:hAnsi="Arial"/>
        <w:sz w:val="16"/>
        <w:szCs w:val="16"/>
      </w:rPr>
      <w:t xml:space="preserve">	</w:t>
    </w:r>
    <w:r>
      <w:rPr>
        <w:rFonts w:ascii="Arial" w:cs="Arial" w:eastAsia="Arial" w:hAnsi="Arial"/>
        <w:color w:val="3A5F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none" w:color="FFFFFF" w:sz="0"/>
            <w:right w:val="none" w:color="FFFFFF" w:sz="0"/>
          </w:tcBorders>
          <w:shd w:fill="0D2340" w:val="clear"/>
          <w:tcMar>
            <w:top w:type="dxa" w:w="100"/>
            <w:left w:type="dxa" w:w="200"/>
            <w:bottom w:type="dxa" w:w="100"/>
            <w:right w:type="dxa" w:w="100"/>
          </w:tcMar>
        </w:tcPr>
        <w:p>
          <w:r>
            <w:rPr>
              <w:rFonts w:ascii="Arial" w:cs="Arial" w:eastAsia="Arial" w:hAnsi="Arial"/>
              <w:b/>
              <w:bCs/>
              <w:color w:val="FFFFFF"/>
              <w:sz w:val="17"/>
              <w:szCs w:val="17"/>
            </w:rPr>
            <w:t xml:space="preserve">PALO ALTO NETWORKS  |  Executive Summary  |  Workforce Experience Diagnostics</w:t>
          </w:r>
        </w:p>
      </w:tc>
      <w:tc>
        <w:tcPr>
          <w:tcW w:type="dxa" w:w="2520"/>
          <w:tcBorders>
            <w:top w:val="none" w:color="FFFFFF" w:sz="0"/>
            <w:left w:val="none" w:color="FFFFFF" w:sz="0"/>
            <w:bottom w:val="none" w:color="FFFFFF" w:sz="0"/>
            <w:right w:val="none" w:color="FFFFFF" w:sz="0"/>
          </w:tcBorders>
          <w:shd w:fill="C8922A" w:val="clear"/>
          <w:tcMar>
            <w:top w:type="dxa" w:w="100"/>
            <w:left w:type="dxa" w:w="100"/>
            <w:bottom w:type="dxa" w:w="100"/>
            <w:right w:type="dxa" w:w="200"/>
          </w:tcMar>
        </w:tcPr>
        <w:p>
          <w:pPr>
            <w:jc w:val="right"/>
          </w:pPr>
          <w:r>
            <w:rPr>
              <w:rFonts w:ascii="Arial" w:cs="Arial" w:eastAsia="Arial" w:hAnsi="Arial"/>
              <w:b/>
              <w:bCs/>
              <w:color w:val="FFFFFF"/>
              <w:sz w:val="16"/>
              <w:szCs w:val="16"/>
            </w:rPr>
            <w:t xml:space="preserve">CONFIDENTIAL  |  FY 2024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2340"/>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A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2026-04-27T08:27:59.306Z</dcterms:created>
  <dcterms:modified xsi:type="dcterms:W3CDTF">2026-04-27T08:27:59.307Z</dcterms:modified>
</cp:coreProperties>
</file>

<file path=docProps/custom.xml><?xml version="1.0" encoding="utf-8"?>
<Properties xmlns="http://schemas.openxmlformats.org/officeDocument/2006/custom-properties" xmlns:vt="http://schemas.openxmlformats.org/officeDocument/2006/docPropsVTypes"/>
</file>