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B3A6B"/>
          <w:sz w:val="48"/>
          <w:szCs w:val="48"/>
        </w:rPr>
        <w:t xml:space="preserve">PALO ALTO NETWORKS</w:t>
      </w:r>
    </w:p>
    <w:p>
      <w:pPr>
        <w:pBdr>
          <w:bottom w:val="single" w:color="E8570A" w:sz="12" w:space="8"/>
        </w:pBdr>
        <w:spacing w:after="200" w:before="0"/>
        <w:jc w:val="center"/>
      </w:pPr>
      <w:r>
        <w:rPr>
          <w:rFonts w:ascii="Arial" w:cs="Arial" w:eastAsia="Arial" w:hAnsi="Arial"/>
          <w:color w:val="718096"/>
          <w:sz w:val="28"/>
          <w:szCs w:val="28"/>
        </w:rPr>
        <w:t xml:space="preserve">Human Resources Analytics Division</w:t>
      </w:r>
    </w:p>
    <w:p>
      <w:pPr>
        <w:spacing w:after="60" w:before="60"/>
      </w:pPr>
      <w:r>
        <w:t xml:space="preserve"/>
      </w:r>
    </w:p>
    <w:p>
      <w:pPr>
        <w:spacing w:after="60" w:before="60"/>
      </w:pPr>
      <w:r>
        <w:t xml:space="preserve"/>
      </w:r>
    </w:p>
    <w:p>
      <w:pPr>
        <w:spacing w:after="80" w:before="100"/>
        <w:jc w:val="center"/>
      </w:pPr>
      <w:r>
        <w:rPr>
          <w:rFonts w:ascii="Arial" w:cs="Arial" w:eastAsia="Arial" w:hAnsi="Arial"/>
          <w:b/>
          <w:bCs/>
          <w:color w:val="2D3748"/>
          <w:sz w:val="52"/>
          <w:szCs w:val="52"/>
        </w:rPr>
        <w:t xml:space="preserve">RESEARCH PAPER</w:t>
      </w:r>
    </w:p>
    <w:p>
      <w:pPr>
        <w:spacing w:after="300" w:before="0"/>
        <w:jc w:val="center"/>
      </w:pPr>
      <w:r>
        <w:rPr>
          <w:rFonts w:ascii="Arial" w:cs="Arial" w:eastAsia="Arial" w:hAnsi="Arial"/>
          <w:b/>
          <w:bCs/>
          <w:color w:val="1B3A6B"/>
          <w:sz w:val="32"/>
          <w:szCs w:val="32"/>
        </w:rPr>
        <w:t xml:space="preserve">Preventive Employee Experience Diagnostics:</w:t>
      </w:r>
    </w:p>
    <w:p>
      <w:pPr>
        <w:spacing w:after="400" w:before="0"/>
        <w:jc w:val="center"/>
      </w:pPr>
      <w:r>
        <w:rPr>
          <w:rFonts w:ascii="Arial" w:cs="Arial" w:eastAsia="Arial" w:hAnsi="Arial"/>
          <w:i/>
          <w:iCs/>
          <w:color w:val="718096"/>
          <w:sz w:val="28"/>
          <w:szCs w:val="28"/>
        </w:rPr>
        <w:t xml:space="preserve">From Reactive Attrition Analysis to Proactive Retention Strategy</w:t>
      </w:r>
    </w:p>
    <w:p>
      <w:pPr>
        <w:spacing w:after="60" w:before="60"/>
      </w:pPr>
      <w:r>
        <w:t xml:space="preserve"/>
      </w:r>
    </w:p>
    <w:p>
      <w:pPr>
        <w:spacing w:after="60" w:before="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tcMar>
              <w:top w:type="dxa" w:w="80"/>
              <w:left w:type="dxa" w:w="200"/>
              <w:bottom w:type="dxa" w:w="80"/>
              <w:right w:type="dxa" w:w="100"/>
            </w:tcMar>
          </w:tcPr>
          <w:p>
            <w:r>
              <w:rPr>
                <w:rFonts w:ascii="Arial" w:cs="Arial" w:eastAsia="Arial" w:hAnsi="Arial"/>
                <w:b/>
                <w:bCs/>
                <w:color w:val="2D3748"/>
                <w:sz w:val="20"/>
                <w:szCs w:val="20"/>
              </w:rPr>
              <w:t xml:space="preserve">Dataset:</w:t>
            </w:r>
          </w:p>
        </w:tc>
        <w:tc>
          <w:tcPr>
            <w:tcW w:type="dxa" w:w="2880"/>
            <w:tcBorders>
              <w:top w:val="none" w:color="FFFFFF" w:sz="0"/>
              <w:left w:val="none" w:color="FFFFFF" w:sz="0"/>
              <w:bottom w:val="none" w:color="FFFFFF" w:sz="0"/>
              <w:right w:val="none" w:color="FFFFFF" w:sz="0"/>
            </w:tcBorders>
            <w:tcMar>
              <w:top w:type="dxa" w:w="80"/>
              <w:left w:type="dxa" w:w="100"/>
              <w:bottom w:type="dxa" w:w="80"/>
              <w:right w:type="dxa" w:w="200"/>
            </w:tcMar>
          </w:tcPr>
          <w:p>
            <w:r>
              <w:rPr>
                <w:rFonts w:ascii="Arial" w:cs="Arial" w:eastAsia="Arial" w:hAnsi="Arial"/>
                <w:color w:val="2D3748"/>
                <w:sz w:val="20"/>
                <w:szCs w:val="20"/>
              </w:rPr>
              <w:t xml:space="preserve">1,470 Employees</w:t>
            </w:r>
          </w:p>
        </w:tc>
      </w:tr>
      <w:tr>
        <w:tc>
          <w:tcPr>
            <w:tcW w:type="dxa" w:w="2880"/>
            <w:tcBorders>
              <w:top w:val="none" w:color="FFFFFF" w:sz="0"/>
              <w:left w:val="none" w:color="FFFFFF" w:sz="0"/>
              <w:bottom w:val="none" w:color="FFFFFF" w:sz="0"/>
              <w:right w:val="none" w:color="FFFFFF" w:sz="0"/>
            </w:tcBorders>
            <w:tcMar>
              <w:top w:type="dxa" w:w="80"/>
              <w:left w:type="dxa" w:w="200"/>
              <w:bottom w:type="dxa" w:w="80"/>
              <w:right w:type="dxa" w:w="100"/>
            </w:tcMar>
          </w:tcPr>
          <w:p>
            <w:r>
              <w:rPr>
                <w:rFonts w:ascii="Arial" w:cs="Arial" w:eastAsia="Arial" w:hAnsi="Arial"/>
                <w:b/>
                <w:bCs/>
                <w:color w:val="2D3748"/>
                <w:sz w:val="20"/>
                <w:szCs w:val="20"/>
              </w:rPr>
              <w:t xml:space="preserve">Analysis Period:</w:t>
            </w:r>
          </w:p>
        </w:tc>
        <w:tc>
          <w:tcPr>
            <w:tcW w:type="dxa" w:w="2880"/>
            <w:tcBorders>
              <w:top w:val="none" w:color="FFFFFF" w:sz="0"/>
              <w:left w:val="none" w:color="FFFFFF" w:sz="0"/>
              <w:bottom w:val="none" w:color="FFFFFF" w:sz="0"/>
              <w:right w:val="none" w:color="FFFFFF" w:sz="0"/>
            </w:tcBorders>
            <w:tcMar>
              <w:top w:type="dxa" w:w="80"/>
              <w:left w:type="dxa" w:w="100"/>
              <w:bottom w:type="dxa" w:w="80"/>
              <w:right w:type="dxa" w:w="200"/>
            </w:tcMar>
          </w:tcPr>
          <w:p>
            <w:r>
              <w:rPr>
                <w:rFonts w:ascii="Arial" w:cs="Arial" w:eastAsia="Arial" w:hAnsi="Arial"/>
                <w:color w:val="2D3748"/>
                <w:sz w:val="20"/>
                <w:szCs w:val="20"/>
              </w:rPr>
              <w:t xml:space="preserve">FY 2024</w:t>
            </w:r>
          </w:p>
        </w:tc>
      </w:tr>
      <w:tr>
        <w:tc>
          <w:tcPr>
            <w:tcW w:type="dxa" w:w="2880"/>
            <w:tcBorders>
              <w:top w:val="none" w:color="FFFFFF" w:sz="0"/>
              <w:left w:val="none" w:color="FFFFFF" w:sz="0"/>
              <w:bottom w:val="none" w:color="FFFFFF" w:sz="0"/>
              <w:right w:val="none" w:color="FFFFFF" w:sz="0"/>
            </w:tcBorders>
            <w:tcMar>
              <w:top w:type="dxa" w:w="80"/>
              <w:left w:type="dxa" w:w="200"/>
              <w:bottom w:type="dxa" w:w="80"/>
              <w:right w:type="dxa" w:w="100"/>
            </w:tcMar>
          </w:tcPr>
          <w:p>
            <w:r>
              <w:rPr>
                <w:rFonts w:ascii="Arial" w:cs="Arial" w:eastAsia="Arial" w:hAnsi="Arial"/>
                <w:b/>
                <w:bCs/>
                <w:color w:val="2D3748"/>
                <w:sz w:val="20"/>
                <w:szCs w:val="20"/>
              </w:rPr>
              <w:t xml:space="preserve">Classification:</w:t>
            </w:r>
          </w:p>
        </w:tc>
        <w:tc>
          <w:tcPr>
            <w:tcW w:type="dxa" w:w="2880"/>
            <w:tcBorders>
              <w:top w:val="none" w:color="FFFFFF" w:sz="0"/>
              <w:left w:val="none" w:color="FFFFFF" w:sz="0"/>
              <w:bottom w:val="none" w:color="FFFFFF" w:sz="0"/>
              <w:right w:val="none" w:color="FFFFFF" w:sz="0"/>
            </w:tcBorders>
            <w:tcMar>
              <w:top w:type="dxa" w:w="80"/>
              <w:left w:type="dxa" w:w="100"/>
              <w:bottom w:type="dxa" w:w="80"/>
              <w:right w:type="dxa" w:w="200"/>
            </w:tcMar>
          </w:tcPr>
          <w:p>
            <w:r>
              <w:rPr>
                <w:rFonts w:ascii="Arial" w:cs="Arial" w:eastAsia="Arial" w:hAnsi="Arial"/>
                <w:b/>
                <w:bCs/>
                <w:color w:val="E8570A"/>
                <w:sz w:val="20"/>
                <w:szCs w:val="20"/>
              </w:rPr>
              <w:t xml:space="preserve">Confidential</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E8570A" w:sz="8" w:space="6"/>
        </w:pBdr>
        <w:spacing w:after="200" w:before="400"/>
      </w:pPr>
      <w:r>
        <w:rPr>
          <w:rFonts w:ascii="Arial" w:cs="Arial" w:eastAsia="Arial" w:hAnsi="Arial"/>
          <w:b/>
          <w:bCs/>
          <w:color w:val="1B3A6B"/>
          <w:sz w:val="32"/>
          <w:szCs w:val="32"/>
        </w:rPr>
        <w:t xml:space="preserve">Abstract</w:t>
      </w:r>
    </w:p>
    <w:p>
      <w:pPr>
        <w:spacing w:after="100" w:before="80"/>
        <w:jc w:val="both"/>
      </w:pPr>
      <w:r>
        <w:rPr>
          <w:rFonts w:ascii="Arial" w:cs="Arial" w:eastAsia="Arial" w:hAnsi="Arial"/>
          <w:b w:val="false"/>
          <w:bCs w:val="false"/>
          <w:i w:val="false"/>
          <w:iCs w:val="false"/>
          <w:color w:val="2D3748"/>
          <w:sz w:val="22"/>
          <w:szCs w:val="22"/>
        </w:rPr>
        <w:t xml:space="preserve">This research paper presents a comprehensive Exploratory Data Analysis (EDA) of employee engagement, burnout risk, and attrition patterns across Palo Alto Networks' workforce of 1,470 employees. Unlike conventional HR analytics that retrospectively examine why employees leave, this study adopts a preventive lens — identifying leading indicators of disengagement before the resignation decision is made.</w:t>
      </w:r>
    </w:p>
    <w:p>
      <w:pPr>
        <w:spacing w:after="60" w:before="60"/>
      </w:pPr>
      <w:r>
        <w:t xml:space="preserve"/>
      </w:r>
    </w:p>
    <w:p>
      <w:pPr>
        <w:spacing w:after="100" w:before="80"/>
        <w:jc w:val="both"/>
      </w:pPr>
      <w:r>
        <w:rPr>
          <w:rFonts w:ascii="Arial" w:cs="Arial" w:eastAsia="Arial" w:hAnsi="Arial"/>
          <w:b w:val="false"/>
          <w:bCs w:val="false"/>
          <w:i w:val="false"/>
          <w:iCs w:val="false"/>
          <w:color w:val="2D3748"/>
          <w:sz w:val="22"/>
          <w:szCs w:val="22"/>
        </w:rPr>
        <w:t xml:space="preserve">Key findings reveal that overall attrition stands at 16.1%, with overtime workers exhibiting nearly 3× the attrition rate of their counterparts (30.5% vs. 10.4%). Engagement inversely correlates with attrition: employees in the Low Engagement tier leave at a rate of 34.1%, compared to 10.3% for Highly Engaged staff. With 126 employees classified as high-risk and 176 in the lowest engagement tier, the organization faces a measurable and addressable talent drain. This paper presents segmented analysis across departments, career stages, workload stress, and compensation dimensions — followed by data-driven, human-centered recommendations that shift HR strategy from reactive to preventive.</w:t>
      </w:r>
    </w:p>
    <w:p>
      <w:pPr>
        <w:spacing w:after="60" w:before="60"/>
      </w:pPr>
      <w:r>
        <w:t xml:space="preserve"/>
      </w:r>
    </w:p>
    <w:p>
      <w:pPr>
        <w:pStyle w:val="Heading1"/>
        <w:pBdr>
          <w:bottom w:val="single" w:color="E8570A" w:sz="8" w:space="6"/>
        </w:pBdr>
        <w:spacing w:after="200" w:before="400"/>
      </w:pPr>
      <w:r>
        <w:rPr>
          <w:rFonts w:ascii="Arial" w:cs="Arial" w:eastAsia="Arial" w:hAnsi="Arial"/>
          <w:b/>
          <w:bCs/>
          <w:color w:val="1B3A6B"/>
          <w:sz w:val="32"/>
          <w:szCs w:val="32"/>
        </w:rPr>
        <w:t xml:space="preserve">1. Key Performance Indicators at a Glance</w:t>
      </w:r>
    </w:p>
    <w:p>
      <w:pPr>
        <w:spacing w:after="100" w:before="80"/>
        <w:jc w:val="both"/>
      </w:pPr>
      <w:r>
        <w:rPr>
          <w:rFonts w:ascii="Arial" w:cs="Arial" w:eastAsia="Arial" w:hAnsi="Arial"/>
          <w:b w:val="false"/>
          <w:bCs w:val="false"/>
          <w:i w:val="false"/>
          <w:iCs w:val="false"/>
          <w:color w:val="2D3748"/>
          <w:sz w:val="22"/>
          <w:szCs w:val="22"/>
        </w:rPr>
        <w:t xml:space="preserve">The following metrics summarize the current state of workforce health at Palo Alto Networks: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Metric</w:t>
            </w:r>
          </w:p>
        </w:tc>
        <w:tc>
          <w:tcPr>
            <w:tcW w:type="dxa" w:w="1500"/>
            <w:tcBorders>
              <w:top w:val="single" w:color="D0D7E3" w:sz="1"/>
              <w:left w:val="single" w:color="D0D7E3" w:sz="1"/>
              <w:bottom w:val="single" w:color="D0D7E3" w:sz="1"/>
              <w:right w:val="single" w:color="D0D7E3" w:sz="1"/>
            </w:tcBorders>
            <w:shd w:fill="1B3A6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Value</w:t>
            </w:r>
          </w:p>
        </w:tc>
        <w:tc>
          <w:tcPr>
            <w:tcW w:type="dxa" w:w="56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Strategic Implication</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Overall Attrition Rate</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16.1%</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237 of 1,470 employees left — above industry benchmark of 13%</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Overtime Attrition Rate</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30.5%</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Employees working overtime leave at 3× the rate of non-OT peers</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Low Engagement Attrition</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34.1%</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Lowest engagement tier drives highest exit rate — primary risk signal</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High Engagement Attrition</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10.3%</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High engagement is the single strongest retention predictor</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High-Risk Employees</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126</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Identified via composite burnout &amp; engagement scoring</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Avg. Income (Leavers)</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$4,787</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Leavers earn 30% less on average than retained employees ($6,833)</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Single Employee Attrition</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25.5%</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2.5× higher than divorced employees; marital status is a risk factor</w:t>
            </w:r>
          </w:p>
        </w:tc>
      </w:tr>
      <w:tr>
        <w:tc>
          <w:tcPr>
            <w:tcW w:type="dxa" w:w="2200"/>
            <w:tcBorders>
              <w:top w:val="single" w:color="D0D7E3" w:sz="1"/>
              <w:left w:val="single" w:color="D0D7E3" w:sz="1"/>
              <w:bottom w:val="single" w:color="D0D7E3" w:sz="1"/>
              <w:right w:val="single" w:color="D0D7E3" w:sz="1"/>
            </w:tcBorders>
            <w:shd w:fill="D6E4F7" w:val="clear"/>
            <w:tcMar>
              <w:top w:type="dxa" w:w="80"/>
              <w:left w:type="dxa" w:w="160"/>
              <w:bottom w:type="dxa" w:w="80"/>
              <w:right w:type="dxa" w:w="100"/>
            </w:tcMar>
          </w:tcPr>
          <w:p>
            <w:r>
              <w:rPr>
                <w:rFonts w:ascii="Arial" w:cs="Arial" w:eastAsia="Arial" w:hAnsi="Arial"/>
                <w:b/>
                <w:bCs/>
                <w:color w:val="1B3A6B"/>
                <w:sz w:val="20"/>
                <w:szCs w:val="20"/>
              </w:rPr>
              <w:t xml:space="preserve">No Stock Option Attrition</w:t>
            </w:r>
          </w:p>
        </w:tc>
        <w:tc>
          <w:tcPr>
            <w:tcW w:type="dxa" w:w="1500"/>
            <w:tcBorders>
              <w:top w:val="single" w:color="D0D7E3" w:sz="1"/>
              <w:left w:val="single" w:color="D0D7E3" w:sz="1"/>
              <w:bottom w:val="single" w:color="D0D7E3" w:sz="1"/>
              <w:right w:val="single" w:color="D0D7E3" w:sz="1"/>
            </w:tcBorders>
            <w:shd w:fill="E8570A"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24.4%</w:t>
            </w:r>
          </w:p>
        </w:tc>
        <w:tc>
          <w:tcPr>
            <w:tcW w:type="dxa" w:w="5660"/>
            <w:tcBorders>
              <w:top w:val="single" w:color="D0D7E3" w:sz="1"/>
              <w:left w:val="single" w:color="D0D7E3" w:sz="1"/>
              <w:bottom w:val="single" w:color="D0D7E3" w:sz="1"/>
              <w:right w:val="single" w:color="D0D7E3" w:sz="1"/>
            </w:tcBorders>
            <w:tcMar>
              <w:top w:type="dxa" w:w="80"/>
              <w:left w:type="dxa" w:w="140"/>
              <w:bottom w:type="dxa" w:w="80"/>
              <w:right w:type="dxa" w:w="100"/>
            </w:tcMar>
          </w:tcPr>
          <w:p>
            <w:r>
              <w:rPr>
                <w:rFonts w:ascii="Arial" w:cs="Arial" w:eastAsia="Arial" w:hAnsi="Arial"/>
                <w:color w:val="2D3748"/>
                <w:sz w:val="20"/>
                <w:szCs w:val="20"/>
              </w:rPr>
              <w:t xml:space="preserve">Employees without equity stake show the highest separation rates</w:t>
            </w:r>
          </w:p>
        </w:tc>
      </w:tr>
    </w:tbl>
    <w:p>
      <w:pPr>
        <w:spacing w:after="60" w:before="60"/>
      </w:pPr>
      <w:r>
        <w:t xml:space="preserve"/>
      </w:r>
    </w:p>
    <w:p>
      <w:pPr>
        <w:spacing w:after="60" w:before="60"/>
      </w:pPr>
      <w:r>
        <w:t xml:space="preserve"/>
      </w:r>
    </w:p>
    <w:p>
      <w:pPr>
        <w:pStyle w:val="Heading1"/>
        <w:pBdr>
          <w:bottom w:val="single" w:color="E8570A" w:sz="8" w:space="6"/>
        </w:pBdr>
        <w:spacing w:after="200" w:before="400"/>
      </w:pPr>
      <w:r>
        <w:rPr>
          <w:rFonts w:ascii="Arial" w:cs="Arial" w:eastAsia="Arial" w:hAnsi="Arial"/>
          <w:b/>
          <w:bCs/>
          <w:color w:val="1B3A6B"/>
          <w:sz w:val="32"/>
          <w:szCs w:val="32"/>
        </w:rPr>
        <w:t xml:space="preserve">2. Exploratory Data Analysis</w:t>
      </w:r>
    </w:p>
    <w:p>
      <w:pPr>
        <w:pStyle w:val="Heading2"/>
        <w:spacing w:after="140" w:before="280"/>
      </w:pPr>
      <w:r>
        <w:rPr>
          <w:rFonts w:ascii="Arial" w:cs="Arial" w:eastAsia="Arial" w:hAnsi="Arial"/>
          <w:b/>
          <w:bCs/>
          <w:color w:val="4472C4"/>
          <w:sz w:val="26"/>
          <w:szCs w:val="26"/>
        </w:rPr>
        <w:t xml:space="preserve">2.1 Dataset Overview</w:t>
      </w:r>
    </w:p>
    <w:p>
      <w:pPr>
        <w:spacing w:after="100" w:before="80"/>
        <w:jc w:val="both"/>
      </w:pPr>
      <w:r>
        <w:rPr>
          <w:rFonts w:ascii="Arial" w:cs="Arial" w:eastAsia="Arial" w:hAnsi="Arial"/>
          <w:b w:val="false"/>
          <w:bCs w:val="false"/>
          <w:i w:val="false"/>
          <w:iCs w:val="false"/>
          <w:color w:val="2D3748"/>
          <w:sz w:val="22"/>
          <w:szCs w:val="22"/>
        </w:rPr>
        <w:t xml:space="preserve">The primary dataset encompasses 1,470 employees across three core departments — Research &amp; Development (65.4%), Sales (30.3%), and Human Resources (4.3%). Variables include demographic attributes, compensation metrics, job characteristics, work conditions, performance ratings, and a composite engagement index derived from normalized satisfaction scores across environment, job involvement, job satisfaction, relationship satisfaction, and work-life balance dimensions.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800"/>
        <w:gridCol w:w="1700"/>
        <w:gridCol w:w="1760"/>
      </w:tblGrid>
      <w:tr>
        <w:trPr>
          <w:tblHeader/>
        </w:trPr>
        <w:tc>
          <w:tcPr>
            <w:tcW w:type="dxa" w:w="25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Department</w:t>
            </w:r>
          </w:p>
        </w:tc>
        <w:tc>
          <w:tcPr>
            <w:tcW w:type="dxa" w:w="16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Headcount</w:t>
            </w:r>
          </w:p>
        </w:tc>
        <w:tc>
          <w:tcPr>
            <w:tcW w:type="dxa" w:w="1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Count</w:t>
            </w:r>
          </w:p>
        </w:tc>
        <w:tc>
          <w:tcPr>
            <w:tcW w:type="dxa" w:w="17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Rate</w:t>
            </w:r>
          </w:p>
        </w:tc>
        <w:tc>
          <w:tcPr>
            <w:tcW w:type="dxa" w:w="17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Avg. Engagement</w:t>
            </w:r>
          </w:p>
        </w:tc>
      </w:tr>
      <w:tr>
        <w:tc>
          <w:tcPr>
            <w:tcW w:type="dxa" w:w="25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Research &amp; Development</w:t>
            </w:r>
          </w:p>
        </w:tc>
        <w:tc>
          <w:tcPr>
            <w:tcW w:type="dxa" w:w="16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961</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133</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13.8%</w:t>
            </w:r>
          </w:p>
        </w:tc>
        <w:tc>
          <w:tcPr>
            <w:tcW w:type="dxa" w:w="17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0.577</w:t>
            </w:r>
          </w:p>
        </w:tc>
      </w:tr>
      <w:tr>
        <w:tc>
          <w:tcPr>
            <w:tcW w:type="dxa" w:w="25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Sales</w:t>
            </w:r>
          </w:p>
        </w:tc>
        <w:tc>
          <w:tcPr>
            <w:tcW w:type="dxa" w:w="16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446</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92</w:t>
            </w:r>
          </w:p>
        </w:tc>
        <w:tc>
          <w:tcPr>
            <w:tcW w:type="dxa" w:w="17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20.6%</w:t>
            </w:r>
          </w:p>
        </w:tc>
        <w:tc>
          <w:tcPr>
            <w:tcW w:type="dxa" w:w="17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0.569</w:t>
            </w:r>
          </w:p>
        </w:tc>
      </w:tr>
      <w:tr>
        <w:tc>
          <w:tcPr>
            <w:tcW w:type="dxa" w:w="25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Human Resources</w:t>
            </w:r>
          </w:p>
        </w:tc>
        <w:tc>
          <w:tcPr>
            <w:tcW w:type="dxa" w:w="16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63</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12</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19.0%</w:t>
            </w:r>
          </w:p>
        </w:tc>
        <w:tc>
          <w:tcPr>
            <w:tcW w:type="dxa" w:w="17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0.577</w:t>
            </w:r>
          </w:p>
        </w:tc>
      </w:tr>
      <w:tr>
        <w:tc>
          <w:tcPr>
            <w:tcW w:type="dxa" w:w="25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Organization Total</w:t>
            </w:r>
          </w:p>
        </w:tc>
        <w:tc>
          <w:tcPr>
            <w:tcW w:type="dxa" w:w="16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1,470</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237</w:t>
            </w:r>
          </w:p>
        </w:tc>
        <w:tc>
          <w:tcPr>
            <w:tcW w:type="dxa" w:w="17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16.1%</w:t>
            </w:r>
          </w:p>
        </w:tc>
        <w:tc>
          <w:tcPr>
            <w:tcW w:type="dxa" w:w="17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0.574</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2.2 Engagement Index Distribution</w:t>
      </w:r>
    </w:p>
    <w:p>
      <w:pPr>
        <w:spacing w:after="100" w:before="80"/>
        <w:jc w:val="both"/>
      </w:pPr>
      <w:r>
        <w:rPr>
          <w:rFonts w:ascii="Arial" w:cs="Arial" w:eastAsia="Arial" w:hAnsi="Arial"/>
          <w:b w:val="false"/>
          <w:bCs w:val="false"/>
          <w:i w:val="false"/>
          <w:iCs w:val="false"/>
          <w:color w:val="2D3748"/>
          <w:sz w:val="22"/>
          <w:szCs w:val="22"/>
        </w:rPr>
        <w:t xml:space="preserve">The Engagement Index is a composite score (0–1 scale) aggregating five normalized satisfaction dimensions: Environment Satisfaction, Job Involvement, Job Satisfaction, Relationship Satisfaction, and Work-Life Balance. The organization-wide mean stands at 0.574, reflecting moderate engagement across the board, with meaningful variation by engagement tier: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2360"/>
      </w:tblGrid>
      <w:tr>
        <w:trPr>
          <w:tblHeader/>
        </w:trPr>
        <w:tc>
          <w:tcPr>
            <w:tcW w:type="dxa" w:w="19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Engagement Level</w:t>
            </w:r>
          </w:p>
        </w:tc>
        <w:tc>
          <w:tcPr>
            <w:tcW w:type="dxa" w:w="17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Employee Count</w:t>
            </w:r>
          </w:p>
        </w:tc>
        <w:tc>
          <w:tcPr>
            <w:tcW w:type="dxa" w:w="17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 of Workforce</w:t>
            </w:r>
          </w:p>
        </w:tc>
        <w:tc>
          <w:tcPr>
            <w:tcW w:type="dxa" w:w="17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Rate</w:t>
            </w:r>
          </w:p>
        </w:tc>
        <w:tc>
          <w:tcPr>
            <w:tcW w:type="dxa" w:w="23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Interpretation</w:t>
            </w:r>
          </w:p>
        </w:tc>
      </w:tr>
      <w:tr>
        <w:tc>
          <w:tcPr>
            <w:tcW w:type="dxa" w:w="19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High (&gt;0.67)</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322</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21.9%</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10.3%</w:t>
            </w:r>
          </w:p>
        </w:tc>
        <w:tc>
          <w:tcPr>
            <w:tcW w:type="dxa" w:w="23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Anchor segment — highest retention</w:t>
            </w:r>
          </w:p>
        </w:tc>
      </w:tr>
      <w:tr>
        <w:tc>
          <w:tcPr>
            <w:tcW w:type="dxa" w:w="19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Medium (0.42–0.67)</w:t>
            </w:r>
          </w:p>
        </w:tc>
        <w:tc>
          <w:tcPr>
            <w:tcW w:type="dxa" w:w="17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972</w:t>
            </w:r>
          </w:p>
        </w:tc>
        <w:tc>
          <w:tcPr>
            <w:tcW w:type="dxa" w:w="17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66.1%</w:t>
            </w:r>
          </w:p>
        </w:tc>
        <w:tc>
          <w:tcPr>
            <w:tcW w:type="dxa" w:w="17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14.8%</w:t>
            </w:r>
          </w:p>
        </w:tc>
        <w:tc>
          <w:tcPr>
            <w:tcW w:type="dxa" w:w="2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Core workforce — moderate risk</w:t>
            </w:r>
          </w:p>
        </w:tc>
      </w:tr>
      <w:tr>
        <w:tc>
          <w:tcPr>
            <w:tcW w:type="dxa" w:w="19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Low (&lt;0.42)</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176</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12.0%</w:t>
            </w:r>
          </w:p>
        </w:tc>
        <w:tc>
          <w:tcPr>
            <w:tcW w:type="dxa" w:w="17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34.1%</w:t>
            </w:r>
          </w:p>
        </w:tc>
        <w:tc>
          <w:tcPr>
            <w:tcW w:type="dxa" w:w="23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Critical risk zone — urgent intervention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Key Insight: The Low Engagement tier — just 12% of the workforce — drives disproportionate attrition at 34.1%. Reducing this cohort by even 50% through targeted intervention could save an estimated 30 departures annually.</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2.3 Engagement vs. Attrition: The Core Relationship</w:t>
      </w:r>
    </w:p>
    <w:p>
      <w:pPr>
        <w:spacing w:after="100" w:before="80"/>
        <w:jc w:val="both"/>
      </w:pPr>
      <w:r>
        <w:rPr>
          <w:rFonts w:ascii="Arial" w:cs="Arial" w:eastAsia="Arial" w:hAnsi="Arial"/>
          <w:b w:val="false"/>
          <w:bCs w:val="false"/>
          <w:i w:val="false"/>
          <w:iCs w:val="false"/>
          <w:color w:val="2D3748"/>
          <w:sz w:val="22"/>
          <w:szCs w:val="22"/>
        </w:rPr>
        <w:t xml:space="preserve">The engagement-attrition correlation is the most statistically significant finding in this dataset. Employees who ultimately left exhibited an average engagement index of 0.504, a 14.2% deficit compared to retained employees at 0.588. This gap is observable well before the resignation event — making engagement a reliable leading indicator.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960"/>
        <w:gridCol w:w="2000"/>
      </w:tblGrid>
      <w:tr>
        <w:trPr>
          <w:tblHeader/>
        </w:trPr>
        <w:tc>
          <w:tcPr>
            <w:tcW w:type="dxa" w:w="2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Employee Group</w:t>
            </w:r>
          </w:p>
        </w:tc>
        <w:tc>
          <w:tcPr>
            <w:tcW w:type="dxa" w:w="26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Avg. Engagement Index</w:t>
            </w:r>
          </w:p>
        </w:tc>
        <w:tc>
          <w:tcPr>
            <w:tcW w:type="dxa" w:w="19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Gap vs. Retained</w:t>
            </w:r>
          </w:p>
        </w:tc>
        <w:tc>
          <w:tcPr>
            <w:tcW w:type="dxa" w:w="20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Primary Signal</w:t>
            </w:r>
          </w:p>
        </w:tc>
      </w:tr>
      <w:tr>
        <w:tc>
          <w:tcPr>
            <w:tcW w:type="dxa" w:w="2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Retained Employees</w:t>
            </w:r>
          </w:p>
        </w:tc>
        <w:tc>
          <w:tcPr>
            <w:tcW w:type="dxa" w:w="26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0.588</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w:t>
            </w:r>
          </w:p>
        </w:tc>
        <w:tc>
          <w:tcPr>
            <w:tcW w:type="dxa" w:w="20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Baseline</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Employees Who Left</w:t>
            </w:r>
          </w:p>
        </w:tc>
        <w:tc>
          <w:tcPr>
            <w:tcW w:type="dxa" w:w="26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0.504</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-14.2%</w:t>
            </w:r>
          </w:p>
        </w:tc>
        <w:tc>
          <w:tcPr>
            <w:tcW w:type="dxa" w:w="2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Disengagement precedes exit</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2.4 Burnout &amp; Workload Stress Analysis</w:t>
      </w:r>
    </w:p>
    <w:p>
      <w:pPr>
        <w:spacing w:after="100" w:before="80"/>
        <w:jc w:val="both"/>
      </w:pPr>
      <w:r>
        <w:rPr>
          <w:rFonts w:ascii="Arial" w:cs="Arial" w:eastAsia="Arial" w:hAnsi="Arial"/>
          <w:b w:val="false"/>
          <w:bCs w:val="false"/>
          <w:i w:val="false"/>
          <w:iCs w:val="false"/>
          <w:color w:val="2D3748"/>
          <w:sz w:val="22"/>
          <w:szCs w:val="22"/>
        </w:rPr>
        <w:t xml:space="preserve">Overtime status emerges as the dominant burnout risk factor. Counter-intuitively, employees working overtime report marginally higher engagement index scores (0.595 vs. 0.566 for non-OT workers) — suggesting that highly engaged employees self-select into overtime. However, the attrition data tells a critical second chapter: OT workers leave at nearly triple the rate, indicating that sustained overwork ultimately depletes even the most committed employees.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800"/>
        <w:gridCol w:w="1800"/>
        <w:gridCol w:w="2200"/>
      </w:tblGrid>
      <w:tr>
        <w:trPr>
          <w:tblHeader/>
        </w:trPr>
        <w:tc>
          <w:tcPr>
            <w:tcW w:type="dxa" w:w="20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OverTime Status</w:t>
            </w:r>
          </w:p>
        </w:tc>
        <w:tc>
          <w:tcPr>
            <w:tcW w:type="dxa" w:w="15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Headcount</w:t>
            </w:r>
          </w:p>
        </w:tc>
        <w:tc>
          <w:tcPr>
            <w:tcW w:type="dxa" w:w="1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Avg. Engagement</w:t>
            </w:r>
          </w:p>
        </w:tc>
        <w:tc>
          <w:tcPr>
            <w:tcW w:type="dxa" w:w="1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Rate</w:t>
            </w:r>
          </w:p>
        </w:tc>
        <w:tc>
          <w:tcPr>
            <w:tcW w:type="dxa" w:w="22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Risk Classification</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No Overtime</w:t>
            </w:r>
          </w:p>
        </w:tc>
        <w:tc>
          <w:tcPr>
            <w:tcW w:type="dxa" w:w="15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1,054</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0.566</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10.4%</w:t>
            </w:r>
          </w:p>
        </w:tc>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Standard</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Overtime</w:t>
            </w:r>
          </w:p>
        </w:tc>
        <w:tc>
          <w:tcPr>
            <w:tcW w:type="dxa" w:w="1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416</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0.595</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30.5%</w:t>
            </w:r>
          </w:p>
        </w:tc>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Critical Burnout Risk</w:t>
            </w:r>
          </w:p>
        </w:tc>
      </w:tr>
    </w:tbl>
    <w:p>
      <w:pPr>
        <w:spacing w:after="60" w:before="60"/>
      </w:pPr>
      <w:r>
        <w:t xml:space="preserve"/>
      </w:r>
    </w:p>
    <w:p>
      <w:pPr>
        <w:spacing w:after="100" w:before="80"/>
        <w:jc w:val="both"/>
      </w:pPr>
      <w:r>
        <w:rPr>
          <w:rFonts w:ascii="Arial" w:cs="Arial" w:eastAsia="Arial" w:hAnsi="Arial"/>
          <w:b w:val="false"/>
          <w:bCs w:val="false"/>
          <w:i w:val="false"/>
          <w:iCs w:val="false"/>
          <w:color w:val="2D3748"/>
          <w:sz w:val="22"/>
          <w:szCs w:val="22"/>
        </w:rPr>
        <w:t xml:space="preserve">Among overtime workers, 30.3% are additionally flagged as risky employees (high burnout composite score), compared to 0% of non-overtime workers. This creates a concentrated risk cluster that demands immediate management attention.</w:t>
      </w:r>
    </w:p>
    <w:p>
      <w:pPr>
        <w:spacing w:after="60" w:before="60"/>
      </w:pPr>
      <w:r>
        <w:t xml:space="preserve"/>
      </w:r>
    </w:p>
    <w:p>
      <w:pPr>
        <w:pStyle w:val="Heading3"/>
        <w:spacing w:after="100" w:before="200"/>
      </w:pPr>
      <w:r>
        <w:rPr>
          <w:rFonts w:ascii="Arial" w:cs="Arial" w:eastAsia="Arial" w:hAnsi="Arial"/>
          <w:b/>
          <w:bCs/>
          <w:color w:val="2D3748"/>
          <w:sz w:val="22"/>
          <w:szCs w:val="22"/>
        </w:rPr>
        <w:t xml:space="preserve">Business Travel &amp; Commute Stress</w:t>
      </w:r>
    </w:p>
    <w:p>
      <w:pPr>
        <w:spacing w:after="100" w:before="80"/>
        <w:jc w:val="both"/>
      </w:pPr>
      <w:r>
        <w:rPr>
          <w:rFonts w:ascii="Arial" w:cs="Arial" w:eastAsia="Arial" w:hAnsi="Arial"/>
          <w:b w:val="false"/>
          <w:bCs w:val="false"/>
          <w:i w:val="false"/>
          <w:iCs w:val="false"/>
          <w:color w:val="2D3748"/>
          <w:sz w:val="22"/>
          <w:szCs w:val="22"/>
        </w:rPr>
        <w:t xml:space="preserve">Business travel frequency demonstrates a positive — if modest — relationship with engagement. Frequent travelers (0.583) engage slightly more than rare travelers (0.572) and non-travelers (0.578), potentially reflecting greater organizational visibility and involvement. Commute distance follows a similar pattern, with employees commuting very far from home showing higher engagement (0.578) than those living near the office (0.574). These findings suggest that physical presence and travel, within tolerable limits, may correlate with greater organizational connection.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2200"/>
        <w:gridCol w:w="3200"/>
      </w:tblGrid>
      <w:tr>
        <w:trPr>
          <w:tblHeader/>
        </w:trPr>
        <w:tc>
          <w:tcPr>
            <w:tcW w:type="dxa" w:w="20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Factor</w:t>
            </w:r>
          </w:p>
        </w:tc>
        <w:tc>
          <w:tcPr>
            <w:tcW w:type="dxa" w:w="19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Category</w:t>
            </w:r>
          </w:p>
        </w:tc>
        <w:tc>
          <w:tcPr>
            <w:tcW w:type="dxa" w:w="22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Engagement Index</w:t>
            </w:r>
          </w:p>
        </w:tc>
        <w:tc>
          <w:tcPr>
            <w:tcW w:type="dxa" w:w="32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Note</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Business Travel</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Frequent</w:t>
            </w:r>
          </w:p>
        </w:tc>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0.583</w:t>
            </w:r>
          </w:p>
        </w:tc>
        <w:tc>
          <w:tcPr>
            <w:tcW w:type="dxa" w:w="3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Highest engagement</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Business Travel</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Non-Travel</w:t>
            </w:r>
          </w:p>
        </w:tc>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0.578</w:t>
            </w:r>
          </w:p>
        </w:tc>
        <w:tc>
          <w:tcPr>
            <w:tcW w:type="dxa" w:w="3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Mid-range</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Business Travel</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Rare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0.572</w:t>
            </w:r>
          </w:p>
        </w:tc>
        <w:tc>
          <w:tcPr>
            <w:tcW w:type="dxa" w:w="3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Lowest engagement</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Commute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Very Far</w:t>
            </w:r>
          </w:p>
        </w:tc>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0.578</w:t>
            </w:r>
          </w:p>
        </w:tc>
        <w:tc>
          <w:tcPr>
            <w:tcW w:type="dxa" w:w="3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Highest engagement</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Commute</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Near</w:t>
            </w:r>
          </w:p>
        </w:tc>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0.574</w:t>
            </w:r>
          </w:p>
        </w:tc>
        <w:tc>
          <w:tcPr>
            <w:tcW w:type="dxa" w:w="3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Baseline</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Commute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Far</w:t>
            </w:r>
          </w:p>
        </w:tc>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0.573</w:t>
            </w:r>
          </w:p>
        </w:tc>
        <w:tc>
          <w:tcPr>
            <w:tcW w:type="dxa" w:w="3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Marginal difference</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2.5 Career Stage &amp; Job Level Engagement</w:t>
      </w:r>
    </w:p>
    <w:p>
      <w:pPr>
        <w:spacing w:after="100" w:before="80"/>
        <w:jc w:val="both"/>
      </w:pPr>
      <w:r>
        <w:rPr>
          <w:rFonts w:ascii="Arial" w:cs="Arial" w:eastAsia="Arial" w:hAnsi="Arial"/>
          <w:b w:val="false"/>
          <w:bCs w:val="false"/>
          <w:i w:val="false"/>
          <w:iCs w:val="false"/>
          <w:color w:val="2D3748"/>
          <w:sz w:val="22"/>
          <w:szCs w:val="22"/>
        </w:rPr>
        <w:t xml:space="preserve">Engagement demonstrates a non-linear relationship with career progression. Mid-level professionals (Job Level 3–4 range) exhibit the highest engagement index at 0.594, while both junior employees (0.572) and senior executives (0.582) score lower — suggesting that career stage misalignment and advancement plateaus are active disengagement triggers.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Job Level</w:t>
            </w:r>
          </w:p>
        </w:tc>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Engagement Index</w:t>
            </w:r>
          </w:p>
        </w:tc>
        <w:tc>
          <w:tcPr>
            <w:tcW w:type="dxa" w:w="45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Interpretation</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Low (Levels 1–3)</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0.572</w:t>
            </w:r>
          </w:p>
        </w:tc>
        <w:tc>
          <w:tcPr>
            <w:tcW w:type="dxa" w:w="45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Entry-level challenge and adjustment phase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Medium (Levels 3–4)</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0.594</w:t>
            </w:r>
          </w:p>
        </w:tc>
        <w:tc>
          <w:tcPr>
            <w:tcW w:type="dxa" w:w="4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Peak engagement — ownership and growth</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High (Levels 4–5)</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0.582</w:t>
            </w:r>
          </w:p>
        </w:tc>
        <w:tc>
          <w:tcPr>
            <w:tcW w:type="dxa" w:w="45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Plateau risk; may seek external challenge</w:t>
            </w:r>
          </w:p>
        </w:tc>
      </w:tr>
    </w:tbl>
    <w:p>
      <w:pPr>
        <w:spacing w:after="60" w:before="60"/>
      </w:pPr>
      <w:r>
        <w:t xml:space="preserve"/>
      </w:r>
    </w:p>
    <w:p>
      <w:pPr>
        <w:pStyle w:val="Heading3"/>
        <w:spacing w:after="100" w:before="200"/>
      </w:pPr>
      <w:r>
        <w:rPr>
          <w:rFonts w:ascii="Arial" w:cs="Arial" w:eastAsia="Arial" w:hAnsi="Arial"/>
          <w:b/>
          <w:bCs/>
          <w:color w:val="2D3748"/>
          <w:sz w:val="22"/>
          <w:szCs w:val="22"/>
        </w:rPr>
        <w:t xml:space="preserve">Employee Experience Tenure</w:t>
      </w:r>
    </w:p>
    <w:p>
      <w:pPr>
        <w:spacing w:after="100" w:before="80"/>
        <w:jc w:val="both"/>
      </w:pPr>
      <w:r>
        <w:rPr>
          <w:rFonts w:ascii="Arial" w:cs="Arial" w:eastAsia="Arial" w:hAnsi="Arial"/>
          <w:b w:val="false"/>
          <w:bCs w:val="false"/>
          <w:i w:val="false"/>
          <w:iCs w:val="false"/>
          <w:color w:val="2D3748"/>
          <w:sz w:val="22"/>
          <w:szCs w:val="22"/>
        </w:rPr>
        <w:t xml:space="preserve">Company tenure also shapes engagement trajectory. Intermediate-tenured employees (5–20 years experience) achieve the highest engagement (0.579), while beginners (0.570) and senior professionals (0.571) converge at similar lower levels. Years in current role data reveals a concerning pattern: long-tenured role incumbents (15+ years in same role) show the lowest engagement at 0.481, a 17% deficit versus mid-tenure peers — indicating role stagnation as a significant disengagement driver.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Years in Current Role</w:t>
            </w:r>
          </w:p>
        </w:tc>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Engagement Index</w:t>
            </w:r>
          </w:p>
        </w:tc>
        <w:tc>
          <w:tcPr>
            <w:tcW w:type="dxa" w:w="43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Risk Level</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New (0–5 years)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0.573</w:t>
            </w:r>
          </w:p>
        </w:tc>
        <w:tc>
          <w:tcPr>
            <w:tcW w:type="dxa" w:w="43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Low — still exploring and adapting</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Mid-Tenure (5–15 years)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0.579</w:t>
            </w:r>
          </w:p>
        </w:tc>
        <w:tc>
          <w:tcPr>
            <w:tcW w:type="dxa" w:w="4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Healthy — integrated and contributing</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Experienced (15+ years)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0.481</w:t>
            </w:r>
          </w:p>
        </w:tc>
        <w:tc>
          <w:tcPr>
            <w:tcW w:type="dxa" w:w="43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 — stagnation risk, lowest engagement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Critical Finding: Employees in the same role for 15+ years score 17% below mid-tenure peers on engagement — the largest role-based engagement gap identified. Structured career mobility programs are urgently needed for this cohort.</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2.6 Compensation &amp; Equity Analysis</w:t>
      </w:r>
    </w:p>
    <w:p>
      <w:pPr>
        <w:spacing w:after="100" w:before="80"/>
        <w:jc w:val="both"/>
      </w:pPr>
      <w:r>
        <w:rPr>
          <w:rFonts w:ascii="Arial" w:cs="Arial" w:eastAsia="Arial" w:hAnsi="Arial"/>
          <w:b w:val="false"/>
          <w:bCs w:val="false"/>
          <w:i w:val="false"/>
          <w:iCs w:val="false"/>
          <w:color w:val="2D3748"/>
          <w:sz w:val="22"/>
          <w:szCs w:val="22"/>
        </w:rPr>
        <w:t xml:space="preserve">Compensation disparity between retained and departing employees is stark. Employees who left earned an average monthly income of $4,787 — 30.0% below the $6,833 average of retained staff. This gap persists even when controlling for job level, suggesting that within-band compensation management may be creating internal inequity that drives attrition.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Employee Group</w:t>
            </w:r>
          </w:p>
        </w:tc>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Avg. Monthly Income</w:t>
            </w:r>
          </w:p>
        </w:tc>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Delta</w:t>
            </w:r>
          </w:p>
        </w:tc>
        <w:tc>
          <w:tcPr>
            <w:tcW w:type="dxa" w:w="21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Risk</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Retained</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$6,833</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w:t>
            </w:r>
          </w:p>
        </w:tc>
        <w:tc>
          <w:tcPr>
            <w:tcW w:type="dxa" w:w="21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Low</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Departed</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$4,787</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-$2,046 (-30.0%)</w:t>
            </w:r>
          </w:p>
        </w:tc>
        <w:tc>
          <w:tcPr>
            <w:tcW w:type="dxa" w:w="2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Realized</w:t>
            </w:r>
          </w:p>
        </w:tc>
      </w:tr>
    </w:tbl>
    <w:p>
      <w:pPr>
        <w:spacing w:after="60" w:before="60"/>
      </w:pPr>
      <w:r>
        <w:t xml:space="preserve"/>
      </w:r>
    </w:p>
    <w:p>
      <w:pPr>
        <w:pStyle w:val="Heading3"/>
        <w:spacing w:after="100" w:before="200"/>
      </w:pPr>
      <w:r>
        <w:rPr>
          <w:rFonts w:ascii="Arial" w:cs="Arial" w:eastAsia="Arial" w:hAnsi="Arial"/>
          <w:b/>
          <w:bCs/>
          <w:color w:val="2D3748"/>
          <w:sz w:val="22"/>
          <w:szCs w:val="22"/>
        </w:rPr>
        <w:t xml:space="preserve">Stock Option Impact</w:t>
      </w:r>
    </w:p>
    <w:p>
      <w:pPr>
        <w:spacing w:after="100" w:before="80"/>
        <w:jc w:val="both"/>
      </w:pPr>
      <w:r>
        <w:rPr>
          <w:rFonts w:ascii="Arial" w:cs="Arial" w:eastAsia="Arial" w:hAnsi="Arial"/>
          <w:b w:val="false"/>
          <w:bCs w:val="false"/>
          <w:i w:val="false"/>
          <w:iCs w:val="false"/>
          <w:color w:val="2D3748"/>
          <w:sz w:val="22"/>
          <w:szCs w:val="22"/>
        </w:rPr>
        <w:t xml:space="preserve">Equity participation is a powerful retention lever. Employees with no stock options (Level 0) show a 24.4% attrition rate — 2.6× the rate of Level 1 option holders (9.4%). Remarkably, Level 3 option holders, who receive the highest equity grants, also show elevated attrition (17.6%), potentially reflecting a post-vesting cliff phenomenon where employees depart after equity milestones are reached.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Stock Option Level</w:t>
            </w:r>
          </w:p>
        </w:tc>
        <w:tc>
          <w:tcPr>
            <w:tcW w:type="dxa" w:w="1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Rate</w:t>
            </w:r>
          </w:p>
        </w:tc>
        <w:tc>
          <w:tcPr>
            <w:tcW w:type="dxa" w:w="15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Headcount</w:t>
            </w:r>
          </w:p>
        </w:tc>
        <w:tc>
          <w:tcPr>
            <w:tcW w:type="dxa" w:w="3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Insight</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Level 0 (None)</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24.4%</w:t>
            </w:r>
          </w:p>
        </w:tc>
        <w:tc>
          <w:tcPr>
            <w:tcW w:type="dxa" w:w="15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631</w:t>
            </w:r>
          </w:p>
        </w:tc>
        <w:tc>
          <w:tcPr>
            <w:tcW w:type="dxa" w:w="3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Highest risk — no financial retention anchor</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Level 1</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9.4%</w:t>
            </w:r>
          </w:p>
        </w:tc>
        <w:tc>
          <w:tcPr>
            <w:tcW w:type="dxa" w:w="1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437</w:t>
            </w:r>
          </w:p>
        </w:tc>
        <w:tc>
          <w:tcPr>
            <w:tcW w:type="dxa" w:w="3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Strongest retention effect</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Level 2</w:t>
            </w:r>
          </w:p>
        </w:tc>
        <w:tc>
          <w:tcPr>
            <w:tcW w:type="dxa" w:w="1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7.6%</w:t>
            </w:r>
          </w:p>
        </w:tc>
        <w:tc>
          <w:tcPr>
            <w:tcW w:type="dxa" w:w="15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158</w:t>
            </w:r>
          </w:p>
        </w:tc>
        <w:tc>
          <w:tcPr>
            <w:tcW w:type="dxa" w:w="3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Low risk</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Level 3 (Highest)</w:t>
            </w:r>
          </w:p>
        </w:tc>
        <w:tc>
          <w:tcPr>
            <w:tcW w:type="dxa" w:w="1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17.6%</w:t>
            </w:r>
          </w:p>
        </w:tc>
        <w:tc>
          <w:tcPr>
            <w:tcW w:type="dxa" w:w="1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244</w:t>
            </w:r>
          </w:p>
        </w:tc>
        <w:tc>
          <w:tcPr>
            <w:tcW w:type="dxa" w:w="3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Post-vesting cliff risk</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2.7 Demographic &amp; Lifestyle Risk Factors</w:t>
      </w:r>
    </w:p>
    <w:p>
      <w:pPr>
        <w:pStyle w:val="Heading3"/>
        <w:spacing w:after="100" w:before="200"/>
      </w:pPr>
      <w:r>
        <w:rPr>
          <w:rFonts w:ascii="Arial" w:cs="Arial" w:eastAsia="Arial" w:hAnsi="Arial"/>
          <w:b/>
          <w:bCs/>
          <w:color w:val="2D3748"/>
          <w:sz w:val="22"/>
          <w:szCs w:val="22"/>
        </w:rPr>
        <w:t xml:space="preserve">Age Profile</w:t>
      </w:r>
    </w:p>
    <w:p>
      <w:pPr>
        <w:spacing w:after="100" w:before="80"/>
        <w:jc w:val="both"/>
      </w:pPr>
      <w:r>
        <w:rPr>
          <w:rFonts w:ascii="Arial" w:cs="Arial" w:eastAsia="Arial" w:hAnsi="Arial"/>
          <w:b w:val="false"/>
          <w:bCs w:val="false"/>
          <w:i w:val="false"/>
          <w:iCs w:val="false"/>
          <w:color w:val="2D3748"/>
          <w:sz w:val="22"/>
          <w:szCs w:val="22"/>
        </w:rPr>
        <w:t xml:space="preserve">Departing employees are meaningfully younger than retained staff. The average age of leavers is 33.6 years vs. 37.6 for retained employees. The 25–35 age cohort — prime talent years characterized by high career mobility — represents the highest-risk demographic segment. This aligns with broader labor market trends of increased job-switching among Millennial and early Gen-Z professionals.</w:t>
      </w:r>
    </w:p>
    <w:p>
      <w:pPr>
        <w:spacing w:after="60" w:before="60"/>
      </w:pPr>
      <w:r>
        <w:t xml:space="preserve"/>
      </w:r>
    </w:p>
    <w:p>
      <w:pPr>
        <w:pStyle w:val="Heading3"/>
        <w:spacing w:after="100" w:before="200"/>
      </w:pPr>
      <w:r>
        <w:rPr>
          <w:rFonts w:ascii="Arial" w:cs="Arial" w:eastAsia="Arial" w:hAnsi="Arial"/>
          <w:b/>
          <w:bCs/>
          <w:color w:val="2D3748"/>
          <w:sz w:val="22"/>
          <w:szCs w:val="22"/>
        </w:rPr>
        <w:t xml:space="preserve">Marital Status</w:t>
      </w:r>
    </w:p>
    <w:p>
      <w:pPr>
        <w:spacing w:after="100" w:before="80"/>
        <w:jc w:val="both"/>
      </w:pPr>
      <w:r>
        <w:rPr>
          <w:rFonts w:ascii="Arial" w:cs="Arial" w:eastAsia="Arial" w:hAnsi="Arial"/>
          <w:b w:val="false"/>
          <w:bCs w:val="false"/>
          <w:i w:val="false"/>
          <w:iCs w:val="false"/>
          <w:color w:val="2D3748"/>
          <w:sz w:val="22"/>
          <w:szCs w:val="22"/>
        </w:rPr>
        <w:t xml:space="preserve">Single employees exhibit the highest attrition at 25.5% — more than double the rate of divorced employees (10.1%) and significantly above married employees (12.5%). Single employees, facing fewer financial anchors and geographic constraints, demonstrate greater mobility. This suggests that early-career benefits, social community programs, and financial wellness initiatives may provide meaningful retention value for this demographic.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1960"/>
        <w:gridCol w:w="3040"/>
      </w:tblGrid>
      <w:tr>
        <w:trPr>
          <w:tblHeader/>
        </w:trPr>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Marital Status</w:t>
            </w:r>
          </w:p>
        </w:tc>
        <w:tc>
          <w:tcPr>
            <w:tcW w:type="dxa" w:w="19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Attrition Rate</w:t>
            </w:r>
          </w:p>
        </w:tc>
        <w:tc>
          <w:tcPr>
            <w:tcW w:type="dxa" w:w="19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Headcount</w:t>
            </w:r>
          </w:p>
        </w:tc>
        <w:tc>
          <w:tcPr>
            <w:tcW w:type="dxa" w:w="304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Retention Risk</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Single</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25.5%</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470</w:t>
            </w:r>
          </w:p>
        </w:tc>
        <w:tc>
          <w:tcPr>
            <w:tcW w:type="dxa" w:w="304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Married</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12.5%</w:t>
            </w:r>
          </w:p>
        </w:tc>
        <w:tc>
          <w:tcPr>
            <w:tcW w:type="dxa" w:w="19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673</w:t>
            </w:r>
          </w:p>
        </w:tc>
        <w:tc>
          <w:tcPr>
            <w:tcW w:type="dxa" w:w="304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Moderate</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Divorced</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10.1%</w:t>
            </w:r>
          </w:p>
        </w:tc>
        <w:tc>
          <w:tcPr>
            <w:tcW w:type="dxa" w:w="19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327</w:t>
            </w:r>
          </w:p>
        </w:tc>
        <w:tc>
          <w:tcPr>
            <w:tcW w:type="dxa" w:w="304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Low</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2.8 High-Risk Employee Segmentation</w:t>
      </w:r>
    </w:p>
    <w:p>
      <w:pPr>
        <w:spacing w:after="100" w:before="80"/>
        <w:jc w:val="both"/>
      </w:pPr>
      <w:r>
        <w:rPr>
          <w:rFonts w:ascii="Arial" w:cs="Arial" w:eastAsia="Arial" w:hAnsi="Arial"/>
          <w:b w:val="false"/>
          <w:bCs w:val="false"/>
          <w:i w:val="false"/>
          <w:iCs w:val="false"/>
          <w:color w:val="2D3748"/>
          <w:sz w:val="22"/>
          <w:szCs w:val="22"/>
        </w:rPr>
        <w:t xml:space="preserve">The composite burnout and engagement scoring model identified 126 employees as high-risk — defined as having elevated burnout indicators (overtime + low satisfaction dimensions) alongside below-threshold engagement. These employees are distributed across the organization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400"/>
        <w:gridCol w:w="2260"/>
      </w:tblGrid>
      <w:tr>
        <w:trPr>
          <w:tblHeader/>
        </w:trPr>
        <w:tc>
          <w:tcPr>
            <w:tcW w:type="dxa" w:w="28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Segment</w:t>
            </w:r>
          </w:p>
        </w:tc>
        <w:tc>
          <w:tcPr>
            <w:tcW w:type="dxa" w:w="19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High-Risk Count</w:t>
            </w:r>
          </w:p>
        </w:tc>
        <w:tc>
          <w:tcPr>
            <w:tcW w:type="dxa" w:w="240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 of Dept/Role Total</w:t>
            </w:r>
          </w:p>
        </w:tc>
        <w:tc>
          <w:tcPr>
            <w:tcW w:type="dxa" w:w="2260"/>
            <w:tcBorders>
              <w:top w:val="single" w:color="D0D7E3" w:sz="1"/>
              <w:left w:val="single" w:color="D0D7E3" w:sz="1"/>
              <w:bottom w:val="single" w:color="D0D7E3" w:sz="1"/>
              <w:right w:val="single" w:color="D0D7E3" w:sz="1"/>
            </w:tcBorders>
            <w:shd w:fill="1B3A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Priority</w:t>
            </w:r>
          </w:p>
        </w:tc>
      </w:tr>
      <w:tr>
        <w:tc>
          <w:tcPr>
            <w:tcW w:type="dxa" w:w="2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Research &amp; Development Dept</w:t>
            </w:r>
          </w:p>
        </w:tc>
        <w:tc>
          <w:tcPr>
            <w:tcW w:type="dxa" w:w="19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85</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8.8%</w:t>
            </w:r>
          </w:p>
        </w:tc>
        <w:tc>
          <w:tcPr>
            <w:tcW w:type="dxa" w:w="22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Sales Department</w:t>
            </w:r>
          </w:p>
        </w:tc>
        <w:tc>
          <w:tcPr>
            <w:tcW w:type="dxa" w:w="19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39</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8.7%</w:t>
            </w:r>
          </w:p>
        </w:tc>
        <w:tc>
          <w:tcPr>
            <w:tcW w:type="dxa" w:w="22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High</w:t>
            </w:r>
          </w:p>
        </w:tc>
      </w:tr>
      <w:tr>
        <w:tc>
          <w:tcPr>
            <w:tcW w:type="dxa" w:w="2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Research Scientists</w:t>
            </w:r>
          </w:p>
        </w:tc>
        <w:tc>
          <w:tcPr>
            <w:tcW w:type="dxa" w:w="19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32</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10.8%</w:t>
            </w:r>
          </w:p>
        </w:tc>
        <w:tc>
          <w:tcPr>
            <w:tcW w:type="dxa" w:w="22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Critical</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left"/>
            </w:pPr>
            <w:r>
              <w:rPr>
                <w:rFonts w:ascii="Arial" w:cs="Arial" w:eastAsia="Arial" w:hAnsi="Arial"/>
                <w:color w:val="2D3748"/>
                <w:sz w:val="20"/>
                <w:szCs w:val="20"/>
              </w:rPr>
              <w:t xml:space="preserve">Sales Executives</w:t>
            </w:r>
          </w:p>
        </w:tc>
        <w:tc>
          <w:tcPr>
            <w:tcW w:type="dxa" w:w="19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29</w:t>
            </w:r>
          </w:p>
        </w:tc>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9.0%</w:t>
            </w:r>
          </w:p>
        </w:tc>
        <w:tc>
          <w:tcPr>
            <w:tcW w:type="dxa" w:w="22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00"/>
            </w:tcMar>
          </w:tcPr>
          <w:p>
            <w:pPr>
              <w:jc w:val="center"/>
            </w:pPr>
            <w:r>
              <w:rPr>
                <w:rFonts w:ascii="Arial" w:cs="Arial" w:eastAsia="Arial" w:hAnsi="Arial"/>
                <w:color w:val="2D3748"/>
                <w:sz w:val="20"/>
                <w:szCs w:val="20"/>
              </w:rPr>
              <w:t xml:space="preserve">High</w:t>
            </w:r>
          </w:p>
        </w:tc>
      </w:tr>
      <w:tr>
        <w:tc>
          <w:tcPr>
            <w:tcW w:type="dxa" w:w="28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left"/>
            </w:pPr>
            <w:r>
              <w:rPr>
                <w:rFonts w:ascii="Arial" w:cs="Arial" w:eastAsia="Arial" w:hAnsi="Arial"/>
                <w:color w:val="2D3748"/>
                <w:sz w:val="20"/>
                <w:szCs w:val="20"/>
              </w:rPr>
              <w:t xml:space="preserve">Laboratory Technicians</w:t>
            </w:r>
          </w:p>
        </w:tc>
        <w:tc>
          <w:tcPr>
            <w:tcW w:type="dxa" w:w="19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24</w:t>
            </w:r>
          </w:p>
        </w:tc>
        <w:tc>
          <w:tcPr>
            <w:tcW w:type="dxa" w:w="240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9.1%</w:t>
            </w:r>
          </w:p>
        </w:tc>
        <w:tc>
          <w:tcPr>
            <w:tcW w:type="dxa" w:w="2260"/>
            <w:tcBorders>
              <w:top w:val="single" w:color="D0D7E3" w:sz="1"/>
              <w:left w:val="single" w:color="D0D7E3" w:sz="1"/>
              <w:bottom w:val="single" w:color="D0D7E3" w:sz="1"/>
              <w:right w:val="single" w:color="D0D7E3" w:sz="1"/>
            </w:tcBorders>
            <w:shd w:fill="F5F7FA" w:val="clear"/>
            <w:tcMar>
              <w:top w:type="dxa" w:w="80"/>
              <w:left w:type="dxa" w:w="160"/>
              <w:bottom w:type="dxa" w:w="80"/>
              <w:right w:type="dxa" w:w="100"/>
            </w:tcMar>
          </w:tcPr>
          <w:p>
            <w:pPr>
              <w:jc w:val="center"/>
            </w:pPr>
            <w:r>
              <w:rPr>
                <w:rFonts w:ascii="Arial" w:cs="Arial" w:eastAsia="Arial" w:hAnsi="Arial"/>
                <w:color w:val="2D3748"/>
                <w:sz w:val="20"/>
                <w:szCs w:val="20"/>
              </w:rPr>
              <w:t xml:space="preserve">High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Action Required: Research Scientists represent 25.4% of all high-risk employees despite comprising less than 20% of total headcount. This disproportionate concentration warrants a dedicated burnout audit and workload review for this job role.</w:t>
            </w:r>
          </w:p>
        </w:tc>
      </w:tr>
    </w:tbl>
    <w:p>
      <w:pPr>
        <w:spacing w:after="60" w:before="60"/>
      </w:pPr>
      <w:r>
        <w:t xml:space="preserve"/>
      </w:r>
    </w:p>
    <w:p>
      <w:pPr>
        <w:spacing w:after="60" w:before="60"/>
      </w:pPr>
      <w:r>
        <w:t xml:space="preserve"/>
      </w:r>
    </w:p>
    <w:p>
      <w:pPr>
        <w:pStyle w:val="Heading1"/>
        <w:pBdr>
          <w:bottom w:val="single" w:color="E8570A" w:sz="8" w:space="6"/>
        </w:pBdr>
        <w:spacing w:after="200" w:before="400"/>
      </w:pPr>
      <w:r>
        <w:rPr>
          <w:rFonts w:ascii="Arial" w:cs="Arial" w:eastAsia="Arial" w:hAnsi="Arial"/>
          <w:b/>
          <w:bCs/>
          <w:color w:val="1B3A6B"/>
          <w:sz w:val="32"/>
          <w:szCs w:val="32"/>
        </w:rPr>
        <w:t xml:space="preserve">3. Strategic Recommendations</w:t>
      </w:r>
    </w:p>
    <w:p>
      <w:pPr>
        <w:spacing w:after="100" w:before="80"/>
        <w:jc w:val="both"/>
      </w:pPr>
      <w:r>
        <w:rPr>
          <w:rFonts w:ascii="Arial" w:cs="Arial" w:eastAsia="Arial" w:hAnsi="Arial"/>
          <w:b w:val="false"/>
          <w:bCs w:val="false"/>
          <w:i w:val="false"/>
          <w:iCs w:val="false"/>
          <w:color w:val="2D3748"/>
          <w:sz w:val="22"/>
          <w:szCs w:val="22"/>
        </w:rPr>
        <w:t xml:space="preserve">Based on the EDA findings, the following seven intervention streams are recommended. Each is grounded in specific data insights and sequenced by urgency and expected impact.</w:t>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3.1 Overtime &amp; Burnout Intervention Program</w:t>
      </w:r>
    </w:p>
    <w:p>
      <w:pPr>
        <w:spacing w:after="100" w:before="80"/>
        <w:jc w:val="both"/>
      </w:pPr>
      <w:r>
        <w:rPr>
          <w:rFonts w:ascii="Arial" w:cs="Arial" w:eastAsia="Arial" w:hAnsi="Arial"/>
          <w:b w:val="false"/>
          <w:bCs w:val="false"/>
          <w:i w:val="false"/>
          <w:iCs w:val="false"/>
          <w:color w:val="2D3748"/>
          <w:sz w:val="22"/>
          <w:szCs w:val="22"/>
        </w:rPr>
        <w:t xml:space="preserve">Priority Level: CRITICAL | Timeline: Immediate (0–30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Overtime employees represent 28.3% of the workforce but account for 53.6% of all attrition events. The 30.5% OT attrition rate is the strongest single predictor of departures in this dataset.</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Implement mandatory overtime tracking with automatic manager alerts when an employee exceeds 50 hours/week for three consecutive weeks</w:t>
      </w:r>
    </w:p>
    <w:p>
      <w:pPr>
        <w:pStyle w:val="ListParagraph"/>
        <w:numPr>
          <w:ilvl w:val="0"/>
          <w:numId w:val="2"/>
        </w:numPr>
        <w:spacing w:after="60" w:before="60"/>
      </w:pPr>
      <w:r>
        <w:rPr>
          <w:rFonts w:ascii="Arial" w:cs="Arial" w:eastAsia="Arial" w:hAnsi="Arial"/>
          <w:color w:val="2D3748"/>
          <w:sz w:val="22"/>
          <w:szCs w:val="22"/>
        </w:rPr>
        <w:t xml:space="preserve">Introduce an Overtime Wellness Credit — financial compensation (1.5× pay or time-off equivalent) tied to sustained overwork periods</w:t>
      </w:r>
    </w:p>
    <w:p>
      <w:pPr>
        <w:pStyle w:val="ListParagraph"/>
        <w:numPr>
          <w:ilvl w:val="0"/>
          <w:numId w:val="2"/>
        </w:numPr>
        <w:spacing w:after="60" w:before="60"/>
      </w:pPr>
      <w:r>
        <w:rPr>
          <w:rFonts w:ascii="Arial" w:cs="Arial" w:eastAsia="Arial" w:hAnsi="Arial"/>
          <w:color w:val="2D3748"/>
          <w:sz w:val="22"/>
          <w:szCs w:val="22"/>
        </w:rPr>
        <w:t xml:space="preserve">Conduct a quarterly workload audit by department to identify structural (not incidental) overtime and address root cause through headcount or process redesign</w:t>
      </w:r>
    </w:p>
    <w:p>
      <w:pPr>
        <w:pStyle w:val="ListParagraph"/>
        <w:numPr>
          <w:ilvl w:val="0"/>
          <w:numId w:val="2"/>
        </w:numPr>
        <w:spacing w:after="60" w:before="60"/>
      </w:pPr>
      <w:r>
        <w:rPr>
          <w:rFonts w:ascii="Arial" w:cs="Arial" w:eastAsia="Arial" w:hAnsi="Arial"/>
          <w:color w:val="2D3748"/>
          <w:sz w:val="22"/>
          <w:szCs w:val="22"/>
        </w:rPr>
        <w:t xml:space="preserve">Train managers on burnout early-warning signs and integrate burnout check-ins into monthly 1:1 meeting templates</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3.2 Engagement-Led Retention (Low Engagement Cohort)</w:t>
      </w:r>
    </w:p>
    <w:p>
      <w:pPr>
        <w:spacing w:after="100" w:before="80"/>
        <w:jc w:val="both"/>
      </w:pPr>
      <w:r>
        <w:rPr>
          <w:rFonts w:ascii="Arial" w:cs="Arial" w:eastAsia="Arial" w:hAnsi="Arial"/>
          <w:b w:val="false"/>
          <w:bCs w:val="false"/>
          <w:i w:val="false"/>
          <w:iCs w:val="false"/>
          <w:color w:val="2D3748"/>
          <w:sz w:val="22"/>
          <w:szCs w:val="22"/>
        </w:rPr>
        <w:t xml:space="preserve">Priority Level: HIGH | Timeline: 30–60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The 176 Low Engagement employees leave at 34.1% — more than double the organizational average. A targeted intervention with even 50% success rate prevents ~30 additional departures.</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Deploy a confidential engagement pulse survey to all Low Engagement employees, focusing on the five sub-dimensions: environment, involvement, satisfaction, relationships, and work-life balance</w:t>
      </w:r>
    </w:p>
    <w:p>
      <w:pPr>
        <w:pStyle w:val="ListParagraph"/>
        <w:numPr>
          <w:ilvl w:val="0"/>
          <w:numId w:val="2"/>
        </w:numPr>
        <w:spacing w:after="60" w:before="60"/>
      </w:pPr>
      <w:r>
        <w:rPr>
          <w:rFonts w:ascii="Arial" w:cs="Arial" w:eastAsia="Arial" w:hAnsi="Arial"/>
          <w:color w:val="2D3748"/>
          <w:sz w:val="22"/>
          <w:szCs w:val="22"/>
        </w:rPr>
        <w:t xml:space="preserve">Assign dedicated People Partners (HR Business Partners) to meet with all Low Engagement employees within 60 days</w:t>
      </w:r>
    </w:p>
    <w:p>
      <w:pPr>
        <w:pStyle w:val="ListParagraph"/>
        <w:numPr>
          <w:ilvl w:val="0"/>
          <w:numId w:val="2"/>
        </w:numPr>
        <w:spacing w:after="60" w:before="60"/>
      </w:pPr>
      <w:r>
        <w:rPr>
          <w:rFonts w:ascii="Arial" w:cs="Arial" w:eastAsia="Arial" w:hAnsi="Arial"/>
          <w:color w:val="2D3748"/>
          <w:sz w:val="22"/>
          <w:szCs w:val="22"/>
        </w:rPr>
        <w:t xml:space="preserve">Develop a tiered re-engagement program: mentorship pairings, project rotation, and skill development sprints for those signaling disengagement</w:t>
      </w:r>
    </w:p>
    <w:p>
      <w:pPr>
        <w:pStyle w:val="ListParagraph"/>
        <w:numPr>
          <w:ilvl w:val="0"/>
          <w:numId w:val="2"/>
        </w:numPr>
        <w:spacing w:after="60" w:before="60"/>
      </w:pPr>
      <w:r>
        <w:rPr>
          <w:rFonts w:ascii="Arial" w:cs="Arial" w:eastAsia="Arial" w:hAnsi="Arial"/>
          <w:color w:val="2D3748"/>
          <w:sz w:val="22"/>
          <w:szCs w:val="22"/>
        </w:rPr>
        <w:t xml:space="preserve">Establish a 90-day engagement improvement SLA with measurable milestones and manager accountability</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3.3 Role Stagnation &amp; Career Mobility Initiative</w:t>
      </w:r>
    </w:p>
    <w:p>
      <w:pPr>
        <w:spacing w:after="100" w:before="80"/>
        <w:jc w:val="both"/>
      </w:pPr>
      <w:r>
        <w:rPr>
          <w:rFonts w:ascii="Arial" w:cs="Arial" w:eastAsia="Arial" w:hAnsi="Arial"/>
          <w:b w:val="false"/>
          <w:bCs w:val="false"/>
          <w:i w:val="false"/>
          <w:iCs w:val="false"/>
          <w:color w:val="2D3748"/>
          <w:sz w:val="22"/>
          <w:szCs w:val="22"/>
        </w:rPr>
        <w:t xml:space="preserve">Priority Level: HIGH | Timeline: 60–90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Employees in the same role for 15+ years score 0.481 on engagement — a 17% deficit versus mid-tenure peers. This is the largest role-based engagement gap in the dataset.</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Audit all employees with 15+ years in their current role and create individual Career Mobility Plans</w:t>
      </w:r>
    </w:p>
    <w:p>
      <w:pPr>
        <w:pStyle w:val="ListParagraph"/>
        <w:numPr>
          <w:ilvl w:val="0"/>
          <w:numId w:val="2"/>
        </w:numPr>
        <w:spacing w:after="60" w:before="60"/>
      </w:pPr>
      <w:r>
        <w:rPr>
          <w:rFonts w:ascii="Arial" w:cs="Arial" w:eastAsia="Arial" w:hAnsi="Arial"/>
          <w:color w:val="2D3748"/>
          <w:sz w:val="22"/>
          <w:szCs w:val="22"/>
        </w:rPr>
        <w:t xml:space="preserve">Introduce an internal talent marketplace enabling lateral moves, cross-functional projects, and stretch assignments without requiring formal promotion cycles</w:t>
      </w:r>
    </w:p>
    <w:p>
      <w:pPr>
        <w:pStyle w:val="ListParagraph"/>
        <w:numPr>
          <w:ilvl w:val="0"/>
          <w:numId w:val="2"/>
        </w:numPr>
        <w:spacing w:after="60" w:before="60"/>
      </w:pPr>
      <w:r>
        <w:rPr>
          <w:rFonts w:ascii="Arial" w:cs="Arial" w:eastAsia="Arial" w:hAnsi="Arial"/>
          <w:color w:val="2D3748"/>
          <w:sz w:val="22"/>
          <w:szCs w:val="22"/>
        </w:rPr>
        <w:t xml:space="preserve">Create formal 'Expert Tracks' that offer career advancement for technical specialists who prefer depth over management hierarchy</w:t>
      </w:r>
    </w:p>
    <w:p>
      <w:pPr>
        <w:pStyle w:val="ListParagraph"/>
        <w:numPr>
          <w:ilvl w:val="0"/>
          <w:numId w:val="2"/>
        </w:numPr>
        <w:spacing w:after="60" w:before="60"/>
      </w:pPr>
      <w:r>
        <w:rPr>
          <w:rFonts w:ascii="Arial" w:cs="Arial" w:eastAsia="Arial" w:hAnsi="Arial"/>
          <w:color w:val="2D3748"/>
          <w:sz w:val="22"/>
          <w:szCs w:val="22"/>
        </w:rPr>
        <w:t xml:space="preserve">Tie promotion cycle review cadence to engagement data — flag employees approaching 3 consecutive years without advancement</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3.4 Compensation Equity &amp; Stock Option Expansion</w:t>
      </w:r>
    </w:p>
    <w:p>
      <w:pPr>
        <w:spacing w:after="100" w:before="80"/>
        <w:jc w:val="both"/>
      </w:pPr>
      <w:r>
        <w:rPr>
          <w:rFonts w:ascii="Arial" w:cs="Arial" w:eastAsia="Arial" w:hAnsi="Arial"/>
          <w:b w:val="false"/>
          <w:bCs w:val="false"/>
          <w:i w:val="false"/>
          <w:iCs w:val="false"/>
          <w:color w:val="2D3748"/>
          <w:sz w:val="22"/>
          <w:szCs w:val="22"/>
        </w:rPr>
        <w:t xml:space="preserve">Priority Level: HIGH | Timeline: 60–120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Departing employees earn 30% less than retained peers. Employees with no stock options leave at 24.4% — 2.6× the rate of Level 1 option holders.</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Commission a full compensation band analysis to identify pay compression and within-band inequity, particularly for roles with high attrition</w:t>
      </w:r>
    </w:p>
    <w:p>
      <w:pPr>
        <w:pStyle w:val="ListParagraph"/>
        <w:numPr>
          <w:ilvl w:val="0"/>
          <w:numId w:val="2"/>
        </w:numPr>
        <w:spacing w:after="60" w:before="60"/>
      </w:pPr>
      <w:r>
        <w:rPr>
          <w:rFonts w:ascii="Arial" w:cs="Arial" w:eastAsia="Arial" w:hAnsi="Arial"/>
          <w:color w:val="2D3748"/>
          <w:sz w:val="22"/>
          <w:szCs w:val="22"/>
        </w:rPr>
        <w:t xml:space="preserve">Expand stock option eligibility to include Level 0 holders in high-risk roles (Research Scientists, Sales Executives, Lab Technicians)</w:t>
      </w:r>
    </w:p>
    <w:p>
      <w:pPr>
        <w:pStyle w:val="ListParagraph"/>
        <w:numPr>
          <w:ilvl w:val="0"/>
          <w:numId w:val="2"/>
        </w:numPr>
        <w:spacing w:after="60" w:before="60"/>
      </w:pPr>
      <w:r>
        <w:rPr>
          <w:rFonts w:ascii="Arial" w:cs="Arial" w:eastAsia="Arial" w:hAnsi="Arial"/>
          <w:color w:val="2D3748"/>
          <w:sz w:val="22"/>
          <w:szCs w:val="22"/>
        </w:rPr>
        <w:t xml:space="preserve">Design a 4-year vesting cliff mitigation strategy (partial vesting at year 2) to address post-vesting departure patterns seen in Level 3 holders</w:t>
      </w:r>
    </w:p>
    <w:p>
      <w:pPr>
        <w:pStyle w:val="ListParagraph"/>
        <w:numPr>
          <w:ilvl w:val="0"/>
          <w:numId w:val="2"/>
        </w:numPr>
        <w:spacing w:after="60" w:before="60"/>
      </w:pPr>
      <w:r>
        <w:rPr>
          <w:rFonts w:ascii="Arial" w:cs="Arial" w:eastAsia="Arial" w:hAnsi="Arial"/>
          <w:color w:val="2D3748"/>
          <w:sz w:val="22"/>
          <w:szCs w:val="22"/>
        </w:rPr>
        <w:t xml:space="preserve">Benchmark total compensation (salary + equity + benefits) against cybersecurity industry peers annually</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3.5 Early-Career &amp; Single Employee Retention</w:t>
      </w:r>
    </w:p>
    <w:p>
      <w:pPr>
        <w:spacing w:after="100" w:before="80"/>
        <w:jc w:val="both"/>
      </w:pPr>
      <w:r>
        <w:rPr>
          <w:rFonts w:ascii="Arial" w:cs="Arial" w:eastAsia="Arial" w:hAnsi="Arial"/>
          <w:b w:val="false"/>
          <w:bCs w:val="false"/>
          <w:i w:val="false"/>
          <w:iCs w:val="false"/>
          <w:color w:val="2D3748"/>
          <w:sz w:val="22"/>
          <w:szCs w:val="22"/>
        </w:rPr>
        <w:t xml:space="preserve">Priority Level: MEDIUM | Timeline: 90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Single employees leave at 25.5% — 2.5× the rate of divorced employees. The 25–35 age cohort is the highest-risk demographic segment.</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Develop a structured onboarding buddy program for the first 18 months to build social capital and organizational belonging</w:t>
      </w:r>
    </w:p>
    <w:p>
      <w:pPr>
        <w:pStyle w:val="ListParagraph"/>
        <w:numPr>
          <w:ilvl w:val="0"/>
          <w:numId w:val="2"/>
        </w:numPr>
        <w:spacing w:after="60" w:before="60"/>
      </w:pPr>
      <w:r>
        <w:rPr>
          <w:rFonts w:ascii="Arial" w:cs="Arial" w:eastAsia="Arial" w:hAnsi="Arial"/>
          <w:color w:val="2D3748"/>
          <w:sz w:val="22"/>
          <w:szCs w:val="22"/>
        </w:rPr>
        <w:t xml:space="preserve">Launch an Employee Resource Group (ERG) network targeting early-career professionals with community-building, mentorship, and peer support components</w:t>
      </w:r>
    </w:p>
    <w:p>
      <w:pPr>
        <w:pStyle w:val="ListParagraph"/>
        <w:numPr>
          <w:ilvl w:val="0"/>
          <w:numId w:val="2"/>
        </w:numPr>
        <w:spacing w:after="60" w:before="60"/>
      </w:pPr>
      <w:r>
        <w:rPr>
          <w:rFonts w:ascii="Arial" w:cs="Arial" w:eastAsia="Arial" w:hAnsi="Arial"/>
          <w:color w:val="2D3748"/>
          <w:sz w:val="22"/>
          <w:szCs w:val="22"/>
        </w:rPr>
        <w:t xml:space="preserve">Introduce financial wellness benefits — student loan assistance, first-home down payment support — that resonate with single, early-career demographics</w:t>
      </w:r>
    </w:p>
    <w:p>
      <w:pPr>
        <w:pStyle w:val="ListParagraph"/>
        <w:numPr>
          <w:ilvl w:val="0"/>
          <w:numId w:val="2"/>
        </w:numPr>
        <w:spacing w:after="60" w:before="60"/>
      </w:pPr>
      <w:r>
        <w:rPr>
          <w:rFonts w:ascii="Arial" w:cs="Arial" w:eastAsia="Arial" w:hAnsi="Arial"/>
          <w:color w:val="2D3748"/>
          <w:sz w:val="22"/>
          <w:szCs w:val="22"/>
        </w:rPr>
        <w:t xml:space="preserve">Pilot a relocation flexibility program (hybrid or remote options) to reduce geographic constraints driving early-career mobility</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3.6 Research Scientist Targeted Burnout Audit</w:t>
      </w:r>
    </w:p>
    <w:p>
      <w:pPr>
        <w:spacing w:after="100" w:before="80"/>
        <w:jc w:val="both"/>
      </w:pPr>
      <w:r>
        <w:rPr>
          <w:rFonts w:ascii="Arial" w:cs="Arial" w:eastAsia="Arial" w:hAnsi="Arial"/>
          <w:b w:val="false"/>
          <w:bCs w:val="false"/>
          <w:i w:val="false"/>
          <w:iCs w:val="false"/>
          <w:color w:val="2D3748"/>
          <w:sz w:val="22"/>
          <w:szCs w:val="22"/>
        </w:rPr>
        <w:t xml:space="preserve">Priority Level: HIGH | Timeline: 30–60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Data Basis: Research Scientists comprise 25.4% of all high-risk employees — a disproportionate concentration. This role shows the highest number of risky employees (32) across all job roles.</w:t>
            </w:r>
          </w:p>
        </w:tc>
      </w:tr>
    </w:tbl>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Conduct a structured focus group series with Research Scientists to surface qualitative burnout triggers not captured in quantitative survey data</w:t>
      </w:r>
    </w:p>
    <w:p>
      <w:pPr>
        <w:pStyle w:val="ListParagraph"/>
        <w:numPr>
          <w:ilvl w:val="0"/>
          <w:numId w:val="2"/>
        </w:numPr>
        <w:spacing w:after="60" w:before="60"/>
      </w:pPr>
      <w:r>
        <w:rPr>
          <w:rFonts w:ascii="Arial" w:cs="Arial" w:eastAsia="Arial" w:hAnsi="Arial"/>
          <w:color w:val="2D3748"/>
          <w:sz w:val="22"/>
          <w:szCs w:val="22"/>
        </w:rPr>
        <w:t xml:space="preserve">Review project load distribution, deadline compression, and peer collaboration norms within R&amp;D teams</w:t>
      </w:r>
    </w:p>
    <w:p>
      <w:pPr>
        <w:pStyle w:val="ListParagraph"/>
        <w:numPr>
          <w:ilvl w:val="0"/>
          <w:numId w:val="2"/>
        </w:numPr>
        <w:spacing w:after="60" w:before="60"/>
      </w:pPr>
      <w:r>
        <w:rPr>
          <w:rFonts w:ascii="Arial" w:cs="Arial" w:eastAsia="Arial" w:hAnsi="Arial"/>
          <w:color w:val="2D3748"/>
          <w:sz w:val="22"/>
          <w:szCs w:val="22"/>
        </w:rPr>
        <w:t xml:space="preserve">Explore sabbatical or research leave programs to provide recovery periods for high-performing scientists</w:t>
      </w:r>
    </w:p>
    <w:p>
      <w:pPr>
        <w:pStyle w:val="ListParagraph"/>
        <w:numPr>
          <w:ilvl w:val="0"/>
          <w:numId w:val="2"/>
        </w:numPr>
        <w:spacing w:after="60" w:before="60"/>
      </w:pPr>
      <w:r>
        <w:rPr>
          <w:rFonts w:ascii="Arial" w:cs="Arial" w:eastAsia="Arial" w:hAnsi="Arial"/>
          <w:color w:val="2D3748"/>
          <w:sz w:val="22"/>
          <w:szCs w:val="22"/>
        </w:rPr>
        <w:t xml:space="preserve">Partner with R&amp;D leadership to establish clear scope boundaries, preventing scope creep-driven overtime</w:t>
      </w:r>
    </w:p>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4472C4"/>
          <w:sz w:val="26"/>
          <w:szCs w:val="26"/>
        </w:rPr>
        <w:t xml:space="preserve">3.7 Continuous Monitoring &amp; Predictive Analytics Infrastructure</w:t>
      </w:r>
    </w:p>
    <w:p>
      <w:pPr>
        <w:spacing w:after="100" w:before="80"/>
        <w:jc w:val="both"/>
      </w:pPr>
      <w:r>
        <w:rPr>
          <w:rFonts w:ascii="Arial" w:cs="Arial" w:eastAsia="Arial" w:hAnsi="Arial"/>
          <w:b w:val="false"/>
          <w:bCs w:val="false"/>
          <w:i w:val="false"/>
          <w:iCs w:val="false"/>
          <w:color w:val="2D3748"/>
          <w:sz w:val="22"/>
          <w:szCs w:val="22"/>
        </w:rPr>
        <w:t xml:space="preserve">Priority Level: MEDIUM | Timeline: 90–180 days</w:t>
      </w:r>
    </w:p>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Transition from annual engagement surveys to real-time quarterly pulse surveys, with automated risk scoring that updates HR dashboards monthly</w:t>
      </w:r>
    </w:p>
    <w:p>
      <w:pPr>
        <w:pStyle w:val="ListParagraph"/>
        <w:numPr>
          <w:ilvl w:val="0"/>
          <w:numId w:val="2"/>
        </w:numPr>
        <w:spacing w:after="60" w:before="60"/>
      </w:pPr>
      <w:r>
        <w:rPr>
          <w:rFonts w:ascii="Arial" w:cs="Arial" w:eastAsia="Arial" w:hAnsi="Arial"/>
          <w:color w:val="2D3748"/>
          <w:sz w:val="22"/>
          <w:szCs w:val="22"/>
        </w:rPr>
        <w:t xml:space="preserve">Integrate engagement, overtime, and compensation data into a unified retention risk model that predicts individual flight risk 90 days before likely resignation</w:t>
      </w:r>
    </w:p>
    <w:p>
      <w:pPr>
        <w:pStyle w:val="ListParagraph"/>
        <w:numPr>
          <w:ilvl w:val="0"/>
          <w:numId w:val="2"/>
        </w:numPr>
        <w:spacing w:after="60" w:before="60"/>
      </w:pPr>
      <w:r>
        <w:rPr>
          <w:rFonts w:ascii="Arial" w:cs="Arial" w:eastAsia="Arial" w:hAnsi="Arial"/>
          <w:color w:val="2D3748"/>
          <w:sz w:val="22"/>
          <w:szCs w:val="22"/>
        </w:rPr>
        <w:t xml:space="preserve">Establish a Workforce Experience Council — a cross-functional team of HR, managers, and employee representatives — that reviews engagement data monthly and owns intervention accountability</w:t>
      </w:r>
    </w:p>
    <w:p>
      <w:pPr>
        <w:pStyle w:val="ListParagraph"/>
        <w:numPr>
          <w:ilvl w:val="0"/>
          <w:numId w:val="2"/>
        </w:numPr>
        <w:spacing w:after="60" w:before="60"/>
      </w:pPr>
      <w:r>
        <w:rPr>
          <w:rFonts w:ascii="Arial" w:cs="Arial" w:eastAsia="Arial" w:hAnsi="Arial"/>
          <w:color w:val="2D3748"/>
          <w:sz w:val="22"/>
          <w:szCs w:val="22"/>
        </w:rPr>
        <w:t xml:space="preserve">Set organizational targets: reduce Low Engagement cohort from 12% to below 8% within 12 months; reduce overtime attrition from 30.5% to below 20% within 18 months</w:t>
      </w:r>
    </w:p>
    <w:p>
      <w:pPr>
        <w:spacing w:after="60" w:before="60"/>
      </w:pPr>
      <w:r>
        <w:t xml:space="preserve"/>
      </w:r>
    </w:p>
    <w:p>
      <w:pPr>
        <w:spacing w:after="60" w:before="60"/>
      </w:pPr>
      <w:r>
        <w:t xml:space="preserve"/>
      </w:r>
    </w:p>
    <w:p>
      <w:pPr>
        <w:pStyle w:val="Heading1"/>
        <w:pBdr>
          <w:bottom w:val="single" w:color="E8570A" w:sz="8" w:space="6"/>
        </w:pBdr>
        <w:spacing w:after="200" w:before="400"/>
      </w:pPr>
      <w:r>
        <w:rPr>
          <w:rFonts w:ascii="Arial" w:cs="Arial" w:eastAsia="Arial" w:hAnsi="Arial"/>
          <w:b/>
          <w:bCs/>
          <w:color w:val="1B3A6B"/>
          <w:sz w:val="32"/>
          <w:szCs w:val="32"/>
        </w:rPr>
        <w:t xml:space="preserve">4. Conclusion</w:t>
      </w:r>
    </w:p>
    <w:p>
      <w:pPr>
        <w:spacing w:after="100" w:before="80"/>
        <w:jc w:val="both"/>
      </w:pPr>
      <w:r>
        <w:rPr>
          <w:rFonts w:ascii="Arial" w:cs="Arial" w:eastAsia="Arial" w:hAnsi="Arial"/>
          <w:b w:val="false"/>
          <w:bCs w:val="false"/>
          <w:i w:val="false"/>
          <w:iCs w:val="false"/>
          <w:color w:val="2D3748"/>
          <w:sz w:val="22"/>
          <w:szCs w:val="22"/>
        </w:rPr>
        <w:t xml:space="preserve">This research demonstrates that employee attrition at Palo Alto Networks is not a random or unpredictable phenomenon — it is a measurable, signal-rich process that begins months before the resignation letter is submitted. The data reveals clear, quantifiable risk corridors: overtime exposure tripling attrition rates; a low engagement tier experiencing departures at 34.1%; a 30% income gap between leavers and stayers; and concentrated burnout risk among Research Scientists and Sales Executives.</w:t>
      </w:r>
    </w:p>
    <w:p>
      <w:pPr>
        <w:spacing w:after="60" w:before="60"/>
      </w:pPr>
      <w:r>
        <w:t xml:space="preserve"/>
      </w:r>
    </w:p>
    <w:p>
      <w:pPr>
        <w:spacing w:after="100" w:before="80"/>
        <w:jc w:val="both"/>
      </w:pPr>
      <w:r>
        <w:rPr>
          <w:rFonts w:ascii="Arial" w:cs="Arial" w:eastAsia="Arial" w:hAnsi="Arial"/>
          <w:b w:val="false"/>
          <w:bCs w:val="false"/>
          <w:i w:val="false"/>
          <w:iCs w:val="false"/>
          <w:color w:val="2D3748"/>
          <w:sz w:val="22"/>
          <w:szCs w:val="22"/>
        </w:rPr>
        <w:t xml:space="preserve">The shift from reactive attrition analysis to preventive employee experience diagnostics is not merely a methodological change — it is a strategic imperative. Every high-performing employee who leaves carries with them institutional knowledge, client relationships, and organizational capability that are genuinely difficult to replace. By intervening earlier, at the engagement gap rather than the resignation letter, Palo Alto Networks can materially reduce talent loss while building a workforce culture defined by investment, recognition, and sustainable performance.</w:t>
      </w:r>
    </w:p>
    <w:p>
      <w:pPr>
        <w:spacing w:after="60" w:before="60"/>
      </w:pPr>
      <w:r>
        <w:t xml:space="preserve"/>
      </w:r>
    </w:p>
    <w:p>
      <w:pPr>
        <w:spacing w:after="100" w:before="80"/>
        <w:jc w:val="both"/>
      </w:pPr>
      <w:r>
        <w:rPr>
          <w:rFonts w:ascii="Arial" w:cs="Arial" w:eastAsia="Arial" w:hAnsi="Arial"/>
          <w:b w:val="false"/>
          <w:bCs w:val="false"/>
          <w:i w:val="false"/>
          <w:iCs w:val="false"/>
          <w:color w:val="2D3748"/>
          <w:sz w:val="22"/>
          <w:szCs w:val="22"/>
        </w:rPr>
        <w:t xml:space="preserve">The seven intervention streams recommended in this paper — spanning burnout prevention, career mobility, compensation equity, and predictive monitoring — collectively represent a comprehensive, human-centered retention architecture. Implementation, beginning with the highest-priority overtime and low-engagement cohorts, positions Palo Alto Networks to reduce annual attrition from 16.1% toward a target of below 10% within 24 months, preserving an estimated $8–12M in annual replacement and productivity costs.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70A"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160"/>
            </w:tcMar>
          </w:tcPr>
          <w:p>
            <w:r>
              <w:rPr>
                <w:rFonts w:ascii="Arial" w:cs="Arial" w:eastAsia="Arial" w:hAnsi="Arial"/>
                <w:b w:val="false"/>
                <w:bCs w:val="false"/>
                <w:i/>
                <w:iCs/>
                <w:color w:val="1B3A6B"/>
                <w:sz w:val="21"/>
                <w:szCs w:val="21"/>
              </w:rPr>
              <w:t xml:space="preserve">This project is fundamentally different in purpose, timing, and impact from conventional HR analytics. Its value lies not in explaining past departures — but in preventing future ones.</w:t>
            </w:r>
          </w:p>
        </w:tc>
      </w:tr>
    </w:tbl>
    <w:p>
      <w:pPr>
        <w:spacing w:after="60" w:before="60"/>
      </w:pPr>
      <w:r>
        <w:t xml:space="preserve"/>
      </w:r>
    </w:p>
    <w:p>
      <w:pPr>
        <w:spacing w:after="60" w:before="60"/>
      </w:pPr>
      <w:r>
        <w:t xml:space="preserve"/>
      </w:r>
    </w:p>
    <w:p>
      <w:pPr>
        <w:pStyle w:val="Heading1"/>
        <w:pBdr>
          <w:bottom w:val="single" w:color="E8570A" w:sz="8" w:space="6"/>
        </w:pBdr>
        <w:spacing w:after="200" w:before="400"/>
      </w:pPr>
      <w:r>
        <w:rPr>
          <w:rFonts w:ascii="Arial" w:cs="Arial" w:eastAsia="Arial" w:hAnsi="Arial"/>
          <w:b/>
          <w:bCs/>
          <w:color w:val="1B3A6B"/>
          <w:sz w:val="32"/>
          <w:szCs w:val="32"/>
        </w:rPr>
        <w:t xml:space="preserve">Appendix: Data Sources &amp; Methodology</w:t>
      </w:r>
    </w:p>
    <w:p>
      <w:pPr>
        <w:pStyle w:val="Heading2"/>
        <w:spacing w:after="140" w:before="280"/>
      </w:pPr>
      <w:r>
        <w:rPr>
          <w:rFonts w:ascii="Arial" w:cs="Arial" w:eastAsia="Arial" w:hAnsi="Arial"/>
          <w:b/>
          <w:bCs/>
          <w:color w:val="4472C4"/>
          <w:sz w:val="26"/>
          <w:szCs w:val="26"/>
        </w:rPr>
        <w:t xml:space="preserve">A. Datasets Analyzed</w:t>
      </w:r>
    </w:p>
    <w:p>
      <w:pPr>
        <w:pStyle w:val="ListParagraph"/>
        <w:numPr>
          <w:ilvl w:val="0"/>
          <w:numId w:val="2"/>
        </w:numPr>
        <w:spacing w:after="60" w:before="60"/>
      </w:pPr>
      <w:r>
        <w:rPr>
          <w:rFonts w:ascii="Arial" w:cs="Arial" w:eastAsia="Arial" w:hAnsi="Arial"/>
          <w:color w:val="2D3748"/>
          <w:sz w:val="22"/>
          <w:szCs w:val="22"/>
        </w:rPr>
        <w:t xml:space="preserve">Palo_Alto_Networks.csv — Primary employee dataset (1,470 records, 31 variables)</w:t>
      </w:r>
    </w:p>
    <w:p>
      <w:pPr>
        <w:pStyle w:val="ListParagraph"/>
        <w:numPr>
          <w:ilvl w:val="0"/>
          <w:numId w:val="2"/>
        </w:numPr>
        <w:spacing w:after="60" w:before="60"/>
      </w:pPr>
      <w:r>
        <w:rPr>
          <w:rFonts w:ascii="Arial" w:cs="Arial" w:eastAsia="Arial" w:hAnsi="Arial"/>
          <w:color w:val="2D3748"/>
          <w:sz w:val="22"/>
          <w:szCs w:val="22"/>
        </w:rPr>
        <w:t xml:space="preserve">unified_engagement_level_and_risky_emp_.csv — Composite engagement and risk classification</w:t>
      </w:r>
    </w:p>
    <w:p>
      <w:pPr>
        <w:pStyle w:val="ListParagraph"/>
        <w:numPr>
          <w:ilvl w:val="0"/>
          <w:numId w:val="2"/>
        </w:numPr>
        <w:spacing w:after="60" w:before="60"/>
      </w:pPr>
      <w:r>
        <w:rPr>
          <w:rFonts w:ascii="Arial" w:cs="Arial" w:eastAsia="Arial" w:hAnsi="Arial"/>
          <w:color w:val="2D3748"/>
          <w:sz w:val="22"/>
          <w:szCs w:val="22"/>
        </w:rPr>
        <w:t xml:space="preserve">unified_risk_rate.csv — Burnout risk rate segmentation</w:t>
      </w:r>
    </w:p>
    <w:p>
      <w:pPr>
        <w:pStyle w:val="ListParagraph"/>
        <w:numPr>
          <w:ilvl w:val="0"/>
          <w:numId w:val="2"/>
        </w:numPr>
        <w:spacing w:after="60" w:before="60"/>
      </w:pPr>
      <w:r>
        <w:rPr>
          <w:rFonts w:ascii="Arial" w:cs="Arial" w:eastAsia="Arial" w:hAnsi="Arial"/>
          <w:color w:val="2D3748"/>
          <w:sz w:val="22"/>
          <w:szCs w:val="22"/>
        </w:rPr>
        <w:t xml:space="preserve">burnout.csv — Burnout indicator subset analysis</w:t>
      </w:r>
    </w:p>
    <w:p>
      <w:pPr>
        <w:pStyle w:val="ListParagraph"/>
        <w:numPr>
          <w:ilvl w:val="0"/>
          <w:numId w:val="2"/>
        </w:numPr>
        <w:spacing w:after="60" w:before="60"/>
      </w:pPr>
      <w:r>
        <w:rPr>
          <w:rFonts w:ascii="Arial" w:cs="Arial" w:eastAsia="Arial" w:hAnsi="Arial"/>
          <w:color w:val="2D3748"/>
          <w:sz w:val="22"/>
          <w:szCs w:val="22"/>
        </w:rPr>
        <w:t xml:space="preserve">engagement_attrition.csv — Engagement-attrition correlation summary</w:t>
      </w:r>
    </w:p>
    <w:p>
      <w:pPr>
        <w:pStyle w:val="ListParagraph"/>
        <w:numPr>
          <w:ilvl w:val="0"/>
          <w:numId w:val="2"/>
        </w:numPr>
        <w:spacing w:after="60" w:before="60"/>
      </w:pPr>
      <w:r>
        <w:rPr>
          <w:rFonts w:ascii="Arial" w:cs="Arial" w:eastAsia="Arial" w:hAnsi="Arial"/>
          <w:color w:val="2D3748"/>
          <w:sz w:val="22"/>
          <w:szCs w:val="22"/>
        </w:rPr>
        <w:t xml:space="preserve">CareerStageEngagement.csv — Career stage and tenure engagement mapping</w:t>
      </w:r>
    </w:p>
    <w:p>
      <w:pPr>
        <w:pStyle w:val="ListParagraph"/>
        <w:numPr>
          <w:ilvl w:val="0"/>
          <w:numId w:val="2"/>
        </w:numPr>
        <w:spacing w:after="60" w:before="60"/>
      </w:pPr>
      <w:r>
        <w:rPr>
          <w:rFonts w:ascii="Arial" w:cs="Arial" w:eastAsia="Arial" w:hAnsi="Arial"/>
          <w:color w:val="2D3748"/>
          <w:sz w:val="22"/>
          <w:szCs w:val="22"/>
        </w:rPr>
        <w:t xml:space="preserve">Workload___Stress_Analysis.csv — Overtime, travel, and commute workload analysis</w:t>
      </w:r>
    </w:p>
    <w:p>
      <w:pPr>
        <w:spacing w:after="60" w:before="60"/>
      </w:pPr>
      <w:r>
        <w:t xml:space="preserve"/>
      </w:r>
    </w:p>
    <w:p>
      <w:pPr>
        <w:pStyle w:val="Heading2"/>
        <w:spacing w:after="140" w:before="280"/>
      </w:pPr>
      <w:r>
        <w:rPr>
          <w:rFonts w:ascii="Arial" w:cs="Arial" w:eastAsia="Arial" w:hAnsi="Arial"/>
          <w:b/>
          <w:bCs/>
          <w:color w:val="4472C4"/>
          <w:sz w:val="26"/>
          <w:szCs w:val="26"/>
        </w:rPr>
        <w:t xml:space="preserve">B. Engagement Index Methodology</w:t>
      </w:r>
    </w:p>
    <w:p>
      <w:pPr>
        <w:spacing w:after="100" w:before="80"/>
        <w:jc w:val="both"/>
      </w:pPr>
      <w:r>
        <w:rPr>
          <w:rFonts w:ascii="Arial" w:cs="Arial" w:eastAsia="Arial" w:hAnsi="Arial"/>
          <w:b w:val="false"/>
          <w:bCs w:val="false"/>
          <w:i w:val="false"/>
          <w:iCs w:val="false"/>
          <w:color w:val="2D3748"/>
          <w:sz w:val="22"/>
          <w:szCs w:val="22"/>
        </w:rPr>
        <w:t xml:space="preserve">The Engagement Index is a composite metric computed from five normalized satisfaction dimensions, each scored on a 0–1 scale. The five components are: Environment Satisfaction, Job Involvement, Job Satisfaction, Relationship Satisfaction, and Work-Life Balance. The composite is calculated as an unweighted mean of normalized scores, with thresholds defined as: Low (&lt;0.42), Medium (0.42–0.67), and High (&gt;0.67).</w:t>
      </w:r>
    </w:p>
    <w:p>
      <w:pPr>
        <w:spacing w:after="60" w:before="60"/>
      </w:pPr>
      <w:r>
        <w:t xml:space="preserve"/>
      </w:r>
    </w:p>
    <w:p>
      <w:pPr>
        <w:pStyle w:val="Heading2"/>
        <w:spacing w:after="140" w:before="280"/>
      </w:pPr>
      <w:r>
        <w:rPr>
          <w:rFonts w:ascii="Arial" w:cs="Arial" w:eastAsia="Arial" w:hAnsi="Arial"/>
          <w:b/>
          <w:bCs/>
          <w:color w:val="4472C4"/>
          <w:sz w:val="26"/>
          <w:szCs w:val="26"/>
        </w:rPr>
        <w:t xml:space="preserve">C. Risk Classification</w:t>
      </w:r>
    </w:p>
    <w:p>
      <w:pPr>
        <w:spacing w:after="100" w:before="80"/>
        <w:jc w:val="both"/>
      </w:pPr>
      <w:r>
        <w:rPr>
          <w:rFonts w:ascii="Arial" w:cs="Arial" w:eastAsia="Arial" w:hAnsi="Arial"/>
          <w:b w:val="false"/>
          <w:bCs w:val="false"/>
          <w:i w:val="false"/>
          <w:iCs w:val="false"/>
          <w:color w:val="2D3748"/>
          <w:sz w:val="22"/>
          <w:szCs w:val="22"/>
        </w:rPr>
        <w:t xml:space="preserve">Risk rates (low, medium, high) are assigned based on a composite scoring model incorporating overtime status, engagement tier, satisfaction dimension scores, and historical attrition patterns. High-risk employees are defined as those scoring in the bottom quartile on engagement while simultaneously meeting burnout criteria (sustained overtime or multi-dimension satisfaction deficit). The risky_emp binary flag identifies employees meeting all high-risk thresholds simultaneously.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720"/>
      </w:tabs>
      <w:spacing w:before="80"/>
    </w:pPr>
    <w:r>
      <w:rPr>
        <w:rFonts w:ascii="Arial" w:cs="Arial" w:eastAsia="Arial" w:hAnsi="Arial"/>
        <w:color w:val="718096"/>
        <w:sz w:val="16"/>
        <w:szCs w:val="16"/>
      </w:rPr>
      <w:t xml:space="preserve">Confidential | Palo Alto Networks HR Analytics 2024</w:t>
    </w:r>
    <w:r>
      <w:rPr>
        <w:rFonts w:ascii="Arial" w:cs="Arial" w:eastAsia="Arial" w:hAnsi="Arial"/>
        <w:color w:val="718096"/>
        <w:sz w:val="16"/>
        <w:szCs w:val="16"/>
      </w:rPr>
      <w:t xml:space="preserve">	Page </w:t>
    </w:r>
    <w:r>
      <w:rPr>
        <w:rFonts w:ascii="Arial" w:cs="Arial" w:eastAsia="Arial" w:hAnsi="Arial"/>
        <w:color w:val="4472C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B3A6B" w:val="clear"/>
          <w:tcMar>
            <w:top w:type="dxa" w:w="80"/>
            <w:left w:type="dxa" w:w="200"/>
            <w:bottom w:type="dxa" w:w="80"/>
            <w:right w:type="dxa" w:w="100"/>
          </w:tcMar>
        </w:tcPr>
        <w:p>
          <w:r>
            <w:rPr>
              <w:rFonts w:ascii="Arial" w:cs="Arial" w:eastAsia="Arial" w:hAnsi="Arial"/>
              <w:b/>
              <w:bCs/>
              <w:color w:val="FFFFFF"/>
              <w:sz w:val="18"/>
              <w:szCs w:val="18"/>
            </w:rPr>
            <w:t xml:space="preserve">Palo Alto Networks | HR Analytics Research</w:t>
          </w:r>
        </w:p>
      </w:tc>
      <w:tc>
        <w:tcPr>
          <w:tcW w:type="dxa" w:w="3720"/>
          <w:tcBorders>
            <w:top w:val="none" w:color="FFFFFF" w:sz="0"/>
            <w:left w:val="none" w:color="FFFFFF" w:sz="0"/>
            <w:bottom w:val="none" w:color="FFFFFF" w:sz="0"/>
            <w:right w:val="none" w:color="FFFFFF" w:sz="0"/>
          </w:tcBorders>
          <w:shd w:fill="E8570A" w:val="clear"/>
          <w:tcMar>
            <w:top w:type="dxa" w:w="80"/>
            <w:left w:type="dxa" w:w="100"/>
            <w:bottom w:type="dxa" w:w="80"/>
            <w:right w:type="dxa" w:w="200"/>
          </w:tcMar>
        </w:tcPr>
        <w:p>
          <w:pPr>
            <w:jc w:val="right"/>
          </w:pPr>
          <w:r>
            <w:rPr>
              <w:rFonts w:ascii="Arial" w:cs="Arial" w:eastAsia="Arial" w:hAnsi="Arial"/>
              <w:color w:val="FFFFFF"/>
              <w:sz w:val="16"/>
              <w:szCs w:val="16"/>
            </w:rPr>
            <w:t xml:space="preserve">Preventive Employee Experience Diagnostics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472C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2026-04-27T08:25:54.926Z</dcterms:created>
  <dcterms:modified xsi:type="dcterms:W3CDTF">2026-04-27T08:25:54.927Z</dcterms:modified>
</cp:coreProperties>
</file>

<file path=docProps/custom.xml><?xml version="1.0" encoding="utf-8"?>
<Properties xmlns="http://schemas.openxmlformats.org/officeDocument/2006/custom-properties" xmlns:vt="http://schemas.openxmlformats.org/officeDocument/2006/docPropsVTypes"/>
</file>