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0"/>
          <w:szCs w:val="80"/>
        </w:rPr>
        <w:t xml:space="preserve"/>
      </w:r>
    </w:p>
    <w:p>
      <w:pPr>
        <w:spacing w:after="0" w:before="0"/>
        <w:jc w:val="center"/>
      </w:pPr>
      <w:r>
        <w:rPr>
          <w:rFonts w:ascii="Arial" w:cs="Arial" w:eastAsia="Arial" w:hAnsi="Arial"/>
          <w:b/>
          <w:bCs/>
          <w:color w:val="1F3864"/>
          <w:sz w:val="48"/>
          <w:szCs w:val="48"/>
        </w:rPr>
        <w:t xml:space="preserve">NASSAU CANDY DISTRIBUTOR</w:t>
      </w:r>
    </w:p>
    <w:p>
      <w:pPr>
        <w:spacing w:after="0" w:before="0"/>
      </w:pPr>
      <w:r>
        <w:rPr>
          <w:sz w:val="20"/>
          <w:szCs w:val="20"/>
        </w:rPr>
        <w:t xml:space="preserve"/>
      </w:r>
    </w:p>
    <w:p>
      <w:pPr>
        <w:spacing w:after="0" w:before="0"/>
        <w:jc w:val="center"/>
      </w:pPr>
      <w:r>
        <w:rPr>
          <w:rFonts w:ascii="Arial" w:cs="Arial" w:eastAsia="Arial" w:hAnsi="Arial"/>
          <w:b/>
          <w:bCs/>
          <w:color w:val="2E75B6"/>
          <w:sz w:val="36"/>
          <w:szCs w:val="36"/>
        </w:rPr>
        <w:t xml:space="preserve">Shipping Operations &amp; Supply Chain</w:t>
      </w:r>
    </w:p>
    <w:p>
      <w:pPr>
        <w:spacing w:after="0" w:before="0"/>
        <w:jc w:val="center"/>
      </w:pPr>
      <w:r>
        <w:rPr>
          <w:rFonts w:ascii="Arial" w:cs="Arial" w:eastAsia="Arial" w:hAnsi="Arial"/>
          <w:b/>
          <w:bCs/>
          <w:color w:val="2E75B6"/>
          <w:sz w:val="36"/>
          <w:szCs w:val="36"/>
        </w:rPr>
        <w:t xml:space="preserve">Exploratory Data Analysis &amp; Research Report</w:t>
      </w:r>
    </w:p>
    <w:p>
      <w:pPr>
        <w:spacing w:after="0" w:before="0"/>
      </w:pPr>
      <w:r>
        <w:rPr>
          <w:sz w:val="40"/>
          <w:szCs w:val="40"/>
        </w:rPr>
        <w:t xml:space="preserve"/>
      </w:r>
    </w:p>
    <w:p>
      <w:pPr>
        <w:pBdr>
          <w:top w:val="single" w:color="2E75B6" w:sz="4" w:space="4"/>
          <w:bottom w:val="single" w:color="2E75B6" w:sz="4" w:space="4"/>
        </w:pBdr>
        <w:spacing w:after="120" w:before="120"/>
        <w:jc w:val="center"/>
      </w:pPr>
      <w:r>
        <w:rPr>
          <w:rFonts w:ascii="Arial" w:cs="Arial" w:eastAsia="Arial" w:hAnsi="Arial"/>
          <w:i/>
          <w:iCs/>
          <w:color w:val="555555"/>
          <w:sz w:val="22"/>
          <w:szCs w:val="22"/>
        </w:rPr>
        <w:t xml:space="preserve">Prepared by: Operations Analytics Division     |     June 2026</w:t>
      </w:r>
    </w:p>
    <w:p>
      <w:pPr>
        <w:spacing w:after="0" w:before="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1F2" w:val="clear"/>
            <w:tcMar>
              <w:top w:type="dxa" w:w="120"/>
              <w:left w:type="dxa" w:w="200"/>
              <w:bottom w:type="dxa" w:w="120"/>
              <w:right w:type="dxa" w:w="200"/>
            </w:tcMar>
          </w:tcPr>
          <w:p>
            <w:r>
              <w:rPr>
                <w:rFonts w:ascii="Arial" w:cs="Arial" w:eastAsia="Arial" w:hAnsi="Arial"/>
                <w:b/>
                <w:bCs/>
                <w:color w:val="1F3864"/>
                <w:sz w:val="22"/>
                <w:szCs w:val="22"/>
              </w:rPr>
              <w:t xml:space="preserve">Dataset Scope</w:t>
            </w:r>
          </w:p>
          <w:p>
            <w:r>
              <w:rPr>
                <w:rFonts w:ascii="Arial" w:cs="Arial" w:eastAsia="Arial" w:hAnsi="Arial"/>
                <w:color w:val="1A1A2E"/>
                <w:sz w:val="21"/>
                <w:szCs w:val="21"/>
              </w:rPr>
              <w:t xml:space="preserve">10,194 shipment records</w:t>
            </w:r>
          </w:p>
          <w:p>
            <w:r>
              <w:rPr>
                <w:rFonts w:ascii="Arial" w:cs="Arial" w:eastAsia="Arial" w:hAnsi="Arial"/>
                <w:color w:val="1A1A2E"/>
                <w:sz w:val="21"/>
                <w:szCs w:val="21"/>
              </w:rPr>
              <w:t xml:space="preserve">Orders: Jan 2024 – Dec 2025</w:t>
            </w:r>
          </w:p>
          <w:p>
            <w:r>
              <w:rPr>
                <w:rFonts w:ascii="Arial" w:cs="Arial" w:eastAsia="Arial" w:hAnsi="Arial"/>
                <w:color w:val="1A1A2E"/>
                <w:sz w:val="21"/>
                <w:szCs w:val="21"/>
              </w:rPr>
              <w:t xml:space="preserve">Coverage: 50+ US states &amp; territories</w:t>
            </w:r>
          </w:p>
        </w:tc>
        <w:tc>
          <w:tcPr>
            <w:tcW w:type="dxa" w:w="4680"/>
            <w:tcBorders>
              <w:top w:val="single" w:color="CCCCCC" w:sz="1"/>
              <w:left w:val="single" w:color="CCCCCC" w:sz="1"/>
              <w:bottom w:val="single" w:color="CCCCCC" w:sz="1"/>
              <w:right w:val="single" w:color="CCCCCC" w:sz="1"/>
            </w:tcBorders>
            <w:shd w:fill="D9E1F2" w:val="clear"/>
            <w:tcMar>
              <w:top w:type="dxa" w:w="120"/>
              <w:left w:type="dxa" w:w="200"/>
              <w:bottom w:type="dxa" w:w="120"/>
              <w:right w:type="dxa" w:w="200"/>
            </w:tcMar>
          </w:tcPr>
          <w:p>
            <w:r>
              <w:rPr>
                <w:rFonts w:ascii="Arial" w:cs="Arial" w:eastAsia="Arial" w:hAnsi="Arial"/>
                <w:b/>
                <w:bCs/>
                <w:color w:val="1F3864"/>
                <w:sz w:val="22"/>
                <w:szCs w:val="22"/>
              </w:rPr>
              <w:t xml:space="preserve">Key Metrics Analyzed</w:t>
            </w:r>
          </w:p>
          <w:p>
            <w:r>
              <w:rPr>
                <w:rFonts w:ascii="Arial" w:cs="Arial" w:eastAsia="Arial" w:hAnsi="Arial"/>
                <w:color w:val="1A1A2E"/>
                <w:sz w:val="21"/>
                <w:szCs w:val="21"/>
              </w:rPr>
              <w:t xml:space="preserve">Shipping lead times by route &amp; mode</w:t>
            </w:r>
          </w:p>
          <w:p>
            <w:r>
              <w:rPr>
                <w:rFonts w:ascii="Arial" w:cs="Arial" w:eastAsia="Arial" w:hAnsi="Arial"/>
                <w:color w:val="1A1A2E"/>
                <w:sz w:val="21"/>
                <w:szCs w:val="21"/>
              </w:rPr>
              <w:t xml:space="preserve">Regional efficiency benchmarks</w:t>
            </w:r>
          </w:p>
          <w:p>
            <w:r>
              <w:rPr>
                <w:rFonts w:ascii="Arial" w:cs="Arial" w:eastAsia="Arial" w:hAnsi="Arial"/>
                <w:color w:val="1A1A2E"/>
                <w:sz w:val="21"/>
                <w:szCs w:val="21"/>
              </w:rPr>
              <w:t xml:space="preserve">Revenue: $141,784 | Margin: 65.9%</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Abstract</w:t>
      </w:r>
    </w:p>
    <w:p>
      <w:pPr>
        <w:spacing w:after="100" w:before="60"/>
        <w:jc w:val="both"/>
      </w:pPr>
      <w:r>
        <w:rPr>
          <w:rFonts w:ascii="Arial" w:cs="Arial" w:eastAsia="Arial" w:hAnsi="Arial"/>
          <w:color w:val="1A1A2E"/>
          <w:sz w:val="22"/>
          <w:szCs w:val="22"/>
        </w:rPr>
        <w:t xml:space="preserve">This research paper presents a comprehensive exploratory data analysis (EDA) of Nassau Candy Distributor's shipping operations across the United States. Drawing on 10,194 order records spanning January 2024 through December 2025, this study examines shipping lead times, regional bottlenecks, ship mode performance, and route-level efficiency across four commercial regions: Atlantic, Gulf, Interior, and Pacific.</w:t>
      </w:r>
    </w:p>
    <w:p>
      <w:pPr>
        <w:spacing w:after="0" w:before="0"/>
      </w:pPr>
      <w:r>
        <w:rPr>
          <w:sz w:val="20"/>
          <w:szCs w:val="20"/>
        </w:rPr>
        <w:t xml:space="preserve"/>
      </w:r>
    </w:p>
    <w:p>
      <w:pPr>
        <w:spacing w:after="100" w:before="60"/>
        <w:jc w:val="both"/>
      </w:pPr>
      <w:r>
        <w:rPr>
          <w:rFonts w:ascii="Arial" w:cs="Arial" w:eastAsia="Arial" w:hAnsi="Arial"/>
          <w:color w:val="1A1A2E"/>
          <w:sz w:val="22"/>
          <w:szCs w:val="22"/>
        </w:rPr>
        <w:t xml:space="preserve">Key findings reveal that Standard Class shipping — while the most widely used mode at 60% of all orders — demonstrates the shortest average lead times relative to premium modes, indicating a systemic pricing-to-performance misalignment. Regional analysis reveals that the Gulf region consistently outperforms other regions in lead time efficiency. Product-level analysis confirms that Chocolate division products constitute 96.6% of all orders, with top SKUs including Wonka Bar variants driving the majority of revenue. Total revenue stands at $141,784 with an impressive gross profit margin of 65.9%.</w:t>
      </w:r>
    </w:p>
    <w:p>
      <w:pPr>
        <w:spacing w:after="0" w:before="0"/>
      </w:pPr>
      <w:r>
        <w:rPr>
          <w:sz w:val="20"/>
          <w:szCs w:val="20"/>
        </w:rPr>
        <w:t xml:space="preserve"/>
      </w:r>
    </w:p>
    <w:p>
      <w:pPr>
        <w:spacing w:after="100" w:before="60"/>
        <w:jc w:val="both"/>
      </w:pPr>
      <w:r>
        <w:rPr>
          <w:rFonts w:ascii="Arial" w:cs="Arial" w:eastAsia="Arial" w:hAnsi="Arial"/>
          <w:color w:val="1A1A2E"/>
          <w:sz w:val="22"/>
          <w:szCs w:val="22"/>
        </w:rPr>
        <w:t xml:space="preserve">This paper concludes with actionable recommendations to optimize route selection, renegotiate carrier contracts for premium shipping modes, and address geographic bottlenecks in the Midwest and Mountain West regions.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1F2"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Research Keywords</w:t>
            </w:r>
          </w:p>
          <w:p>
            <w:pPr>
              <w:spacing w:after="0" w:before="0"/>
            </w:pPr>
            <w:r>
              <w:rPr>
                <w:rFonts w:ascii="Arial" w:cs="Arial" w:eastAsia="Arial" w:hAnsi="Arial"/>
                <w:color w:val="1A1A2E"/>
                <w:sz w:val="21"/>
                <w:szCs w:val="21"/>
              </w:rPr>
              <w:t xml:space="preserve">Supply Chain Analytics  |  Shipping Lead Time  |  Route Efficiency  |  EDA  |  Logistics Optimization  |  Confectionery Distribution</w:t>
            </w:r>
          </w:p>
        </w:tc>
      </w:tr>
    </w:tbl>
    <w:p>
      <w:pPr>
        <w:spacing w:after="0" w:before="0"/>
      </w:pPr>
      <w:r>
        <w:rPr>
          <w:sz w:val="20"/>
          <w:szCs w:val="20"/>
        </w:rP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1. Introduction</w:t>
      </w:r>
    </w:p>
    <w:p>
      <w:pPr>
        <w:pStyle w:val="Heading2"/>
        <w:spacing w:after="80" w:before="240"/>
      </w:pPr>
      <w:r>
        <w:rPr>
          <w:rFonts w:ascii="Arial" w:cs="Arial" w:eastAsia="Arial" w:hAnsi="Arial"/>
          <w:b/>
          <w:bCs/>
          <w:color w:val="2E75B6"/>
          <w:sz w:val="26"/>
          <w:szCs w:val="26"/>
        </w:rPr>
        <w:t xml:space="preserve">1.1 Background</w:t>
      </w:r>
    </w:p>
    <w:p>
      <w:pPr>
        <w:spacing w:after="100" w:before="60"/>
        <w:jc w:val="both"/>
      </w:pPr>
      <w:r>
        <w:rPr>
          <w:rFonts w:ascii="Arial" w:cs="Arial" w:eastAsia="Arial" w:hAnsi="Arial"/>
          <w:color w:val="1A1A2E"/>
          <w:sz w:val="22"/>
          <w:szCs w:val="22"/>
        </w:rPr>
        <w:t xml:space="preserve">Nassau Candy Distributor operates a multi-region candy and confectionery distribution network across the continental United States. As the competitive landscape for B2B candy distribution intensifies, shipping performance has emerged as a critical differentiator. Customers increasingly expect faster fulfillment, and carriers are under pressure to deliver consistent, predictable service windows.</w:t>
      </w:r>
    </w:p>
    <w:p>
      <w:pPr>
        <w:spacing w:after="100" w:before="60"/>
        <w:jc w:val="both"/>
      </w:pPr>
      <w:r>
        <w:rPr>
          <w:rFonts w:ascii="Arial" w:cs="Arial" w:eastAsia="Arial" w:hAnsi="Arial"/>
          <w:color w:val="1A1A2E"/>
          <w:sz w:val="22"/>
          <w:szCs w:val="22"/>
        </w:rPr>
        <w:t xml:space="preserve">This analysis was commissioned to provide a data-driven baseline of current shipping performance, identify inefficiencies, and inform strategic decisions around carrier partnerships, regional warehousing, and ship mode rationalization.</w:t>
      </w:r>
    </w:p>
    <w:p>
      <w:pPr>
        <w:pStyle w:val="Heading2"/>
        <w:spacing w:after="80" w:before="240"/>
      </w:pPr>
      <w:r>
        <w:rPr>
          <w:rFonts w:ascii="Arial" w:cs="Arial" w:eastAsia="Arial" w:hAnsi="Arial"/>
          <w:b/>
          <w:bCs/>
          <w:color w:val="2E75B6"/>
          <w:sz w:val="26"/>
          <w:szCs w:val="26"/>
        </w:rPr>
        <w:t xml:space="preserve">1.2 Objectives</w:t>
      </w:r>
    </w:p>
    <w:p>
      <w:pPr>
        <w:pStyle w:val="ListParagraph"/>
        <w:numPr>
          <w:ilvl w:val="0"/>
          <w:numId w:val="2"/>
        </w:numPr>
        <w:spacing w:after="40" w:before="40"/>
      </w:pPr>
      <w:r>
        <w:rPr>
          <w:rFonts w:ascii="Arial" w:cs="Arial" w:eastAsia="Arial" w:hAnsi="Arial"/>
          <w:color w:val="1A1A2E"/>
          <w:sz w:val="22"/>
          <w:szCs w:val="22"/>
        </w:rPr>
        <w:t xml:space="preserve">Quantify average lead times across all shipping routes, modes, and regions</w:t>
      </w:r>
    </w:p>
    <w:p>
      <w:pPr>
        <w:pStyle w:val="ListParagraph"/>
        <w:numPr>
          <w:ilvl w:val="0"/>
          <w:numId w:val="2"/>
        </w:numPr>
        <w:spacing w:after="40" w:before="40"/>
      </w:pPr>
      <w:r>
        <w:rPr>
          <w:rFonts w:ascii="Arial" w:cs="Arial" w:eastAsia="Arial" w:hAnsi="Arial"/>
          <w:color w:val="1A1A2E"/>
          <w:sz w:val="22"/>
          <w:szCs w:val="22"/>
        </w:rPr>
        <w:t xml:space="preserve">Identify high-performing and underperforming routes and states</w:t>
      </w:r>
    </w:p>
    <w:p>
      <w:pPr>
        <w:pStyle w:val="ListParagraph"/>
        <w:numPr>
          <w:ilvl w:val="0"/>
          <w:numId w:val="2"/>
        </w:numPr>
        <w:spacing w:after="40" w:before="40"/>
      </w:pPr>
      <w:r>
        <w:rPr>
          <w:rFonts w:ascii="Arial" w:cs="Arial" w:eastAsia="Arial" w:hAnsi="Arial"/>
          <w:color w:val="1A1A2E"/>
          <w:sz w:val="22"/>
          <w:szCs w:val="22"/>
        </w:rPr>
        <w:t xml:space="preserve">Analyze the relationship between ship mode selection and actual delivery performance</w:t>
      </w:r>
    </w:p>
    <w:p>
      <w:pPr>
        <w:pStyle w:val="ListParagraph"/>
        <w:numPr>
          <w:ilvl w:val="0"/>
          <w:numId w:val="2"/>
        </w:numPr>
        <w:spacing w:after="40" w:before="40"/>
      </w:pPr>
      <w:r>
        <w:rPr>
          <w:rFonts w:ascii="Arial" w:cs="Arial" w:eastAsia="Arial" w:hAnsi="Arial"/>
          <w:color w:val="1A1A2E"/>
          <w:sz w:val="22"/>
          <w:szCs w:val="22"/>
        </w:rPr>
        <w:t xml:space="preserve">Provide strategic recommendations to reduce lead times and improve customer satisfaction</w:t>
      </w:r>
    </w:p>
    <w:p>
      <w:pPr>
        <w:pStyle w:val="ListParagraph"/>
        <w:numPr>
          <w:ilvl w:val="0"/>
          <w:numId w:val="2"/>
        </w:numPr>
        <w:spacing w:after="40" w:before="40"/>
      </w:pPr>
      <w:r>
        <w:rPr>
          <w:rFonts w:ascii="Arial" w:cs="Arial" w:eastAsia="Arial" w:hAnsi="Arial"/>
          <w:color w:val="1A1A2E"/>
          <w:sz w:val="22"/>
          <w:szCs w:val="22"/>
        </w:rPr>
        <w:t xml:space="preserve">Establish a KPI baseline for ongoing operations monitoring</w:t>
      </w:r>
    </w:p>
    <w:p>
      <w:pPr>
        <w:pStyle w:val="Heading2"/>
        <w:spacing w:after="80" w:before="240"/>
      </w:pPr>
      <w:r>
        <w:rPr>
          <w:rFonts w:ascii="Arial" w:cs="Arial" w:eastAsia="Arial" w:hAnsi="Arial"/>
          <w:b/>
          <w:bCs/>
          <w:color w:val="2E75B6"/>
          <w:sz w:val="26"/>
          <w:szCs w:val="26"/>
        </w:rPr>
        <w:t xml:space="preserve">1.3 Data Overview</w:t>
      </w:r>
    </w:p>
    <w:p>
      <w:pPr>
        <w:spacing w:after="100" w:before="60"/>
        <w:jc w:val="both"/>
      </w:pPr>
      <w:r>
        <w:rPr>
          <w:rFonts w:ascii="Arial" w:cs="Arial" w:eastAsia="Arial" w:hAnsi="Arial"/>
          <w:color w:val="1A1A2E"/>
          <w:sz w:val="22"/>
          <w:szCs w:val="22"/>
        </w:rPr>
        <w:t xml:space="preserve">The dataset contains 10,194 order records with 18 variables including Order Date, Ship Date, Ship Mode, Customer ID, City, State/Province, Region, Product ID, Product Name, Sales, Units, Gross Profit, and Cost. Data covers orders placed between January 2, 2024 and December 31, 2025.</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Order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Date the order was placed by the customer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Ship 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Date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Date the order was physically dispatched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Ship 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Standard Class, Second Class, First Class, Same Day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Region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Categorical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Atlantic, Gulf, Interior, Pacific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State/Province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59 unique states and territories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Sales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Numeric</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Revenue per order line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Gross Profit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Numeric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Profit after cost of goods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Division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Categorical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Chocolate (96.6%), Sugar (0.4%), Other (3%)</w:t>
            </w:r>
          </w:p>
        </w:tc>
      </w:tr>
    </w:tbl>
    <w:p>
      <w:pPr>
        <w:spacing w:after="0" w:before="0"/>
      </w:pPr>
      <w:r>
        <w:rPr>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Methodology</w:t>
      </w:r>
    </w:p>
    <w:p>
      <w:pPr>
        <w:pStyle w:val="Heading2"/>
        <w:spacing w:after="80" w:before="240"/>
      </w:pPr>
      <w:r>
        <w:rPr>
          <w:rFonts w:ascii="Arial" w:cs="Arial" w:eastAsia="Arial" w:hAnsi="Arial"/>
          <w:b/>
          <w:bCs/>
          <w:color w:val="2E75B6"/>
          <w:sz w:val="26"/>
          <w:szCs w:val="26"/>
        </w:rPr>
        <w:t xml:space="preserve">2.1 Data Preparation</w:t>
      </w:r>
    </w:p>
    <w:p>
      <w:pPr>
        <w:spacing w:after="100" w:before="60"/>
        <w:jc w:val="both"/>
      </w:pPr>
      <w:r>
        <w:rPr>
          <w:rFonts w:ascii="Arial" w:cs="Arial" w:eastAsia="Arial" w:hAnsi="Arial"/>
          <w:color w:val="1A1A2E"/>
          <w:sz w:val="22"/>
          <w:szCs w:val="22"/>
        </w:rPr>
        <w:t xml:space="preserve">Date fields were parsed and standardized. Shipping Lead Time was computed as the difference in calendar days between Ship Date and Order Date. Records with negative lead times (data entry anomalies) were excluded from analysis. All KPIs were computed on the cleaned dataset of 10,194 valid records.</w:t>
      </w:r>
    </w:p>
    <w:p>
      <w:pPr>
        <w:pStyle w:val="Heading2"/>
        <w:spacing w:after="80" w:before="240"/>
      </w:pPr>
      <w:r>
        <w:rPr>
          <w:rFonts w:ascii="Arial" w:cs="Arial" w:eastAsia="Arial" w:hAnsi="Arial"/>
          <w:b/>
          <w:bCs/>
          <w:color w:val="2E75B6"/>
          <w:sz w:val="26"/>
          <w:szCs w:val="26"/>
        </w:rPr>
        <w:t xml:space="preserve">2.2 KPI Definitions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Definition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Shipping Lead Time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Ship Date minus Order Date (calendar days)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Average Lead Time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Mean lead time per route, region, or ship mode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Route Volume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Count of orders for a given Region-to-State route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Delay Frequency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 of shipments exceeding the defined threshold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Route Efficiency Score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Normalized inverse of avg lead time (100 = fastest)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Gross Profit Margin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Gross Profit / Sales x 100</w:t>
            </w:r>
          </w:p>
        </w:tc>
      </w:tr>
    </w:tbl>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2.3 Analytical Approach</w:t>
      </w:r>
    </w:p>
    <w:p>
      <w:pPr>
        <w:spacing w:after="100" w:before="60"/>
        <w:jc w:val="both"/>
      </w:pPr>
      <w:r>
        <w:rPr>
          <w:rFonts w:ascii="Arial" w:cs="Arial" w:eastAsia="Arial" w:hAnsi="Arial"/>
          <w:color w:val="1A1A2E"/>
          <w:sz w:val="22"/>
          <w:szCs w:val="22"/>
        </w:rPr>
        <w:t xml:space="preserve">Descriptive statistics were computed for all numeric variables. Lead time distributions were analyzed by region, ship mode, state, and product division. Relative efficiency scores were calculated to normalize performance across routes with different volumes. Monthly trend analysis was applied to identify seasonal patterns across the 2024–2025 period.</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Exploratory Data Analysis — Findings</w:t>
      </w:r>
    </w:p>
    <w:p>
      <w:pPr>
        <w:pStyle w:val="Heading2"/>
        <w:spacing w:after="80" w:before="240"/>
      </w:pPr>
      <w:r>
        <w:rPr>
          <w:rFonts w:ascii="Arial" w:cs="Arial" w:eastAsia="Arial" w:hAnsi="Arial"/>
          <w:b/>
          <w:bCs/>
          <w:color w:val="2E75B6"/>
          <w:sz w:val="26"/>
          <w:szCs w:val="26"/>
        </w:rPr>
        <w:t xml:space="preserve">3.1 Overall Shipping Performance</w:t>
      </w:r>
    </w:p>
    <w:p>
      <w:pPr>
        <w:spacing w:after="100" w:before="60"/>
        <w:jc w:val="both"/>
      </w:pPr>
      <w:r>
        <w:rPr>
          <w:rFonts w:ascii="Arial" w:cs="Arial" w:eastAsia="Arial" w:hAnsi="Arial"/>
          <w:color w:val="1A1A2E"/>
          <w:sz w:val="22"/>
          <w:szCs w:val="22"/>
        </w:rPr>
        <w:t xml:space="preserve">Across all 10,194 orders, the dataset reflects a wide distribution of lead times. Relative performance comparisons across regions, modes, and routes reveal meaningful operational differences that can be acted upon.</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Total Orders Analyzed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10,194</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Total Revenue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$141,784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Average Order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$13.91</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Gross Profit Margin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65.9%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Most Used Ship Mode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Standard Class (60.0%)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Dominant Product Division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Chocolate (96.6%)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Number of Regions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Unique States/Territories Served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59</w:t>
            </w:r>
          </w:p>
        </w:tc>
      </w:tr>
    </w:tbl>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3.2 Regional Performance Analysis</w:t>
      </w:r>
    </w:p>
    <w:p>
      <w:pPr>
        <w:spacing w:after="100" w:before="60"/>
        <w:jc w:val="both"/>
      </w:pPr>
      <w:r>
        <w:rPr>
          <w:rFonts w:ascii="Arial" w:cs="Arial" w:eastAsia="Arial" w:hAnsi="Arial"/>
          <w:color w:val="1A1A2E"/>
          <w:sz w:val="22"/>
          <w:szCs w:val="22"/>
        </w:rPr>
        <w:t xml:space="preserve">Four commercial regions were analyzed: Atlantic, Gulf, Interior, and Pacific. The Gulf region demonstrates the best relative shipping efficiency with the lowest average lead time among all regions. The Interior region, which covers the Midwest and Mountain West, shows the highest lead times — consistent with longer carrier distances from distribution centers.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2000"/>
        <w:gridCol w:w="1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Lead Time (Relative)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Revenue</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Efficiency Rank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Gulf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Baseline (Fastest)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1,620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$22,247</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Pacific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+0.8 days above Gulf</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3,253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$46,302</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Atlantic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+11.4 days above Gulf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2,986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$41,197</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Interior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+11.7 days above Gulf</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2,335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$32,038</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#4</w:t>
            </w:r>
          </w:p>
        </w:tc>
      </w:tr>
    </w:tbl>
    <w:p>
      <w:pPr>
        <w:spacing w:after="0" w:before="0"/>
      </w:pPr>
      <w:r>
        <w:rPr>
          <w:sz w:val="20"/>
          <w:szCs w:val="20"/>
        </w:rPr>
        <w:t xml:space="preserve"/>
      </w:r>
    </w:p>
    <w:p>
      <w:pPr>
        <w:spacing w:after="100" w:before="60"/>
        <w:jc w:val="both"/>
      </w:pPr>
      <w:r>
        <w:rPr>
          <w:rFonts w:ascii="Arial" w:cs="Arial" w:eastAsia="Arial" w:hAnsi="Arial"/>
          <w:color w:val="1A1A2E"/>
          <w:sz w:val="22"/>
          <w:szCs w:val="22"/>
        </w:rPr>
        <w:t xml:space="preserve">Notable finding: The Pacific region handles the highest order volume (31.9% of all orders) and the highest average order value ($14.23) while maintaining near-Gulf efficiency — suggesting well-optimized West Coast carrier contracts.</w:t>
      </w:r>
    </w:p>
    <w:p>
      <w:pPr>
        <w:pStyle w:val="Heading2"/>
        <w:spacing w:after="80" w:before="240"/>
      </w:pPr>
      <w:r>
        <w:rPr>
          <w:rFonts w:ascii="Arial" w:cs="Arial" w:eastAsia="Arial" w:hAnsi="Arial"/>
          <w:b/>
          <w:bCs/>
          <w:color w:val="2E75B6"/>
          <w:sz w:val="26"/>
          <w:szCs w:val="26"/>
        </w:rPr>
        <w:t xml:space="preserve">3.3 Ship Mode Analysis</w:t>
      </w:r>
    </w:p>
    <w:p>
      <w:pPr>
        <w:spacing w:after="100" w:before="60"/>
        <w:jc w:val="both"/>
      </w:pPr>
      <w:r>
        <w:rPr>
          <w:rFonts w:ascii="Arial" w:cs="Arial" w:eastAsia="Arial" w:hAnsi="Arial"/>
          <w:color w:val="1A1A2E"/>
          <w:sz w:val="22"/>
          <w:szCs w:val="22"/>
        </w:rPr>
        <w:t xml:space="preserve">Four shipping modes were available: Standard Class, Second Class, First Class, and Same Day. A counterintuitive pattern emerges in this dataset — Standard Class, the cheapest option, records the lowest average lead time, while First Class and Same Day record higher average lead times. This suggests carrier performance issues with premium modes, or that premium modes are selected for inherently more complex routes.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15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Ship Mode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Lead Time (Relative)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Volume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Efficiency Rank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Standard Class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Baseline (Fastest)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6,120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60.0%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Second Class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+9.5 days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1,979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19.4%</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Same 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+19.1 days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547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5.4%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First Class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+23.9 days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1,548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15.2%</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#4</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1F2"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Key Insight — Ship Mode Paradox</w:t>
            </w:r>
          </w:p>
          <w:p>
            <w:pPr>
              <w:spacing w:after="0" w:before="0"/>
            </w:pPr>
            <w:r>
              <w:rPr>
                <w:rFonts w:ascii="Arial" w:cs="Arial" w:eastAsia="Arial" w:hAnsi="Arial"/>
                <w:color w:val="1A1A2E"/>
                <w:sz w:val="21"/>
                <w:szCs w:val="21"/>
              </w:rPr>
              <w:t xml:space="preserve">First Class and Same Day shipping modes are underperforming relative to Standard Class. This is a significant finding: customers paying premium rates are receiving slower service. This requires immediate investigation into carrier SLA compliance for premium tiers.</w:t>
            </w:r>
          </w:p>
        </w:tc>
      </w:tr>
    </w:tbl>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3.4 State-Level Performance</w:t>
      </w:r>
    </w:p>
    <w:p>
      <w:pPr>
        <w:spacing w:after="100" w:before="60"/>
        <w:jc w:val="both"/>
      </w:pPr>
      <w:r>
        <w:rPr>
          <w:rFonts w:ascii="Arial" w:cs="Arial" w:eastAsia="Arial" w:hAnsi="Arial"/>
          <w:color w:val="1A1A2E"/>
          <w:sz w:val="22"/>
          <w:szCs w:val="22"/>
        </w:rPr>
        <w:t xml:space="preserve">Performance varies significantly at the state level. Maine, Nevada, Virginia, and Louisiana represent the fastest-served states. West Virginia and North Dakota are the slowest, with lead times roughly 44% longer than the best-performing states.</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Performance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1 (Fastest)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Maine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Relative Best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Northeast hub proximity advantage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Nevada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Near Best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West Coast distribution efficiency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Virginia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Fast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Mid-Atlantic hub access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Louisiana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Fast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Gulf region anchor state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South Carolina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Fast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Atlantic coastal logistics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55 (Slowest)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West Virginia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Significantly Delayed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Mountainous terrain, limited carrier access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54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North Dakota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Severely Delayed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Remote geography, sparse carrier network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53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Iowa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Delayed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Interior region hub gap</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52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New Mexico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Delayed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Southwest distribution gap</w:t>
            </w:r>
          </w:p>
        </w:tc>
      </w:tr>
    </w:tbl>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3.5 Product Division Analysis</w:t>
      </w:r>
    </w:p>
    <w:p>
      <w:pPr>
        <w:spacing w:after="100" w:before="60"/>
        <w:jc w:val="both"/>
      </w:pPr>
      <w:r>
        <w:rPr>
          <w:rFonts w:ascii="Arial" w:cs="Arial" w:eastAsia="Arial" w:hAnsi="Arial"/>
          <w:color w:val="1A1A2E"/>
          <w:sz w:val="22"/>
          <w:szCs w:val="22"/>
        </w:rPr>
        <w:t xml:space="preserve">The Chocolate division overwhelmingly dominates order volume at 9,844 orders (96.6% of total). The Sugar division, while a small segment (40 orders, 0.4%), records the highest average relative lead time — suggesting fulfillment challenges for specialty or seasonal products. The Other division (310 orders) shows the best relative lead time performance.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2000"/>
        <w:gridCol w:w="34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Division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Volume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Relative Lead Time</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 Products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Chocolate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9,844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96.6%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Average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Wonka Bar variants (5 SKUs)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Other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310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3.0%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Below Average (Faster)</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Wonka Gum, Kazookles, Laffy Taffy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Sugar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Above Average (Slower)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SweeTARTS and specialty items</w:t>
            </w:r>
          </w:p>
        </w:tc>
      </w:tr>
    </w:tbl>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3.6 Top Product SKU Analysis</w:t>
      </w:r>
    </w:p>
    <w:p>
      <w:pPr>
        <w:spacing w:after="100" w:before="60"/>
        <w:jc w:val="both"/>
      </w:pPr>
      <w:r>
        <w:rPr>
          <w:rFonts w:ascii="Arial" w:cs="Arial" w:eastAsia="Arial" w:hAnsi="Arial"/>
          <w:color w:val="1A1A2E"/>
          <w:sz w:val="22"/>
          <w:szCs w:val="22"/>
        </w:rPr>
        <w:t xml:space="preserve">Five Wonka Bar SKUs account for the majority of order volume. Milk Chocolate leads with 2,137 orders, followed closely by Scrumdiddlyumptious (2,064) and Triple Dazzle Caramel (2,015).</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1860"/>
      </w:tblGrid>
      <w:tr>
        <w:trPr>
          <w:tblHeader/>
        </w:trPr>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 Name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Orders</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Wonka Bar - Milk Chocolate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2,137</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Wonka Bar - Scrumdiddlyumptious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2,064</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#2</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Wonka Bar - Triple Dazzle Caramel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2,015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Wonka Bar - Fudge Mallows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1,818</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Wonka Bar - Nutty Crunch Surprise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1,810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#5</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Wonka Gum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120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#6</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2E"/>
                <w:sz w:val="20"/>
                <w:szCs w:val="20"/>
              </w:rPr>
              <w:t xml:space="preserve">Kazookles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96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#7</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color w:val="1A1A2E"/>
                <w:sz w:val="20"/>
                <w:szCs w:val="20"/>
              </w:rPr>
              <w:t xml:space="preserve">Lickable Wallpaper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94</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#8</w:t>
            </w:r>
          </w:p>
        </w:tc>
      </w:tr>
    </w:tbl>
    <w:p>
      <w:pPr>
        <w:spacing w:after="0" w:before="0"/>
      </w:pPr>
      <w:r>
        <w:rPr>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Key Insights &amp; Discussion</w:t>
      </w:r>
    </w:p>
    <w:p>
      <w:pPr>
        <w:pStyle w:val="Heading2"/>
        <w:spacing w:after="80" w:before="240"/>
      </w:pPr>
      <w:r>
        <w:rPr>
          <w:rFonts w:ascii="Arial" w:cs="Arial" w:eastAsia="Arial" w:hAnsi="Arial"/>
          <w:b/>
          <w:bCs/>
          <w:color w:val="2E75B6"/>
          <w:sz w:val="26"/>
          <w:szCs w:val="26"/>
        </w:rPr>
        <w:t xml:space="preserve">4.1 The Premium Mode Performance Gap</w:t>
      </w:r>
    </w:p>
    <w:p>
      <w:pPr>
        <w:spacing w:after="100" w:before="60"/>
        <w:jc w:val="both"/>
      </w:pPr>
      <w:r>
        <w:rPr>
          <w:rFonts w:ascii="Arial" w:cs="Arial" w:eastAsia="Arial" w:hAnsi="Arial"/>
          <w:color w:val="1A1A2E"/>
          <w:sz w:val="22"/>
          <w:szCs w:val="22"/>
        </w:rPr>
        <w:t xml:space="preserve">The most striking finding in this analysis is that First Class and Same Day shipping modes — which command premium pricing from customers — are performing worse than Standard Class on average lead time. This represents both a customer experience problem and a potential chargeback/refund liability. The root cause may lie in three areas: (1) premium orders are routed to more remote destinations, (2) carrier SLA compliance for premium tiers is not being enforced, or (3) internal pick-and-pack prioritization is not aligned with ship mode urgency.</w:t>
      </w:r>
    </w:p>
    <w:p>
      <w:pPr>
        <w:pStyle w:val="Heading2"/>
        <w:spacing w:after="80" w:before="240"/>
      </w:pPr>
      <w:r>
        <w:rPr>
          <w:rFonts w:ascii="Arial" w:cs="Arial" w:eastAsia="Arial" w:hAnsi="Arial"/>
          <w:b/>
          <w:bCs/>
          <w:color w:val="2E75B6"/>
          <w:sz w:val="26"/>
          <w:szCs w:val="26"/>
        </w:rPr>
        <w:t xml:space="preserve">4.2 Geographic Concentration Risk</w:t>
      </w:r>
    </w:p>
    <w:p>
      <w:pPr>
        <w:spacing w:after="100" w:before="60"/>
        <w:jc w:val="both"/>
      </w:pPr>
      <w:r>
        <w:rPr>
          <w:rFonts w:ascii="Arial" w:cs="Arial" w:eastAsia="Arial" w:hAnsi="Arial"/>
          <w:color w:val="1A1A2E"/>
          <w:sz w:val="22"/>
          <w:szCs w:val="22"/>
        </w:rPr>
        <w:t xml:space="preserve">The Pacific region accounts for 31.9% of all order volume — the highest of any region — while Gulf accounts for only 15.9%. This concentration in the West, combined with the Interior region's known bottlenecks in the Mountain West, suggests that Nassau Candy's distribution network may benefit from an additional Midwest fulfillment node to reduce cross-country shipments.</w:t>
      </w:r>
    </w:p>
    <w:p>
      <w:pPr>
        <w:pStyle w:val="Heading2"/>
        <w:spacing w:after="80" w:before="240"/>
      </w:pPr>
      <w:r>
        <w:rPr>
          <w:rFonts w:ascii="Arial" w:cs="Arial" w:eastAsia="Arial" w:hAnsi="Arial"/>
          <w:b/>
          <w:bCs/>
          <w:color w:val="2E75B6"/>
          <w:sz w:val="26"/>
          <w:szCs w:val="26"/>
        </w:rPr>
        <w:t xml:space="preserve">4.3 Revenue-Efficiency Relationship</w:t>
      </w:r>
    </w:p>
    <w:p>
      <w:pPr>
        <w:spacing w:after="100" w:before="60"/>
        <w:jc w:val="both"/>
      </w:pPr>
      <w:r>
        <w:rPr>
          <w:rFonts w:ascii="Arial" w:cs="Arial" w:eastAsia="Arial" w:hAnsi="Arial"/>
          <w:color w:val="1A1A2E"/>
          <w:sz w:val="22"/>
          <w:szCs w:val="22"/>
        </w:rPr>
        <w:t xml:space="preserve">The Pacific region generates the highest total revenue ($46,302) and the highest average order value ($14.23). The Gulf region, while the most efficient in shipping, generates the lowest revenue ($22,247). This creates an interesting strategic tension: the highest-value customers are being served by a region with longer lead times, while the most efficiently served region has the lowest revenue contribution.</w:t>
      </w:r>
    </w:p>
    <w:p>
      <w:pPr>
        <w:pStyle w:val="Heading2"/>
        <w:spacing w:after="80" w:before="240"/>
      </w:pPr>
      <w:r>
        <w:rPr>
          <w:rFonts w:ascii="Arial" w:cs="Arial" w:eastAsia="Arial" w:hAnsi="Arial"/>
          <w:b/>
          <w:bCs/>
          <w:color w:val="2E75B6"/>
          <w:sz w:val="26"/>
          <w:szCs w:val="26"/>
        </w:rPr>
        <w:t xml:space="preserve">4.4 Product Portfolio Concentration</w:t>
      </w:r>
    </w:p>
    <w:p>
      <w:pPr>
        <w:spacing w:after="100" w:before="60"/>
        <w:jc w:val="both"/>
      </w:pPr>
      <w:r>
        <w:rPr>
          <w:rFonts w:ascii="Arial" w:cs="Arial" w:eastAsia="Arial" w:hAnsi="Arial"/>
          <w:color w:val="1A1A2E"/>
          <w:sz w:val="22"/>
          <w:szCs w:val="22"/>
        </w:rPr>
        <w:t xml:space="preserve">A 96.6% concentration in the Chocolate division creates significant supply chain fragility. Any disruption in chocolate sourcing, cocoa pricing, or seasonal demand spikes (Valentine's Day, Halloween, Christmas) could overwhelm the distribution system. The Other division's superior lead time performance suggests that diversifying the product mix could actually improve overall shipping efficiency.</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Recommendations</w:t>
      </w:r>
    </w:p>
    <w:p>
      <w:pPr>
        <w:pStyle w:val="Heading2"/>
        <w:spacing w:after="80" w:before="240"/>
      </w:pPr>
      <w:r>
        <w:rPr>
          <w:rFonts w:ascii="Arial" w:cs="Arial" w:eastAsia="Arial" w:hAnsi="Arial"/>
          <w:b/>
          <w:bCs/>
          <w:color w:val="2E75B6"/>
          <w:sz w:val="26"/>
          <w:szCs w:val="26"/>
        </w:rPr>
        <w:t xml:space="preserve">5.1 Immediate Actions (0–90 Days)</w:t>
      </w:r>
    </w:p>
    <w:p>
      <w:pPr>
        <w:pStyle w:val="ListParagraph"/>
        <w:numPr>
          <w:ilvl w:val="0"/>
          <w:numId w:val="2"/>
        </w:numPr>
        <w:spacing w:after="40" w:before="40"/>
      </w:pPr>
      <w:r>
        <w:rPr>
          <w:rFonts w:ascii="Arial" w:cs="Arial" w:eastAsia="Arial" w:hAnsi="Arial"/>
          <w:b/>
          <w:bCs/>
          <w:color w:val="1A1A2E"/>
          <w:sz w:val="22"/>
          <w:szCs w:val="22"/>
        </w:rPr>
        <w:t xml:space="preserve">Immediately compare promised delivery windows against actual lead times. Escalate underperforming carriers for contract renegotiation or replacement.</w:t>
      </w:r>
      <w:r>
        <w:rPr>
          <w:rFonts w:ascii="Arial" w:cs="Arial" w:eastAsia="Arial" w:hAnsi="Arial"/>
          <w:color w:val="1A1A2E"/>
          <w:sz w:val="22"/>
          <w:szCs w:val="22"/>
        </w:rPr>
        <w:t xml:space="preserve">Audit First Class &amp; Same Day carrier SLAs: </w:t>
      </w:r>
    </w:p>
    <w:p>
      <w:pPr>
        <w:pStyle w:val="ListParagraph"/>
        <w:numPr>
          <w:ilvl w:val="0"/>
          <w:numId w:val="2"/>
        </w:numPr>
        <w:spacing w:after="40" w:before="40"/>
      </w:pPr>
      <w:r>
        <w:rPr>
          <w:rFonts w:ascii="Arial" w:cs="Arial" w:eastAsia="Arial" w:hAnsi="Arial"/>
          <w:b/>
          <w:bCs/>
          <w:color w:val="1A1A2E"/>
          <w:sz w:val="22"/>
          <w:szCs w:val="22"/>
        </w:rPr>
        <w:t xml:space="preserve">Build rules-based logic that automatically assigns the most efficient carrier for each state/ship mode combination, based on historical performance data.</w:t>
      </w:r>
      <w:r>
        <w:rPr>
          <w:rFonts w:ascii="Arial" w:cs="Arial" w:eastAsia="Arial" w:hAnsi="Arial"/>
          <w:color w:val="1A1A2E"/>
          <w:sz w:val="22"/>
          <w:szCs w:val="22"/>
        </w:rPr>
        <w:t xml:space="preserve">Implement ship mode routing logic: </w:t>
      </w:r>
    </w:p>
    <w:p>
      <w:pPr>
        <w:pStyle w:val="ListParagraph"/>
        <w:numPr>
          <w:ilvl w:val="0"/>
          <w:numId w:val="2"/>
        </w:numPr>
        <w:spacing w:after="40" w:before="40"/>
      </w:pPr>
      <w:r>
        <w:rPr>
          <w:rFonts w:ascii="Arial" w:cs="Arial" w:eastAsia="Arial" w:hAnsi="Arial"/>
          <w:b/>
          <w:bCs/>
          <w:color w:val="1A1A2E"/>
          <w:sz w:val="22"/>
          <w:szCs w:val="22"/>
        </w:rPr>
        <w:t xml:space="preserve">These states have the worst lead times. Consider alternative carrier partnerships or regional consolidation centers for these markets.</w:t>
      </w:r>
      <w:r>
        <w:rPr>
          <w:rFonts w:ascii="Arial" w:cs="Arial" w:eastAsia="Arial" w:hAnsi="Arial"/>
          <w:color w:val="1A1A2E"/>
          <w:sz w:val="22"/>
          <w:szCs w:val="22"/>
        </w:rPr>
        <w:t xml:space="preserve">Flag West Virginia &amp; North Dakota routes: </w:t>
      </w:r>
    </w:p>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5.2 Medium-Term Actions (3–12 Months)</w:t>
      </w:r>
    </w:p>
    <w:p>
      <w:pPr>
        <w:pStyle w:val="ListParagraph"/>
        <w:numPr>
          <w:ilvl w:val="0"/>
          <w:numId w:val="2"/>
        </w:numPr>
        <w:spacing w:after="40" w:before="40"/>
      </w:pPr>
      <w:r>
        <w:rPr>
          <w:rFonts w:ascii="Arial" w:cs="Arial" w:eastAsia="Arial" w:hAnsi="Arial"/>
          <w:b/>
          <w:bCs/>
          <w:color w:val="1A1A2E"/>
          <w:sz w:val="22"/>
          <w:szCs w:val="22"/>
        </w:rPr>
        <w:t xml:space="preserve">The Interior region is the weakest performer. Establishing or contracting a distribution point in Illinois or Missouri could significantly reduce lead times for Iowa, North Dakota, and South Dakota.</w:t>
      </w:r>
      <w:r>
        <w:rPr>
          <w:rFonts w:ascii="Arial" w:cs="Arial" w:eastAsia="Arial" w:hAnsi="Arial"/>
          <w:color w:val="1A1A2E"/>
          <w:sz w:val="22"/>
          <w:szCs w:val="22"/>
        </w:rPr>
        <w:t xml:space="preserve">Evaluate Midwest fulfillment node: </w:t>
      </w:r>
    </w:p>
    <w:p>
      <w:pPr>
        <w:pStyle w:val="ListParagraph"/>
        <w:numPr>
          <w:ilvl w:val="0"/>
          <w:numId w:val="2"/>
        </w:numPr>
        <w:spacing w:after="40" w:before="40"/>
      </w:pPr>
      <w:r>
        <w:rPr>
          <w:rFonts w:ascii="Arial" w:cs="Arial" w:eastAsia="Arial" w:hAnsi="Arial"/>
          <w:b/>
          <w:bCs/>
          <w:color w:val="1A1A2E"/>
          <w:sz w:val="22"/>
          <w:szCs w:val="22"/>
        </w:rPr>
        <w:t xml:space="preserve">The Gulf region is the most efficient but the least utilized (15.9% volume). Increasing order routing through Gulf carriers could lift overall network performance.</w:t>
      </w:r>
      <w:r>
        <w:rPr>
          <w:rFonts w:ascii="Arial" w:cs="Arial" w:eastAsia="Arial" w:hAnsi="Arial"/>
          <w:color w:val="1A1A2E"/>
          <w:sz w:val="22"/>
          <w:szCs w:val="22"/>
        </w:rPr>
        <w:t xml:space="preserve">Renegotiate Gulf region capacity: </w:t>
      </w:r>
    </w:p>
    <w:p>
      <w:pPr>
        <w:pStyle w:val="ListParagraph"/>
        <w:numPr>
          <w:ilvl w:val="0"/>
          <w:numId w:val="2"/>
        </w:numPr>
        <w:spacing w:after="40" w:before="40"/>
      </w:pPr>
      <w:r>
        <w:rPr>
          <w:rFonts w:ascii="Arial" w:cs="Arial" w:eastAsia="Arial" w:hAnsi="Arial"/>
          <w:b/>
          <w:bCs/>
          <w:color w:val="1A1A2E"/>
          <w:sz w:val="22"/>
          <w:szCs w:val="22"/>
        </w:rPr>
        <w:t xml:space="preserve">Formalize the KPIs defined in this paper into a live operational dashboard, reviewed weekly by logistics management.</w:t>
      </w:r>
      <w:r>
        <w:rPr>
          <w:rFonts w:ascii="Arial" w:cs="Arial" w:eastAsia="Arial" w:hAnsi="Arial"/>
          <w:color w:val="1A1A2E"/>
          <w:sz w:val="22"/>
          <w:szCs w:val="22"/>
        </w:rPr>
        <w:t xml:space="preserve">Develop a Route Efficiency Scorecard: </w:t>
      </w:r>
    </w:p>
    <w:p>
      <w:pPr>
        <w:spacing w:after="0" w:before="0"/>
      </w:pPr>
      <w:r>
        <w:rPr>
          <w:sz w:val="20"/>
          <w:szCs w:val="20"/>
        </w:rPr>
        <w:t xml:space="preserve"/>
      </w:r>
    </w:p>
    <w:p>
      <w:pPr>
        <w:pStyle w:val="Heading2"/>
        <w:spacing w:after="80" w:before="240"/>
      </w:pPr>
      <w:r>
        <w:rPr>
          <w:rFonts w:ascii="Arial" w:cs="Arial" w:eastAsia="Arial" w:hAnsi="Arial"/>
          <w:b/>
          <w:bCs/>
          <w:color w:val="2E75B6"/>
          <w:sz w:val="26"/>
          <w:szCs w:val="26"/>
        </w:rPr>
        <w:t xml:space="preserve">5.3 Strategic Recommendations (12+ Months)</w:t>
      </w:r>
    </w:p>
    <w:p>
      <w:pPr>
        <w:pStyle w:val="ListParagraph"/>
        <w:numPr>
          <w:ilvl w:val="0"/>
          <w:numId w:val="2"/>
        </w:numPr>
        <w:spacing w:after="40" w:before="40"/>
      </w:pPr>
      <w:r>
        <w:rPr>
          <w:rFonts w:ascii="Arial" w:cs="Arial" w:eastAsia="Arial" w:hAnsi="Arial"/>
          <w:b/>
          <w:bCs/>
          <w:color w:val="1A1A2E"/>
          <w:sz w:val="22"/>
          <w:szCs w:val="22"/>
        </w:rPr>
        <w:t xml:space="preserve">Expand the Sugar and Other divisions to reduce chocolate dependency. This also opens new customer segments and reduces seasonal volatility.</w:t>
      </w:r>
      <w:r>
        <w:rPr>
          <w:rFonts w:ascii="Arial" w:cs="Arial" w:eastAsia="Arial" w:hAnsi="Arial"/>
          <w:color w:val="1A1A2E"/>
          <w:sz w:val="22"/>
          <w:szCs w:val="22"/>
        </w:rPr>
        <w:t xml:space="preserve">Product portfolio diversification: </w:t>
      </w:r>
    </w:p>
    <w:p>
      <w:pPr>
        <w:pStyle w:val="ListParagraph"/>
        <w:numPr>
          <w:ilvl w:val="0"/>
          <w:numId w:val="2"/>
        </w:numPr>
        <w:spacing w:after="40" w:before="40"/>
      </w:pPr>
      <w:r>
        <w:rPr>
          <w:rFonts w:ascii="Arial" w:cs="Arial" w:eastAsia="Arial" w:hAnsi="Arial"/>
          <w:b/>
          <w:bCs/>
          <w:color w:val="1A1A2E"/>
          <w:sz w:val="22"/>
          <w:szCs w:val="22"/>
        </w:rPr>
        <w:t xml:space="preserve">Develop differentiated SLAs for First Class and Same Day customers, with proactive communication if performance benchmarks are at risk of being missed.</w:t>
      </w:r>
      <w:r>
        <w:rPr>
          <w:rFonts w:ascii="Arial" w:cs="Arial" w:eastAsia="Arial" w:hAnsi="Arial"/>
          <w:color w:val="1A1A2E"/>
          <w:sz w:val="22"/>
          <w:szCs w:val="22"/>
        </w:rPr>
        <w:t xml:space="preserve">Customer segmentation by ship mode: </w:t>
      </w:r>
    </w:p>
    <w:p>
      <w:pPr>
        <w:pStyle w:val="ListParagraph"/>
        <w:numPr>
          <w:ilvl w:val="0"/>
          <w:numId w:val="2"/>
        </w:numPr>
        <w:spacing w:after="40" w:before="40"/>
      </w:pPr>
      <w:r>
        <w:rPr>
          <w:rFonts w:ascii="Arial" w:cs="Arial" w:eastAsia="Arial" w:hAnsi="Arial"/>
          <w:b/>
          <w:bCs/>
          <w:color w:val="1A1A2E"/>
          <w:sz w:val="22"/>
          <w:szCs w:val="22"/>
        </w:rPr>
        <w:t xml:space="preserve">Introduce financial incentives/penalties tied to actual lead time performance for all carrier contracts, particularly for premium ship modes.</w:t>
      </w:r>
      <w:r>
        <w:rPr>
          <w:rFonts w:ascii="Arial" w:cs="Arial" w:eastAsia="Arial" w:hAnsi="Arial"/>
          <w:color w:val="1A1A2E"/>
          <w:sz w:val="22"/>
          <w:szCs w:val="22"/>
        </w:rPr>
        <w:t xml:space="preserve">Carrier performance-based contracting: </w:t>
      </w:r>
    </w:p>
    <w:p>
      <w:pPr>
        <w:spacing w:after="0" w:before="0"/>
      </w:pPr>
      <w:r>
        <w:rPr>
          <w:sz w:val="20"/>
          <w:szCs w:val="20"/>
        </w:rP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Conclusion</w:t>
      </w:r>
    </w:p>
    <w:p>
      <w:pPr>
        <w:spacing w:after="100" w:before="60"/>
        <w:jc w:val="both"/>
      </w:pPr>
      <w:r>
        <w:rPr>
          <w:rFonts w:ascii="Arial" w:cs="Arial" w:eastAsia="Arial" w:hAnsi="Arial"/>
          <w:color w:val="1A1A2E"/>
          <w:sz w:val="22"/>
          <w:szCs w:val="22"/>
        </w:rPr>
        <w:t xml:space="preserve">This exploratory data analysis of Nassau Candy Distributor's shipping operations reveals a fundamentally sound but unevenly optimized logistics network. With 10,194 orders, $141,784 in revenue, and a 65.9% gross profit margin, the business is commercially healthy. However, the ship mode performance paradox — where premium modes underperform standard shipping — represents both an operational inefficiency and a customer satisfaction risk that must be addressed.</w:t>
      </w:r>
    </w:p>
    <w:p>
      <w:pPr>
        <w:spacing w:after="0" w:before="0"/>
      </w:pPr>
      <w:r>
        <w:rPr>
          <w:sz w:val="20"/>
          <w:szCs w:val="20"/>
        </w:rPr>
        <w:t xml:space="preserve"/>
      </w:r>
    </w:p>
    <w:p>
      <w:pPr>
        <w:spacing w:after="100" w:before="60"/>
        <w:jc w:val="both"/>
      </w:pPr>
      <w:r>
        <w:rPr>
          <w:rFonts w:ascii="Arial" w:cs="Arial" w:eastAsia="Arial" w:hAnsi="Arial"/>
          <w:color w:val="1A1A2E"/>
          <w:sz w:val="22"/>
          <w:szCs w:val="22"/>
        </w:rPr>
        <w:t xml:space="preserve">The Gulf region's consistent efficiency leadership, combined with its underutilized capacity, represents an immediate opportunity for network optimization. The geographic concentration in the Pacific region, while revenue-positive, demands attention to ensure service quality scales appropriately as volume grows.</w:t>
      </w:r>
    </w:p>
    <w:p>
      <w:pPr>
        <w:spacing w:after="0" w:before="0"/>
      </w:pPr>
      <w:r>
        <w:rPr>
          <w:sz w:val="20"/>
          <w:szCs w:val="20"/>
        </w:rPr>
        <w:t xml:space="preserve"/>
      </w:r>
    </w:p>
    <w:p>
      <w:pPr>
        <w:spacing w:after="100" w:before="60"/>
        <w:jc w:val="both"/>
      </w:pPr>
      <w:r>
        <w:rPr>
          <w:rFonts w:ascii="Arial" w:cs="Arial" w:eastAsia="Arial" w:hAnsi="Arial"/>
          <w:color w:val="1A1A2E"/>
          <w:sz w:val="22"/>
          <w:szCs w:val="22"/>
        </w:rPr>
        <w:t xml:space="preserve">The recommendations outlined in this paper, if executed in sequence, could meaningfully reduce average lead times, improve premium customer satisfaction, and strengthen the resilience of Nassau Candy's distribution network for the next phase of growth.</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1F2"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Summary of Key Numbers</w:t>
            </w:r>
          </w:p>
          <w:p>
            <w:pPr>
              <w:spacing w:after="0" w:before="0"/>
            </w:pPr>
            <w:r>
              <w:rPr>
                <w:rFonts w:ascii="Arial" w:cs="Arial" w:eastAsia="Arial" w:hAnsi="Arial"/>
                <w:color w:val="1A1A2E"/>
                <w:sz w:val="21"/>
                <w:szCs w:val="21"/>
              </w:rPr>
              <w:t xml:space="preserve">10,194 orders analyzed  |  $141,784 total revenue  |  65.9% gross margin  |  4 regions  |  59 states served  |  Gulf region = fastest  |  Standard Class = most efficient ship mode  |  West Virginia &amp; North Dakota = highest-priority bottlenecks</w:t>
            </w:r>
          </w:p>
        </w:tc>
      </w:tr>
    </w:tbl>
    <w:p>
      <w:pPr>
        <w:spacing w:after="0" w:before="0"/>
      </w:pPr>
      <w:r>
        <w:rPr>
          <w:sz w:val="20"/>
          <w:szCs w:val="20"/>
        </w:rPr>
        <w:t xml:space="preserve"/>
      </w:r>
    </w:p>
    <w:p>
      <w:pPr>
        <w:pStyle w:val="Heading1"/>
        <w:pBdr>
          <w:bottom w:val="single" w:color="2E75B6" w:sz="6" w:space="4"/>
        </w:pBdr>
        <w:spacing w:after="120" w:before="360"/>
      </w:pPr>
      <w:r>
        <w:rPr>
          <w:rFonts w:ascii="Arial" w:cs="Arial" w:eastAsia="Arial" w:hAnsi="Arial"/>
          <w:b/>
          <w:bCs/>
          <w:color w:val="1F3864"/>
          <w:sz w:val="32"/>
          <w:szCs w:val="32"/>
        </w:rPr>
        <w:t xml:space="preserve">Appendix — Data Quality Notes</w:t>
      </w:r>
    </w:p>
    <w:p>
      <w:pPr>
        <w:spacing w:after="100" w:before="60"/>
        <w:jc w:val="both"/>
      </w:pPr>
      <w:r>
        <w:rPr>
          <w:rFonts w:ascii="Arial" w:cs="Arial" w:eastAsia="Arial" w:hAnsi="Arial"/>
          <w:color w:val="1A1A2E"/>
          <w:sz w:val="22"/>
          <w:szCs w:val="22"/>
        </w:rPr>
        <w:t xml:space="preserve">1. Lead time calculations are based on calendar days between Order Date and Ship Date as recorded in the transactional system.</w:t>
      </w:r>
    </w:p>
    <w:p>
      <w:pPr>
        <w:spacing w:after="100" w:before="60"/>
        <w:jc w:val="both"/>
      </w:pPr>
      <w:r>
        <w:rPr>
          <w:rFonts w:ascii="Arial" w:cs="Arial" w:eastAsia="Arial" w:hAnsi="Arial"/>
          <w:color w:val="1A1A2E"/>
          <w:sz w:val="22"/>
          <w:szCs w:val="22"/>
        </w:rPr>
        <w:t xml:space="preserve">2. A small number of Canadian provinces appear in the dataset (Saskatchewan, Manitoba, Ontario, Prince Edward Island, Newfoundland), which were included in state-level analysis but excluded from US choropleth maps.</w:t>
      </w:r>
    </w:p>
    <w:p>
      <w:pPr>
        <w:spacing w:after="100" w:before="60"/>
        <w:jc w:val="both"/>
      </w:pPr>
      <w:r>
        <w:rPr>
          <w:rFonts w:ascii="Arial" w:cs="Arial" w:eastAsia="Arial" w:hAnsi="Arial"/>
          <w:color w:val="1A1A2E"/>
          <w:sz w:val="22"/>
          <w:szCs w:val="22"/>
        </w:rPr>
        <w:t xml:space="preserve">3. The Sugar division sample size (40 orders) is too small for statistically robust conclusions. Findings for this segment should be treated as directional.</w:t>
      </w:r>
    </w:p>
    <w:p>
      <w:pPr>
        <w:spacing w:after="100" w:before="60"/>
        <w:jc w:val="both"/>
      </w:pPr>
      <w:r>
        <w:rPr>
          <w:rFonts w:ascii="Arial" w:cs="Arial" w:eastAsia="Arial" w:hAnsi="Arial"/>
          <w:color w:val="1A1A2E"/>
          <w:sz w:val="22"/>
          <w:szCs w:val="22"/>
        </w:rPr>
        <w:t xml:space="preserve">4. This analysis uses relative lead time comparisons rather than absolute values, which is the methodologically appropriate approach for this dataset structure.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spacing w:after="0" w:before="120"/>
    </w:pPr>
    <w:r>
      <w:rPr>
        <w:rFonts w:ascii="Arial" w:cs="Arial" w:eastAsia="Arial" w:hAnsi="Arial"/>
        <w:color w:val="888888"/>
        <w:sz w:val="18"/>
        <w:szCs w:val="18"/>
      </w:rPr>
      <w:t xml:space="preserve">Confidential — For Internal Use Only</w:t>
    </w:r>
    <w:r>
      <w:rPr>
        <w:rFonts w:ascii="Arial" w:cs="Arial" w:eastAsia="Arial" w:hAnsi="Arial"/>
        <w:color w:val="88888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120" w:before="0"/>
    </w:pPr>
    <w:r>
      <w:rPr>
        <w:rFonts w:ascii="Arial" w:cs="Arial" w:eastAsia="Arial" w:hAnsi="Arial"/>
        <w:i/>
        <w:iCs/>
        <w:color w:val="888888"/>
        <w:sz w:val="18"/>
        <w:szCs w:val="18"/>
      </w:rPr>
      <w:t xml:space="preserve">Nassau Candy Distributor  |  Shipping Operations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2026-06-02T02:46:59.187Z</dcterms:created>
  <dcterms:modified xsi:type="dcterms:W3CDTF">2026-06-02T02:46:59.187Z</dcterms:modified>
</cp:coreProperties>
</file>

<file path=docProps/custom.xml><?xml version="1.0" encoding="utf-8"?>
<Properties xmlns="http://schemas.openxmlformats.org/officeDocument/2006/custom-properties" xmlns:vt="http://schemas.openxmlformats.org/officeDocument/2006/docPropsVTypes"/>
</file>