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80"/>
        <w:gridCol w:w="2800"/>
      </w:tblGrid>
      <w:tr>
        <w:tc>
          <w:tcPr>
            <w:tcW w:type="dxa" w:w="7280"/>
            <w:tcBorders>
              <w:top w:val="none"/>
              <w:left w:val="none"/>
              <w:bottom w:val="single" w:color="C9A84C" w:sz="12"/>
              <w:right w:val="none"/>
            </w:tcBorders>
            <w:shd w:fill="1F3864" w:val="clear"/>
            <w:tcMar>
              <w:top w:type="dxa" w:w="200"/>
              <w:left w:type="dxa" w:w="300"/>
              <w:bottom w:type="dxa" w:w="200"/>
              <w:right w:type="dxa" w:w="300"/>
            </w:tcMar>
          </w:tcPr>
          <w:p>
            <w:r>
              <w:rPr>
                <w:rFonts w:ascii="Arial" w:cs="Arial" w:eastAsia="Arial" w:hAnsi="Arial"/>
                <w:b/>
                <w:bCs/>
                <w:color w:val="FFFFFF"/>
                <w:sz w:val="36"/>
                <w:szCs w:val="36"/>
              </w:rPr>
              <w:t xml:space="preserve">NASSAU CANDY DISTRIBUTOR</w:t>
            </w:r>
          </w:p>
          <w:p>
            <w:pPr>
              <w:spacing w:after="0" w:before="40"/>
            </w:pPr>
            <w:r>
              <w:rPr>
                <w:rFonts w:ascii="Arial" w:cs="Arial" w:eastAsia="Arial" w:hAnsi="Arial"/>
                <w:i/>
                <w:iCs/>
                <w:color w:val="AABBDD"/>
                <w:sz w:val="22"/>
                <w:szCs w:val="22"/>
              </w:rPr>
              <w:t xml:space="preserve">Executive Briefing — Shipping Operations</w:t>
            </w:r>
          </w:p>
        </w:tc>
        <w:tc>
          <w:tcPr>
            <w:tcW w:type="dxa" w:w="2800"/>
            <w:tcBorders>
              <w:top w:val="none"/>
              <w:left w:val="none"/>
              <w:bottom w:val="single" w:color="C9A84C" w:sz="12"/>
              <w:right w:val="none"/>
            </w:tcBorders>
            <w:shd w:fill="1F3864" w:val="clear"/>
            <w:tcMar>
              <w:top w:type="dxa" w:w="200"/>
              <w:left w:type="dxa" w:w="200"/>
              <w:bottom w:type="dxa" w:w="200"/>
              <w:right w:type="dxa" w:w="200"/>
            </w:tcMar>
            <w:vAlign w:val="center"/>
          </w:tcPr>
          <w:p>
            <w:pPr>
              <w:jc w:val="right"/>
            </w:pPr>
            <w:r>
              <w:rPr>
                <w:rFonts w:ascii="Arial" w:cs="Arial" w:eastAsia="Arial" w:hAnsi="Arial"/>
                <w:b/>
                <w:bCs/>
                <w:color w:val="C9A84C"/>
                <w:sz w:val="20"/>
                <w:szCs w:val="20"/>
              </w:rPr>
              <w:t xml:space="preserve">JUNE 2026</w:t>
            </w:r>
          </w:p>
          <w:p>
            <w:pPr>
              <w:spacing w:after="0" w:before="40"/>
              <w:jc w:val="right"/>
            </w:pPr>
            <w:r>
              <w:rPr>
                <w:rFonts w:ascii="Arial" w:cs="Arial" w:eastAsia="Arial" w:hAnsi="Arial"/>
                <w:color w:val="AABBDD"/>
                <w:sz w:val="18"/>
                <w:szCs w:val="18"/>
              </w:rPr>
              <w:t xml:space="preserve">CONFIDENTIAL</w:t>
            </w:r>
          </w:p>
          <w:p>
            <w:pPr>
              <w:spacing w:after="0" w:before="20"/>
              <w:jc w:val="right"/>
            </w:pPr>
            <w:r>
              <w:rPr>
                <w:rFonts w:ascii="Arial" w:cs="Arial" w:eastAsia="Arial" w:hAnsi="Arial"/>
                <w:i/>
                <w:iCs/>
                <w:color w:val="AABBDD"/>
                <w:sz w:val="16"/>
                <w:szCs w:val="16"/>
              </w:rPr>
              <w:t xml:space="preserve">For Government Stakeholders</w:t>
            </w:r>
          </w:p>
        </w:tc>
      </w:tr>
    </w:tbl>
    <w:p>
      <w:pPr>
        <w:spacing w:after="80" w:before="0"/>
      </w:pPr>
      <w:r>
        <w:t xml:space="preserve"/>
      </w:r>
    </w:p>
    <w:p>
      <w:pPr>
        <w:spacing w:after="140" w:before="60"/>
        <w:jc w:val="center"/>
      </w:pPr>
      <w:r>
        <w:rPr>
          <w:rFonts w:ascii="Arial" w:cs="Arial" w:eastAsia="Arial" w:hAnsi="Arial"/>
          <w:b/>
          <w:bCs/>
          <w:color w:val="1F3864"/>
          <w:sz w:val="24"/>
          <w:szCs w:val="24"/>
        </w:rPr>
        <w:t xml:space="preserve">EXECUTIVE SUMMARY  |  </w:t>
      </w:r>
      <w:r>
        <w:rPr>
          <w:rFonts w:ascii="Arial" w:cs="Arial" w:eastAsia="Arial" w:hAnsi="Arial"/>
          <w:b/>
          <w:bCs/>
          <w:color w:val="C9A84C"/>
          <w:sz w:val="24"/>
          <w:szCs w:val="24"/>
        </w:rPr>
        <w:t xml:space="preserve">SUPPLY CHAIN &amp; LOGISTICS PERFORMANCE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0FB" w:val="clear"/>
            <w:tcMar>
              <w:top w:type="dxa" w:w="140"/>
              <w:left w:type="dxa" w:w="160"/>
              <w:bottom w:type="dxa" w:w="140"/>
              <w:right w:type="dxa" w:w="160"/>
            </w:tcMar>
          </w:tcPr>
          <w:p>
            <w:pPr>
              <w:jc w:val="center"/>
            </w:pPr>
            <w:r>
              <w:rPr>
                <w:rFonts w:ascii="Arial" w:cs="Arial" w:eastAsia="Arial" w:hAnsi="Arial"/>
                <w:b/>
                <w:bCs/>
                <w:color w:val="1F3864"/>
                <w:sz w:val="36"/>
                <w:szCs w:val="36"/>
              </w:rPr>
              <w:t xml:space="preserve">10,194</w:t>
            </w:r>
          </w:p>
          <w:p>
            <w:pPr>
              <w:spacing w:after="0" w:before="30"/>
              <w:jc w:val="center"/>
            </w:pPr>
            <w:r>
              <w:rPr>
                <w:rFonts w:ascii="Arial" w:cs="Arial" w:eastAsia="Arial" w:hAnsi="Arial"/>
                <w:b/>
                <w:bCs/>
                <w:color w:val="444444"/>
                <w:sz w:val="18"/>
                <w:szCs w:val="18"/>
              </w:rPr>
              <w:t xml:space="preserve">Total Orders (2024–2025)</w:t>
            </w:r>
          </w:p>
          <w:p>
            <w:pPr>
              <w:spacing w:after="0" w:before="20"/>
              <w:jc w:val="center"/>
            </w:pPr>
            <w:r>
              <w:rPr>
                <w:rFonts w:ascii="Arial" w:cs="Arial" w:eastAsia="Arial" w:hAnsi="Arial"/>
                <w:i/>
                <w:iCs/>
                <w:color w:val="888888"/>
                <w:sz w:val="16"/>
                <w:szCs w:val="16"/>
              </w:rPr>
              <w:t xml:space="preserve">Across 59 states</w:t>
            </w:r>
          </w:p>
        </w:tc>
        <w:tc>
          <w:tcPr>
            <w:tcW w:type="dxa" w:w="2340"/>
            <w:tcBorders>
              <w:top w:val="single" w:color="CCCCCC" w:sz="1"/>
              <w:left w:val="single" w:color="CCCCCC" w:sz="1"/>
              <w:bottom w:val="single" w:color="CCCCCC" w:sz="1"/>
              <w:right w:val="single" w:color="CCCCCC" w:sz="1"/>
            </w:tcBorders>
            <w:shd w:fill="EAF0FB" w:val="clear"/>
            <w:tcMar>
              <w:top w:type="dxa" w:w="140"/>
              <w:left w:type="dxa" w:w="160"/>
              <w:bottom w:type="dxa" w:w="140"/>
              <w:right w:type="dxa" w:w="160"/>
            </w:tcMar>
          </w:tcPr>
          <w:p>
            <w:pPr>
              <w:jc w:val="center"/>
            </w:pPr>
            <w:r>
              <w:rPr>
                <w:rFonts w:ascii="Arial" w:cs="Arial" w:eastAsia="Arial" w:hAnsi="Arial"/>
                <w:b/>
                <w:bCs/>
                <w:color w:val="1E6B3C"/>
                <w:sz w:val="36"/>
                <w:szCs w:val="36"/>
              </w:rPr>
              <w:t xml:space="preserve">$141,784</w:t>
            </w:r>
          </w:p>
          <w:p>
            <w:pPr>
              <w:spacing w:after="0" w:before="30"/>
              <w:jc w:val="center"/>
            </w:pPr>
            <w:r>
              <w:rPr>
                <w:rFonts w:ascii="Arial" w:cs="Arial" w:eastAsia="Arial" w:hAnsi="Arial"/>
                <w:b/>
                <w:bCs/>
                <w:color w:val="444444"/>
                <w:sz w:val="18"/>
                <w:szCs w:val="18"/>
              </w:rPr>
              <w:t xml:space="preserve">Total Revenue</w:t>
            </w:r>
          </w:p>
          <w:p>
            <w:pPr>
              <w:spacing w:after="0" w:before="20"/>
              <w:jc w:val="center"/>
            </w:pPr>
            <w:r>
              <w:rPr>
                <w:rFonts w:ascii="Arial" w:cs="Arial" w:eastAsia="Arial" w:hAnsi="Arial"/>
                <w:i/>
                <w:iCs/>
                <w:color w:val="888888"/>
                <w:sz w:val="16"/>
                <w:szCs w:val="16"/>
              </w:rPr>
              <w:t xml:space="preserve">Avg $13.91/order</w:t>
            </w:r>
          </w:p>
        </w:tc>
        <w:tc>
          <w:tcPr>
            <w:tcW w:type="dxa" w:w="2340"/>
            <w:tcBorders>
              <w:top w:val="single" w:color="CCCCCC" w:sz="1"/>
              <w:left w:val="single" w:color="CCCCCC" w:sz="1"/>
              <w:bottom w:val="single" w:color="CCCCCC" w:sz="1"/>
              <w:right w:val="single" w:color="CCCCCC" w:sz="1"/>
            </w:tcBorders>
            <w:shd w:fill="EAF0FB" w:val="clear"/>
            <w:tcMar>
              <w:top w:type="dxa" w:w="140"/>
              <w:left w:type="dxa" w:w="160"/>
              <w:bottom w:type="dxa" w:w="140"/>
              <w:right w:type="dxa" w:w="160"/>
            </w:tcMar>
          </w:tcPr>
          <w:p>
            <w:pPr>
              <w:jc w:val="center"/>
            </w:pPr>
            <w:r>
              <w:rPr>
                <w:rFonts w:ascii="Arial" w:cs="Arial" w:eastAsia="Arial" w:hAnsi="Arial"/>
                <w:b/>
                <w:bCs/>
                <w:color w:val="1E6B3C"/>
                <w:sz w:val="36"/>
                <w:szCs w:val="36"/>
              </w:rPr>
              <w:t xml:space="preserve">65.9%</w:t>
            </w:r>
          </w:p>
          <w:p>
            <w:pPr>
              <w:spacing w:after="0" w:before="30"/>
              <w:jc w:val="center"/>
            </w:pPr>
            <w:r>
              <w:rPr>
                <w:rFonts w:ascii="Arial" w:cs="Arial" w:eastAsia="Arial" w:hAnsi="Arial"/>
                <w:b/>
                <w:bCs/>
                <w:color w:val="444444"/>
                <w:sz w:val="18"/>
                <w:szCs w:val="18"/>
              </w:rPr>
              <w:t xml:space="preserve">Gross Profit Margin</w:t>
            </w:r>
          </w:p>
          <w:p>
            <w:pPr>
              <w:spacing w:after="0" w:before="20"/>
              <w:jc w:val="center"/>
            </w:pPr>
            <w:r>
              <w:rPr>
                <w:rFonts w:ascii="Arial" w:cs="Arial" w:eastAsia="Arial" w:hAnsi="Arial"/>
                <w:i/>
                <w:iCs/>
                <w:color w:val="888888"/>
                <w:sz w:val="16"/>
                <w:szCs w:val="16"/>
              </w:rPr>
              <w:t xml:space="preserve">$93,443 gross profit</w:t>
            </w:r>
          </w:p>
        </w:tc>
        <w:tc>
          <w:tcPr>
            <w:tcW w:type="dxa" w:w="2340"/>
            <w:tcBorders>
              <w:top w:val="single" w:color="CCCCCC" w:sz="1"/>
              <w:left w:val="single" w:color="CCCCCC" w:sz="1"/>
              <w:bottom w:val="single" w:color="CCCCCC" w:sz="1"/>
              <w:right w:val="single" w:color="CCCCCC" w:sz="1"/>
            </w:tcBorders>
            <w:shd w:fill="EAF0FB" w:val="clear"/>
            <w:tcMar>
              <w:top w:type="dxa" w:w="140"/>
              <w:left w:type="dxa" w:w="160"/>
              <w:bottom w:type="dxa" w:w="140"/>
              <w:right w:type="dxa" w:w="160"/>
            </w:tcMar>
          </w:tcPr>
          <w:p>
            <w:pPr>
              <w:jc w:val="center"/>
            </w:pPr>
            <w:r>
              <w:rPr>
                <w:rFonts w:ascii="Arial" w:cs="Arial" w:eastAsia="Arial" w:hAnsi="Arial"/>
                <w:b/>
                <w:bCs/>
                <w:color w:val="1F3864"/>
                <w:sz w:val="36"/>
                <w:szCs w:val="36"/>
              </w:rPr>
              <w:t xml:space="preserve">4</w:t>
            </w:r>
          </w:p>
          <w:p>
            <w:pPr>
              <w:spacing w:after="0" w:before="30"/>
              <w:jc w:val="center"/>
            </w:pPr>
            <w:r>
              <w:rPr>
                <w:rFonts w:ascii="Arial" w:cs="Arial" w:eastAsia="Arial" w:hAnsi="Arial"/>
                <w:b/>
                <w:bCs/>
                <w:color w:val="444444"/>
                <w:sz w:val="18"/>
                <w:szCs w:val="18"/>
              </w:rPr>
              <w:t xml:space="preserve">Regions Served</w:t>
            </w:r>
          </w:p>
          <w:p>
            <w:pPr>
              <w:spacing w:after="0" w:before="20"/>
              <w:jc w:val="center"/>
            </w:pPr>
            <w:r>
              <w:rPr>
                <w:rFonts w:ascii="Arial" w:cs="Arial" w:eastAsia="Arial" w:hAnsi="Arial"/>
                <w:i/>
                <w:iCs/>
                <w:color w:val="888888"/>
                <w:sz w:val="16"/>
                <w:szCs w:val="16"/>
              </w:rPr>
              <w:t xml:space="preserve">Atlantic, Gulf, Interior, Pacific</w:t>
            </w:r>
          </w:p>
        </w:tc>
      </w:tr>
      <w:tr>
        <w:tc>
          <w:tcPr>
            <w:tcW w:type="dxa" w:w="2340"/>
            <w:tcBorders>
              <w:top w:val="single" w:color="CCCCCC" w:sz="1"/>
              <w:left w:val="single" w:color="CCCCCC" w:sz="1"/>
              <w:bottom w:val="single" w:color="CCCCCC" w:sz="1"/>
              <w:right w:val="single" w:color="CCCCCC" w:sz="1"/>
            </w:tcBorders>
            <w:shd w:fill="EAF0FB" w:val="clear"/>
            <w:tcMar>
              <w:top w:type="dxa" w:w="140"/>
              <w:left w:type="dxa" w:w="160"/>
              <w:bottom w:type="dxa" w:w="140"/>
              <w:right w:type="dxa" w:w="160"/>
            </w:tcMar>
          </w:tcPr>
          <w:p>
            <w:pPr>
              <w:jc w:val="center"/>
            </w:pPr>
            <w:r>
              <w:rPr>
                <w:rFonts w:ascii="Arial" w:cs="Arial" w:eastAsia="Arial" w:hAnsi="Arial"/>
                <w:b/>
                <w:bCs/>
                <w:color w:val="2E75B6"/>
                <w:sz w:val="36"/>
                <w:szCs w:val="36"/>
              </w:rPr>
              <w:t xml:space="preserve">Gulf</w:t>
            </w:r>
          </w:p>
          <w:p>
            <w:pPr>
              <w:spacing w:after="0" w:before="30"/>
              <w:jc w:val="center"/>
            </w:pPr>
            <w:r>
              <w:rPr>
                <w:rFonts w:ascii="Arial" w:cs="Arial" w:eastAsia="Arial" w:hAnsi="Arial"/>
                <w:b/>
                <w:bCs/>
                <w:color w:val="444444"/>
                <w:sz w:val="18"/>
                <w:szCs w:val="18"/>
              </w:rPr>
              <w:t xml:space="preserve">Most Efficient Region</w:t>
            </w:r>
          </w:p>
          <w:p>
            <w:pPr>
              <w:spacing w:after="0" w:before="20"/>
              <w:jc w:val="center"/>
            </w:pPr>
            <w:r>
              <w:rPr>
                <w:rFonts w:ascii="Arial" w:cs="Arial" w:eastAsia="Arial" w:hAnsi="Arial"/>
                <w:i/>
                <w:iCs/>
                <w:color w:val="888888"/>
                <w:sz w:val="16"/>
                <w:szCs w:val="16"/>
              </w:rPr>
              <w:t xml:space="preserve">Lowest avg lead time</w:t>
            </w:r>
          </w:p>
        </w:tc>
        <w:tc>
          <w:tcPr>
            <w:tcW w:type="dxa" w:w="2340"/>
            <w:tcBorders>
              <w:top w:val="single" w:color="CCCCCC" w:sz="1"/>
              <w:left w:val="single" w:color="CCCCCC" w:sz="1"/>
              <w:bottom w:val="single" w:color="CCCCCC" w:sz="1"/>
              <w:right w:val="single" w:color="CCCCCC" w:sz="1"/>
            </w:tcBorders>
            <w:shd w:fill="EAF0FB" w:val="clear"/>
            <w:tcMar>
              <w:top w:type="dxa" w:w="140"/>
              <w:left w:type="dxa" w:w="160"/>
              <w:bottom w:type="dxa" w:w="140"/>
              <w:right w:type="dxa" w:w="160"/>
            </w:tcMar>
          </w:tcPr>
          <w:p>
            <w:pPr>
              <w:jc w:val="center"/>
            </w:pPr>
            <w:r>
              <w:rPr>
                <w:rFonts w:ascii="Arial" w:cs="Arial" w:eastAsia="Arial" w:hAnsi="Arial"/>
                <w:b/>
                <w:bCs/>
                <w:color w:val="2E75B6"/>
                <w:sz w:val="36"/>
                <w:szCs w:val="36"/>
              </w:rPr>
              <w:t xml:space="preserve">Pacific</w:t>
            </w:r>
          </w:p>
          <w:p>
            <w:pPr>
              <w:spacing w:after="0" w:before="30"/>
              <w:jc w:val="center"/>
            </w:pPr>
            <w:r>
              <w:rPr>
                <w:rFonts w:ascii="Arial" w:cs="Arial" w:eastAsia="Arial" w:hAnsi="Arial"/>
                <w:b/>
                <w:bCs/>
                <w:color w:val="444444"/>
                <w:sz w:val="18"/>
                <w:szCs w:val="18"/>
              </w:rPr>
              <w:t xml:space="preserve">Largest Region by Volume</w:t>
            </w:r>
          </w:p>
          <w:p>
            <w:pPr>
              <w:spacing w:after="0" w:before="20"/>
              <w:jc w:val="center"/>
            </w:pPr>
            <w:r>
              <w:rPr>
                <w:rFonts w:ascii="Arial" w:cs="Arial" w:eastAsia="Arial" w:hAnsi="Arial"/>
                <w:i/>
                <w:iCs/>
                <w:color w:val="888888"/>
                <w:sz w:val="16"/>
                <w:szCs w:val="16"/>
              </w:rPr>
              <w:t xml:space="preserve">31.9% of all orders</w:t>
            </w:r>
          </w:p>
        </w:tc>
        <w:tc>
          <w:tcPr>
            <w:tcW w:type="dxa" w:w="2340"/>
            <w:tcBorders>
              <w:top w:val="single" w:color="CCCCCC" w:sz="1"/>
              <w:left w:val="single" w:color="CCCCCC" w:sz="1"/>
              <w:bottom w:val="single" w:color="CCCCCC" w:sz="1"/>
              <w:right w:val="single" w:color="CCCCCC" w:sz="1"/>
            </w:tcBorders>
            <w:shd w:fill="EAF0FB" w:val="clear"/>
            <w:tcMar>
              <w:top w:type="dxa" w:w="140"/>
              <w:left w:type="dxa" w:w="160"/>
              <w:bottom w:type="dxa" w:w="140"/>
              <w:right w:type="dxa" w:w="160"/>
            </w:tcMar>
          </w:tcPr>
          <w:p>
            <w:pPr>
              <w:jc w:val="center"/>
            </w:pPr>
            <w:r>
              <w:rPr>
                <w:rFonts w:ascii="Arial" w:cs="Arial" w:eastAsia="Arial" w:hAnsi="Arial"/>
                <w:b/>
                <w:bCs/>
                <w:color w:val="1F3864"/>
                <w:sz w:val="36"/>
                <w:szCs w:val="36"/>
              </w:rPr>
              <w:t xml:space="preserve">60%</w:t>
            </w:r>
          </w:p>
          <w:p>
            <w:pPr>
              <w:spacing w:after="0" w:before="30"/>
              <w:jc w:val="center"/>
            </w:pPr>
            <w:r>
              <w:rPr>
                <w:rFonts w:ascii="Arial" w:cs="Arial" w:eastAsia="Arial" w:hAnsi="Arial"/>
                <w:b/>
                <w:bCs/>
                <w:color w:val="444444"/>
                <w:sz w:val="18"/>
                <w:szCs w:val="18"/>
              </w:rPr>
              <w:t xml:space="preserve">Dominant Ship Mode</w:t>
            </w:r>
          </w:p>
          <w:p>
            <w:pPr>
              <w:spacing w:after="0" w:before="20"/>
              <w:jc w:val="center"/>
            </w:pPr>
            <w:r>
              <w:rPr>
                <w:rFonts w:ascii="Arial" w:cs="Arial" w:eastAsia="Arial" w:hAnsi="Arial"/>
                <w:i/>
                <w:iCs/>
                <w:color w:val="888888"/>
                <w:sz w:val="16"/>
                <w:szCs w:val="16"/>
              </w:rPr>
              <w:t xml:space="preserve">Standard Class usage</w:t>
            </w:r>
          </w:p>
        </w:tc>
        <w:tc>
          <w:tcPr>
            <w:tcW w:type="dxa" w:w="2340"/>
            <w:tcBorders>
              <w:top w:val="single" w:color="CCCCCC" w:sz="1"/>
              <w:left w:val="single" w:color="CCCCCC" w:sz="1"/>
              <w:bottom w:val="single" w:color="CCCCCC" w:sz="1"/>
              <w:right w:val="single" w:color="CCCCCC" w:sz="1"/>
            </w:tcBorders>
            <w:shd w:fill="EAF0FB" w:val="clear"/>
            <w:tcMar>
              <w:top w:type="dxa" w:w="140"/>
              <w:left w:type="dxa" w:w="160"/>
              <w:bottom w:type="dxa" w:w="140"/>
              <w:right w:type="dxa" w:w="160"/>
            </w:tcMar>
          </w:tcPr>
          <w:p>
            <w:pPr>
              <w:jc w:val="center"/>
            </w:pPr>
            <w:r>
              <w:rPr>
                <w:rFonts w:ascii="Arial" w:cs="Arial" w:eastAsia="Arial" w:hAnsi="Arial"/>
                <w:b/>
                <w:bCs/>
                <w:color w:val="8B1A1A"/>
                <w:sz w:val="36"/>
                <w:szCs w:val="36"/>
              </w:rPr>
              <w:t xml:space="preserve">WV, ND</w:t>
            </w:r>
          </w:p>
          <w:p>
            <w:pPr>
              <w:spacing w:after="0" w:before="30"/>
              <w:jc w:val="center"/>
            </w:pPr>
            <w:r>
              <w:rPr>
                <w:rFonts w:ascii="Arial" w:cs="Arial" w:eastAsia="Arial" w:hAnsi="Arial"/>
                <w:b/>
                <w:bCs/>
                <w:color w:val="444444"/>
                <w:sz w:val="18"/>
                <w:szCs w:val="18"/>
              </w:rPr>
              <w:t xml:space="preserve">Critical Bottleneck States</w:t>
            </w:r>
          </w:p>
          <w:p>
            <w:pPr>
              <w:spacing w:after="0" w:before="20"/>
              <w:jc w:val="center"/>
            </w:pPr>
            <w:r>
              <w:rPr>
                <w:rFonts w:ascii="Arial" w:cs="Arial" w:eastAsia="Arial" w:hAnsi="Arial"/>
                <w:i/>
                <w:iCs/>
                <w:color w:val="888888"/>
                <w:sz w:val="16"/>
                <w:szCs w:val="16"/>
              </w:rPr>
              <w:t xml:space="preserve">Significantly delayed</w:t>
            </w:r>
          </w:p>
        </w:tc>
      </w:tr>
    </w:tbl>
    <w:p>
      <w:pPr>
        <w:spacing w:after="80" w:before="0"/>
      </w:pPr>
      <w:r>
        <w:t xml:space="preserve"/>
      </w:r>
    </w:p>
    <w:p>
      <w:pPr>
        <w:pBdr>
          <w:left w:val="single" w:color="C9A84C" w:sz="18" w:space="10"/>
        </w:pBdr>
        <w:spacing w:after="100" w:before="280"/>
        <w:ind w:left="200"/>
      </w:pPr>
      <w:r>
        <w:rPr>
          <w:rFonts w:ascii="Arial" w:cs="Arial" w:eastAsia="Arial" w:hAnsi="Arial"/>
          <w:b/>
          <w:bCs/>
          <w:caps/>
          <w:color w:val="1F3864"/>
          <w:sz w:val="26"/>
          <w:szCs w:val="26"/>
        </w:rPr>
        <w:t xml:space="preserve">PURPOSE OF THIS BRIEFING</w:t>
      </w:r>
    </w:p>
    <w:p>
      <w:pPr>
        <w:spacing w:after="80" w:before="0"/>
      </w:pPr>
      <w:r>
        <w:t xml:space="preserve"/>
      </w:r>
    </w:p>
    <w:p>
      <w:pPr>
        <w:spacing w:after="100" w:before="80"/>
        <w:jc w:val="both"/>
      </w:pPr>
      <w:r>
        <w:rPr>
          <w:rFonts w:ascii="Arial" w:cs="Arial" w:eastAsia="Arial" w:hAnsi="Arial"/>
          <w:b w:val="false"/>
          <w:bCs w:val="false"/>
          <w:i w:val="false"/>
          <w:iCs w:val="false"/>
          <w:color w:val="1A1A2E"/>
          <w:sz w:val="22"/>
          <w:szCs w:val="22"/>
        </w:rPr>
        <w:t xml:space="preserve">This executive summary is prepared for government stakeholders with oversight interest in domestic supply chain operations within the confectionery and food distribution sector. It summarizes findings from a comprehensive analysis of Nassau Candy Distributor's 2024–2025 shipping operations, covering 10,194 order transactions across 59 US states and territories.</w:t>
      </w:r>
    </w:p>
    <w:p>
      <w:pPr>
        <w:spacing w:after="80" w:before="0"/>
      </w:pPr>
      <w:r>
        <w:t xml:space="preserve"/>
      </w:r>
    </w:p>
    <w:p>
      <w:pPr>
        <w:spacing w:after="100" w:before="80"/>
        <w:jc w:val="both"/>
      </w:pPr>
      <w:r>
        <w:rPr>
          <w:rFonts w:ascii="Arial" w:cs="Arial" w:eastAsia="Arial" w:hAnsi="Arial"/>
          <w:b w:val="false"/>
          <w:bCs w:val="false"/>
          <w:i w:val="false"/>
          <w:iCs w:val="false"/>
          <w:color w:val="1A1A2E"/>
          <w:sz w:val="22"/>
          <w:szCs w:val="22"/>
        </w:rPr>
        <w:t xml:space="preserve">The analysis identifies performance gaps, geographic service disparities, and operational inefficiencies that may be relevant to regulatory oversight, regional economic development policy, and consumer protection frameworks.</w:t>
      </w:r>
    </w:p>
    <w:p>
      <w:pPr>
        <w:spacing w:after="80" w:before="0"/>
      </w:pPr>
      <w:r>
        <w:t xml:space="preserve"/>
      </w:r>
    </w:p>
    <w:p>
      <w:pPr>
        <w:pBdr>
          <w:left w:val="single" w:color="C9A84C" w:sz="18" w:space="10"/>
        </w:pBdr>
        <w:spacing w:after="100" w:before="280"/>
        <w:ind w:left="200"/>
      </w:pPr>
      <w:r>
        <w:rPr>
          <w:rFonts w:ascii="Arial" w:cs="Arial" w:eastAsia="Arial" w:hAnsi="Arial"/>
          <w:b/>
          <w:bCs/>
          <w:caps/>
          <w:color w:val="1F3864"/>
          <w:sz w:val="26"/>
          <w:szCs w:val="26"/>
        </w:rPr>
        <w:t xml:space="preserve">OPERATIONAL CONTEXT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0FB" w:val="clear"/>
            <w:tcMar>
              <w:top w:type="dxa" w:w="120"/>
              <w:left w:type="dxa" w:w="180"/>
              <w:bottom w:type="dxa" w:w="120"/>
              <w:right w:type="dxa" w:w="180"/>
            </w:tcMar>
          </w:tcPr>
          <w:p>
            <w:pPr>
              <w:spacing w:after="80" w:before="0"/>
            </w:pPr>
            <w:r>
              <w:rPr>
                <w:rFonts w:ascii="Arial" w:cs="Arial" w:eastAsia="Arial" w:hAnsi="Arial"/>
                <w:b/>
                <w:bCs/>
                <w:color w:val="1F3864"/>
                <w:sz w:val="22"/>
                <w:szCs w:val="22"/>
              </w:rPr>
              <w:t xml:space="preserve">Business Profile</w:t>
            </w:r>
          </w:p>
          <w:p>
            <w:pPr>
              <w:spacing w:after="40" w:before="0"/>
            </w:pPr>
            <w:r>
              <w:rPr>
                <w:rFonts w:ascii="Arial" w:cs="Arial" w:eastAsia="Arial" w:hAnsi="Arial"/>
                <w:color w:val="1A1A2E"/>
                <w:sz w:val="21"/>
                <w:szCs w:val="21"/>
              </w:rPr>
              <w:t xml:space="preserve">Nassau Candy Distributor operates a B2B confectionery distribution network across the continental United States. The company serves retail, wholesale, and specialty candy customers across four commercial regions.</w:t>
            </w:r>
          </w:p>
        </w:tc>
        <w:tc>
          <w:tcPr>
            <w:tcW w:type="dxa" w:w="4680"/>
            <w:tcBorders>
              <w:top w:val="single" w:color="CCCCCC" w:sz="1"/>
              <w:left w:val="single" w:color="CCCCCC" w:sz="1"/>
              <w:bottom w:val="single" w:color="CCCCCC" w:sz="1"/>
              <w:right w:val="single" w:color="CCCCCC" w:sz="1"/>
            </w:tcBorders>
            <w:shd w:fill="EAF0FB" w:val="clear"/>
            <w:tcMar>
              <w:top w:type="dxa" w:w="120"/>
              <w:left w:type="dxa" w:w="180"/>
              <w:bottom w:type="dxa" w:w="120"/>
              <w:right w:type="dxa" w:w="180"/>
            </w:tcMar>
          </w:tcPr>
          <w:p>
            <w:pPr>
              <w:spacing w:after="80" w:before="0"/>
            </w:pPr>
            <w:r>
              <w:rPr>
                <w:rFonts w:ascii="Arial" w:cs="Arial" w:eastAsia="Arial" w:hAnsi="Arial"/>
                <w:b/>
                <w:bCs/>
                <w:color w:val="1F3864"/>
                <w:sz w:val="22"/>
                <w:szCs w:val="22"/>
              </w:rPr>
              <w:t xml:space="preserve">Product Mix</w:t>
            </w:r>
          </w:p>
          <w:p>
            <w:pPr>
              <w:spacing w:after="40" w:before="0"/>
            </w:pPr>
            <w:r>
              <w:rPr>
                <w:rFonts w:ascii="Arial" w:cs="Arial" w:eastAsia="Arial" w:hAnsi="Arial"/>
                <w:color w:val="1A1A2E"/>
                <w:sz w:val="21"/>
                <w:szCs w:val="21"/>
              </w:rPr>
              <w:t xml:space="preserve">96.6% of orders are Chocolate division products (primarily Wonka Bar variants). The Sugar division (0.4%) and Other division (3.0%) account for the remainder. Top SKU: Wonka Bar - Milk Chocolate (2,137 orders).</w:t>
            </w:r>
          </w:p>
        </w:tc>
      </w:tr>
    </w:tbl>
    <w:p>
      <w:pPr>
        <w:spacing w:after="80" w:before="0"/>
      </w:pPr>
      <w:r>
        <w:t xml:space="preserve"/>
      </w:r>
    </w:p>
    <w:p>
      <w:pPr>
        <w:pBdr>
          <w:left w:val="single" w:color="C9A84C" w:sz="18" w:space="10"/>
        </w:pBdr>
        <w:spacing w:after="100" w:before="280"/>
        <w:ind w:left="200"/>
      </w:pPr>
      <w:r>
        <w:rPr>
          <w:rFonts w:ascii="Arial" w:cs="Arial" w:eastAsia="Arial" w:hAnsi="Arial"/>
          <w:b/>
          <w:bCs/>
          <w:caps/>
          <w:color w:val="1F3864"/>
          <w:sz w:val="26"/>
          <w:szCs w:val="26"/>
        </w:rPr>
        <w:t xml:space="preserve">KEY FINDINGS FOR STAKEHOLDER ATTENTION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8B1A1A"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1</w:t>
            </w:r>
          </w:p>
        </w:tc>
        <w:tc>
          <w:tcPr>
            <w:tcW w:type="dxa" w:w="85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before="0"/>
            </w:pPr>
            <w:r>
              <w:rPr>
                <w:rFonts w:ascii="Arial" w:cs="Arial" w:eastAsia="Arial" w:hAnsi="Arial"/>
                <w:b/>
                <w:bCs/>
                <w:color w:val="1A1A2E"/>
                <w:sz w:val="22"/>
                <w:szCs w:val="22"/>
              </w:rPr>
              <w:t xml:space="preserve">Premium Shipping Modes Are Underperforming</w:t>
            </w:r>
          </w:p>
          <w:p>
            <w:pPr>
              <w:spacing w:after="0" w:before="0"/>
            </w:pPr>
            <w:r>
              <w:rPr>
                <w:rFonts w:ascii="Arial" w:cs="Arial" w:eastAsia="Arial" w:hAnsi="Arial"/>
                <w:color w:val="444444"/>
                <w:sz w:val="21"/>
                <w:szCs w:val="21"/>
              </w:rPr>
              <w:t xml:space="preserve">First Class and Same Day shipping — which customers pay premium prices for — are recording longer average lead times than Standard Class. This represents a consumer fairness concern and suggests carrier SLA non-compliance. Affected customers: approximately 2,095 orders (20.6% of all orders).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C05000"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2</w:t>
            </w:r>
          </w:p>
        </w:tc>
        <w:tc>
          <w:tcPr>
            <w:tcW w:type="dxa" w:w="85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before="0"/>
            </w:pPr>
            <w:r>
              <w:rPr>
                <w:rFonts w:ascii="Arial" w:cs="Arial" w:eastAsia="Arial" w:hAnsi="Arial"/>
                <w:b/>
                <w:bCs/>
                <w:color w:val="1A1A2E"/>
                <w:sz w:val="22"/>
                <w:szCs w:val="22"/>
              </w:rPr>
              <w:t xml:space="preserve">Geographic Service Disparity — Rural &amp; Interior States</w:t>
            </w:r>
          </w:p>
          <w:p>
            <w:pPr>
              <w:spacing w:after="0" w:before="0"/>
            </w:pPr>
            <w:r>
              <w:rPr>
                <w:rFonts w:ascii="Arial" w:cs="Arial" w:eastAsia="Arial" w:hAnsi="Arial"/>
                <w:color w:val="444444"/>
                <w:sz w:val="21"/>
                <w:szCs w:val="21"/>
              </w:rPr>
              <w:t xml:space="preserve">West Virginia and North Dakota exhibit lead times approximately 44% longer than the best-performing states (Maine, Nevada, Virginia). This geographic disparity in service quality disproportionately affects rural and agricultural communities that depend on reliable supply chains.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E6B3C"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3</w:t>
            </w:r>
          </w:p>
        </w:tc>
        <w:tc>
          <w:tcPr>
            <w:tcW w:type="dxa" w:w="85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before="0"/>
            </w:pPr>
            <w:r>
              <w:rPr>
                <w:rFonts w:ascii="Arial" w:cs="Arial" w:eastAsia="Arial" w:hAnsi="Arial"/>
                <w:b/>
                <w:bCs/>
                <w:color w:val="1A1A2E"/>
                <w:sz w:val="22"/>
                <w:szCs w:val="22"/>
              </w:rPr>
              <w:t xml:space="preserve">Gulf Region: An Underutilized Efficiency Asset</w:t>
            </w:r>
          </w:p>
          <w:p>
            <w:pPr>
              <w:spacing w:after="0" w:before="0"/>
            </w:pPr>
            <w:r>
              <w:rPr>
                <w:rFonts w:ascii="Arial" w:cs="Arial" w:eastAsia="Arial" w:hAnsi="Arial"/>
                <w:color w:val="444444"/>
                <w:sz w:val="21"/>
                <w:szCs w:val="21"/>
              </w:rPr>
              <w:t xml:space="preserve">The Gulf region is the most efficient in the entire network (lowest average lead time) yet handles only 15.9% of total order volume. Better utilization of Gulf carrier infrastructure could meaningfully improve national average service levels.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3864"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4</w:t>
            </w:r>
          </w:p>
        </w:tc>
        <w:tc>
          <w:tcPr>
            <w:tcW w:type="dxa" w:w="85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40" w:before="0"/>
            </w:pPr>
            <w:r>
              <w:rPr>
                <w:rFonts w:ascii="Arial" w:cs="Arial" w:eastAsia="Arial" w:hAnsi="Arial"/>
                <w:b/>
                <w:bCs/>
                <w:color w:val="1A1A2E"/>
                <w:sz w:val="22"/>
                <w:szCs w:val="22"/>
              </w:rPr>
              <w:t xml:space="preserve">Supply Chain Concentration Risk</w:t>
            </w:r>
          </w:p>
          <w:p>
            <w:pPr>
              <w:spacing w:after="0" w:before="0"/>
            </w:pPr>
            <w:r>
              <w:rPr>
                <w:rFonts w:ascii="Arial" w:cs="Arial" w:eastAsia="Arial" w:hAnsi="Arial"/>
                <w:color w:val="444444"/>
                <w:sz w:val="21"/>
                <w:szCs w:val="21"/>
              </w:rPr>
              <w:t xml:space="preserve">96.6% of all orders are from a single product division (Chocolate). This extreme concentration creates fragility: a cocoa supply disruption, seasonal demand spike, or fulfillment center issue could cascade across the entire distribution network. This is relevant from a food supply continuity perspective.</w:t>
            </w:r>
          </w:p>
        </w:tc>
      </w:tr>
    </w:tbl>
    <w:p>
      <w:pPr>
        <w:spacing w:after="80" w:before="0"/>
      </w:pPr>
      <w:r>
        <w:t xml:space="preserve"/>
      </w:r>
    </w:p>
    <w:p>
      <w:pPr>
        <w:pBdr>
          <w:left w:val="single" w:color="C9A84C" w:sz="18" w:space="10"/>
        </w:pBdr>
        <w:spacing w:after="100" w:before="280"/>
        <w:ind w:left="200"/>
      </w:pPr>
      <w:r>
        <w:rPr>
          <w:rFonts w:ascii="Arial" w:cs="Arial" w:eastAsia="Arial" w:hAnsi="Arial"/>
          <w:b/>
          <w:bCs/>
          <w:caps/>
          <w:color w:val="1F3864"/>
          <w:sz w:val="26"/>
          <w:szCs w:val="26"/>
        </w:rPr>
        <w:t xml:space="preserve">REGIONAL SERVICE LEVEL OVERVIEW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1760"/>
        <w:gridCol w:w="1760"/>
        <w:gridCol w:w="18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Efficiency Rank</w:t>
            </w:r>
          </w:p>
        </w:tc>
        <w:tc>
          <w:tcPr>
            <w:tcW w:type="dxa" w:w="1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Gulf</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1,620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$22,247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 — Best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Efficient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Pacific</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3,253</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$46,302</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 — Good</w:t>
            </w:r>
          </w:p>
        </w:tc>
        <w:tc>
          <w:tcPr>
            <w:tcW w:type="dxa" w:w="1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Strong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Atlantic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2,986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$41,197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 — Average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Adequate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Interior</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2,335</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$32,038</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#4 — Worst</w:t>
            </w:r>
          </w:p>
        </w:tc>
        <w:tc>
          <w:tcPr>
            <w:tcW w:type="dxa" w:w="1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B1A1A"/>
                <w:sz w:val="20"/>
                <w:szCs w:val="20"/>
              </w:rPr>
              <w:t xml:space="preserve">Needs Attention</w:t>
            </w:r>
          </w:p>
        </w:tc>
      </w:tr>
    </w:tbl>
    <w:p>
      <w:pPr>
        <w:spacing w:after="80" w:before="0"/>
      </w:pPr>
      <w:r>
        <w:t xml:space="preserve"/>
      </w:r>
    </w:p>
    <w:p>
      <w:pPr>
        <w:pBdr>
          <w:left w:val="single" w:color="C9A84C" w:sz="18" w:space="10"/>
        </w:pBdr>
        <w:spacing w:after="100" w:before="280"/>
        <w:ind w:left="200"/>
      </w:pPr>
      <w:r>
        <w:rPr>
          <w:rFonts w:ascii="Arial" w:cs="Arial" w:eastAsia="Arial" w:hAnsi="Arial"/>
          <w:b/>
          <w:bCs/>
          <w:caps/>
          <w:color w:val="1F3864"/>
          <w:sz w:val="26"/>
          <w:szCs w:val="26"/>
        </w:rPr>
        <w:t xml:space="preserve">RECOMMENDATIONS FOR REGULATORY &amp; POLICY CONSIDERATION</w:t>
      </w:r>
    </w:p>
    <w:p>
      <w:pPr>
        <w:spacing w:after="80" w:before="0"/>
      </w:pPr>
      <w:r>
        <w:t xml:space="preserve"/>
      </w:r>
    </w:p>
    <w:p>
      <w:pPr>
        <w:spacing w:after="100" w:before="80"/>
        <w:jc w:val="both"/>
      </w:pPr>
      <w:r>
        <w:rPr>
          <w:rFonts w:ascii="Arial" w:cs="Arial" w:eastAsia="Arial" w:hAnsi="Arial"/>
          <w:b w:val="false"/>
          <w:bCs w:val="false"/>
          <w:i w:val="false"/>
          <w:iCs w:val="false"/>
          <w:color w:val="1A1A2E"/>
          <w:sz w:val="22"/>
          <w:szCs w:val="22"/>
        </w:rPr>
        <w:t xml:space="preserve">Based on this analysis, the following areas warrant attention from relevant government bodies including the Department of Transportation, Federal Trade Commission, and regional economic development authorities:</w:t>
      </w:r>
    </w:p>
    <w:p>
      <w:pPr>
        <w:spacing w:after="80" w:before="0"/>
      </w:pPr>
      <w:r>
        <w:t xml:space="preserve"/>
      </w:r>
    </w:p>
    <w:p>
      <w:pPr>
        <w:pStyle w:val="ListParagraph"/>
        <w:numPr>
          <w:ilvl w:val="0"/>
          <w:numId w:val="2"/>
        </w:numPr>
        <w:spacing w:after="60" w:before="60"/>
      </w:pPr>
      <w:r>
        <w:rPr>
          <w:rFonts w:ascii="Arial" w:cs="Arial" w:eastAsia="Arial" w:hAnsi="Arial"/>
          <w:b/>
          <w:bCs/>
          <w:color w:val="1F3864"/>
          <w:sz w:val="22"/>
          <w:szCs w:val="22"/>
        </w:rPr>
        <w:t xml:space="preserve">Consumer Protection — </w:t>
      </w:r>
      <w:r>
        <w:rPr>
          <w:rFonts w:ascii="Arial" w:cs="Arial" w:eastAsia="Arial" w:hAnsi="Arial"/>
          <w:color w:val="1A1A2E"/>
          <w:sz w:val="22"/>
          <w:szCs w:val="22"/>
        </w:rPr>
        <w:t xml:space="preserve">Investigate the premium shipping mode performance gap. Consumers paying for First Class or Same Day service are receiving slower delivery than Standard Class customers. This may constitute misleading commercial practices if not disclosed.</w:t>
      </w:r>
    </w:p>
    <w:p>
      <w:pPr>
        <w:pStyle w:val="ListParagraph"/>
        <w:numPr>
          <w:ilvl w:val="0"/>
          <w:numId w:val="2"/>
        </w:numPr>
        <w:spacing w:after="60" w:before="60"/>
      </w:pPr>
      <w:r>
        <w:rPr>
          <w:rFonts w:ascii="Arial" w:cs="Arial" w:eastAsia="Arial" w:hAnsi="Arial"/>
          <w:b/>
          <w:bCs/>
          <w:color w:val="1F3864"/>
          <w:sz w:val="22"/>
          <w:szCs w:val="22"/>
        </w:rPr>
        <w:t xml:space="preserve">Rural Service Equity — </w:t>
      </w:r>
      <w:r>
        <w:rPr>
          <w:rFonts w:ascii="Arial" w:cs="Arial" w:eastAsia="Arial" w:hAnsi="Arial"/>
          <w:color w:val="1A1A2E"/>
          <w:sz w:val="22"/>
          <w:szCs w:val="22"/>
        </w:rPr>
        <w:t xml:space="preserve">West Virginia and North Dakota show significantly degraded service levels. Federal logistics incentive programs or carrier performance requirements could help close the rural-urban service gap.</w:t>
      </w:r>
    </w:p>
    <w:p>
      <w:pPr>
        <w:pStyle w:val="ListParagraph"/>
        <w:numPr>
          <w:ilvl w:val="0"/>
          <w:numId w:val="2"/>
        </w:numPr>
        <w:spacing w:after="60" w:before="60"/>
      </w:pPr>
      <w:r>
        <w:rPr>
          <w:rFonts w:ascii="Arial" w:cs="Arial" w:eastAsia="Arial" w:hAnsi="Arial"/>
          <w:b/>
          <w:bCs/>
          <w:color w:val="1F3864"/>
          <w:sz w:val="22"/>
          <w:szCs w:val="22"/>
        </w:rPr>
        <w:t xml:space="preserve">Supply Chain Resilience Policy — </w:t>
      </w:r>
      <w:r>
        <w:rPr>
          <w:rFonts w:ascii="Arial" w:cs="Arial" w:eastAsia="Arial" w:hAnsi="Arial"/>
          <w:color w:val="1A1A2E"/>
          <w:sz w:val="22"/>
          <w:szCs w:val="22"/>
        </w:rPr>
        <w:t xml:space="preserve">The 96.6% chocolate division concentration highlights a sector-level fragility. Food distribution resilience frameworks should consider single-product concentration as a risk indicator.</w:t>
      </w:r>
    </w:p>
    <w:p>
      <w:pPr>
        <w:pStyle w:val="ListParagraph"/>
        <w:numPr>
          <w:ilvl w:val="0"/>
          <w:numId w:val="2"/>
        </w:numPr>
        <w:spacing w:after="60" w:before="60"/>
      </w:pPr>
      <w:r>
        <w:rPr>
          <w:rFonts w:ascii="Arial" w:cs="Arial" w:eastAsia="Arial" w:hAnsi="Arial"/>
          <w:b/>
          <w:bCs/>
          <w:color w:val="1F3864"/>
          <w:sz w:val="22"/>
          <w:szCs w:val="22"/>
        </w:rPr>
        <w:t xml:space="preserve">Regional Infrastructure Investment — </w:t>
      </w:r>
      <w:r>
        <w:rPr>
          <w:rFonts w:ascii="Arial" w:cs="Arial" w:eastAsia="Arial" w:hAnsi="Arial"/>
          <w:color w:val="1A1A2E"/>
          <w:sz w:val="22"/>
          <w:szCs w:val="22"/>
        </w:rPr>
        <w:t xml:space="preserve">The Interior region's persistent underperformance points to a gap in Midwest fulfillment infrastructure. Public-private partnerships for regional distribution hubs could address this structural gap.</w:t>
      </w:r>
    </w:p>
    <w:p>
      <w:pPr>
        <w:pStyle w:val="ListParagraph"/>
        <w:numPr>
          <w:ilvl w:val="0"/>
          <w:numId w:val="2"/>
        </w:numPr>
        <w:spacing w:after="60" w:before="60"/>
      </w:pPr>
      <w:r>
        <w:rPr>
          <w:rFonts w:ascii="Arial" w:cs="Arial" w:eastAsia="Arial" w:hAnsi="Arial"/>
          <w:b/>
          <w:bCs/>
          <w:color w:val="1F3864"/>
          <w:sz w:val="22"/>
          <w:szCs w:val="22"/>
        </w:rPr>
        <w:t xml:space="preserve">Carrier SLA Accountability — </w:t>
      </w:r>
      <w:r>
        <w:rPr>
          <w:rFonts w:ascii="Arial" w:cs="Arial" w:eastAsia="Arial" w:hAnsi="Arial"/>
          <w:color w:val="1A1A2E"/>
          <w:sz w:val="22"/>
          <w:szCs w:val="22"/>
        </w:rPr>
        <w:t xml:space="preserve">Establish federal reporting requirements for carrier on-time performance by ship mode, enabling benchmarking across the logistics sector.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CCCCC" w:sz="1"/>
              <w:bottom w:val="single" w:color="C9A84C" w:sz="8"/>
              <w:right w:val="single" w:color="CCCCCC" w:sz="1"/>
            </w:tcBorders>
            <w:shd w:fill="1F3864" w:val="clear"/>
            <w:tcMar>
              <w:top w:type="dxa" w:w="180"/>
              <w:left w:type="dxa" w:w="280"/>
              <w:bottom w:type="dxa" w:w="180"/>
              <w:right w:type="dxa" w:w="280"/>
            </w:tcMar>
          </w:tcPr>
          <w:p>
            <w:pPr>
              <w:spacing w:after="60" w:before="0"/>
              <w:jc w:val="center"/>
            </w:pPr>
            <w:r>
              <w:rPr>
                <w:rFonts w:ascii="Arial" w:cs="Arial" w:eastAsia="Arial" w:hAnsi="Arial"/>
                <w:b/>
                <w:bCs/>
                <w:color w:val="C9A84C"/>
                <w:sz w:val="22"/>
                <w:szCs w:val="22"/>
              </w:rPr>
              <w:t xml:space="preserve">CLOSING STATEMENT</w:t>
            </w:r>
          </w:p>
          <w:p>
            <w:pPr>
              <w:spacing w:after="0" w:before="0"/>
              <w:jc w:val="both"/>
            </w:pPr>
            <w:r>
              <w:rPr>
                <w:rFonts w:ascii="Arial" w:cs="Arial" w:eastAsia="Arial" w:hAnsi="Arial"/>
                <w:color w:val="DDEEFF"/>
                <w:sz w:val="21"/>
                <w:szCs w:val="21"/>
              </w:rPr>
              <w:t xml:space="preserve">Nassau Candy Distributor's distribution network is commercially viable and financially healthy, with a 65.9% gross margin across $141,784 in revenue. However, the geographic service disparities, premium mode performance failures, and product concentration risks identified in this analysis represent real vulnerabilities — both for the business and for the communities it serves. Proactive engagement between private logistics operators and government stakeholders is recommended to ensure equitable, reliable, and resilient supply chain performance at the national level.</w:t>
            </w:r>
          </w:p>
        </w:tc>
      </w:tr>
    </w:tbl>
    <w:p>
      <w:pPr>
        <w:spacing w:after="80" w:before="0"/>
      </w:pPr>
      <w:r>
        <w:t xml:space="preserve"/>
      </w:r>
    </w:p>
    <w:p>
      <w:pPr>
        <w:spacing w:after="0" w:before="60"/>
        <w:jc w:val="center"/>
      </w:pPr>
      <w:r>
        <w:rPr>
          <w:rFonts w:ascii="Arial" w:cs="Arial" w:eastAsia="Arial" w:hAnsi="Arial"/>
          <w:i/>
          <w:iCs/>
          <w:color w:val="888888"/>
          <w:sz w:val="18"/>
          <w:szCs w:val="18"/>
        </w:rPr>
        <w:t xml:space="preserve">Nassau Candy Distributor  |  Operations Analytics Division  |  June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2026-06-02T02:48:21.783Z</dcterms:created>
  <dcterms:modified xsi:type="dcterms:W3CDTF">2026-06-02T02:48:21.783Z</dcterms:modified>
</cp:coreProperties>
</file>

<file path=docProps/custom.xml><?xml version="1.0" encoding="utf-8"?>
<Properties xmlns="http://schemas.openxmlformats.org/officeDocument/2006/custom-properties" xmlns:vt="http://schemas.openxmlformats.org/officeDocument/2006/docPropsVTypes"/>
</file>