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/>
          <w:b/>
          <w:sz w:val="28"/>
        </w:rPr>
        <w:t>Extended Data Figure 1 | G-quadruplex enrichment in exonic flanking sequences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22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_fig1_g4_rema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2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 w:line="276" w:lineRule="auto"/>
        <w:jc w:val="left"/>
      </w:pPr>
      <w:r>
        <w:rPr>
          <w:rFonts w:ascii="Times New Roman" w:hAnsi="Times New Roman"/>
          <w:sz w:val="24"/>
        </w:rPr>
        <w:t>Extended Data Figure 1 | G-quadruplex enrichment in exonic flanking sequences. G4 motif density computed exclusively in exonic sequences flanking intron boundaries (all intronic sequence excluded). Left: telotron-flanking exons show 3.5-fold enrichment over non-telotron-flanking exons (3.63 vs 1.03 motifs/kb, P = 3.4 × 10⁻¹⁰²). Right: metagene profile of G4 density centered on intron boundaries shows peak enrichment at telotron insertion sites.</w:t>
      </w:r>
    </w:p>
    <w:p>
      <w:r>
        <w:br w:type="page"/>
      </w:r>
    </w:p>
    <w:p>
      <w:pPr>
        <w:jc w:val="left"/>
      </w:pPr>
      <w:r>
        <w:rPr>
          <w:rFonts w:ascii="Times New Roman" w:hAnsi="Times New Roman"/>
          <w:b/>
          <w:sz w:val="28"/>
        </w:rPr>
        <w:t>Extended Data Figure 2 | Telotron architecture across MAGs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104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_fig2_rema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10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 w:line="276" w:lineRule="auto"/>
        <w:jc w:val="left"/>
      </w:pPr>
      <w:r>
        <w:rPr>
          <w:rFonts w:ascii="Times New Roman" w:hAnsi="Times New Roman"/>
          <w:sz w:val="24"/>
        </w:rPr>
        <w:t>Extended Data Figure 2 | Telotron architecture across MAGs. Comparison of telomeric repeat structure, strand orientation, and purity distribution across the top 8 telotron-bearing MAGs from 4 supergroups. Architecture is conserved: &gt;85% purity introns show consistent converging or template-strand patterns across lineages.</w:t>
      </w:r>
    </w:p>
    <w:p>
      <w:r>
        <w:br w:type="page"/>
      </w:r>
    </w:p>
    <w:p>
      <w:pPr>
        <w:jc w:val="left"/>
      </w:pPr>
      <w:r>
        <w:rPr>
          <w:rFonts w:ascii="Times New Roman" w:hAnsi="Times New Roman"/>
          <w:b/>
          <w:sz w:val="28"/>
        </w:rPr>
        <w:t>Extended Data Figure 3 | Assembly validation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340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_fig3_rema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4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 w:line="276" w:lineRule="auto"/>
        <w:jc w:val="left"/>
      </w:pPr>
      <w:r>
        <w:rPr>
          <w:rFonts w:ascii="Times New Roman" w:hAnsi="Times New Roman"/>
          <w:sz w:val="24"/>
        </w:rPr>
        <w:t>Extended Data Figure 3 | Assembly validation. (a) Spatial distribution of telotrons along contigs is uniform (KS test P &gt; 0.05), ruling out assembly edge artifacts. (b) GT-AG splice site frequency (94.8%) matches genome-wide rates. (c) Telotron purity shows weak inverse correlation with array length (ρ = −0.24, P &lt; 0.001), opposite to the positive correlation predicted by microsatellite slippage expansion.</w:t>
      </w:r>
    </w:p>
    <w:p>
      <w:r>
        <w:br w:type="page"/>
      </w:r>
    </w:p>
    <w:p>
      <w:pPr>
        <w:jc w:val="left"/>
      </w:pPr>
      <w:r>
        <w:rPr>
          <w:rFonts w:ascii="Times New Roman" w:hAnsi="Times New Roman"/>
          <w:b/>
          <w:sz w:val="28"/>
        </w:rPr>
        <w:t>Extended Data Figure 4 | Phylogenetic distribution of telotrons across Tara Oceans MAGs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88352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_fig4_phylogeny_remad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835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 w:line="276" w:lineRule="auto"/>
        <w:jc w:val="left"/>
      </w:pPr>
      <w:r>
        <w:rPr>
          <w:rFonts w:ascii="Times New Roman" w:hAnsi="Times New Roman"/>
          <w:sz w:val="24"/>
        </w:rPr>
        <w:t>Extended Data Figure 4 | Phylogenetic distribution of telotrons across Tara Oceans MAGs. Heatmap showing telotron burden (total high-purity introns) across 30 MAGs with &gt;50 telotrons, organized by taxonomic supergroup. Haptophyta accounts for 89.5% of all high-purity telotrons.</w:t>
      </w:r>
    </w:p>
    <w:p>
      <w:r>
        <w:br w:type="page"/>
      </w:r>
    </w:p>
    <w:p>
      <w:pPr>
        <w:jc w:val="left"/>
      </w:pPr>
      <w:r>
        <w:rPr>
          <w:rFonts w:ascii="Times New Roman" w:hAnsi="Times New Roman"/>
          <w:b/>
          <w:sz w:val="28"/>
        </w:rPr>
        <w:t>Extended Data Figure 5 | Ortholog-confirmed de novo insertion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8327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_Fig_gapped_alignme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3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 w:line="276" w:lineRule="auto"/>
        <w:jc w:val="left"/>
      </w:pPr>
      <w:r>
        <w:rPr>
          <w:rFonts w:ascii="Times New Roman" w:hAnsi="Times New Roman"/>
          <w:sz w:val="24"/>
        </w:rPr>
        <w:t>Extended Data Figure 5 | Ortholog-confirmed de novo insertion. Representative pairwise alignments between telotron-containing genes in the primary MAG and intron-free orthologs in related MAGs. All 116 alignments show ≥95% exonic identity flanking a clean deletion corresponding to the telotron, confirming de novo insertion rather than ancestral inheritance.</w:t>
      </w:r>
    </w:p>
    <w:p>
      <w:r>
        <w:br w:type="page"/>
      </w:r>
    </w:p>
    <w:p>
      <w:pPr>
        <w:jc w:val="left"/>
      </w:pPr>
      <w:r>
        <w:rPr>
          <w:rFonts w:ascii="Times New Roman" w:hAnsi="Times New Roman"/>
          <w:b/>
          <w:sz w:val="28"/>
        </w:rPr>
        <w:t>Extended Data Figure 6 | Telotron-specific repair gene associations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402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specific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0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 w:line="276" w:lineRule="auto"/>
        <w:jc w:val="left"/>
      </w:pPr>
      <w:r>
        <w:rPr>
          <w:rFonts w:ascii="Times New Roman" w:hAnsi="Times New Roman"/>
          <w:sz w:val="24"/>
        </w:rPr>
        <w:t>Extended Data Figure 6 | Telotron-specific repair gene associations. Partial Spearman correlations controlling for total non-telotron intron count and BUSCO assembly completeness. The anti-correlation between repair gene density and intron burden is specific to telotrons (partial ρ = −0.60) and does not extend to non-telotron introns, confirming that repair gene erosion specifically predisposes to telotron accumulation rather than reflecting general genome degradation.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