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4 - 5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Реалізація симетричного шифрування з використанням AES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отримати навички створення комплексного програмного рішення, що використовує симетричне шифрування на основі AES із можливістю гнучкого налаштування режимів, ретельною перевіркою ефективності та надійності, а також інтеграцією отриманого модуля у прикладний застосунок.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Реалізовано клас KeyManager з використанням PBKDF2-HMAC-SHA256. Ключ завжди походить від пароля користувача з унікальним випадковим salt (16 байт), який зберігається разом із зашифрованими даними. Повторне використання одного ключа неможливе через унікальність salt.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Розроблено універсальний клас AESEncryptor, що підтримує режими CBC та GCM. 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GCM — вбудований тег аутентифікації + 12-байтний IV.  Для CBC — доданий HMAC-SHA256 для цілісності. Передбачена легка розширюваність.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3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бенчмарк на файлах 1 МБ, 10 МБ та 100 МБ за допомогою `performance/benchmark.py`. 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GCM швидший за CBC+HMAC.</w:t>
        <w:br w:type="textWrapping"/>
        <w:br w:type="textWrapping"/>
        <w:t xml:space="preserve">*Тест був проведений після всіх дій з шифруванням та дешифруванням.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95925" cy="196215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4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зручне меню в `app/main.py`: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— Зашифрувати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— Розшифрувати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— Вихід 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Автоматична генерація імен при натисканні Enter.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GCM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89492" cy="199338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9492" cy="199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6405" cy="162933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405" cy="1629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6090" cy="197965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090" cy="197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CBC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2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5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операції логуються у `logs/crypto.log`.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6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Проведено імітацію зміни байтів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ciphertext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(GCM) та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ciphertext/mac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(CBC).</w:t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GCM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Замінено: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2647950</wp:posOffset>
                </wp:positionV>
                <wp:extent cx="1233488" cy="334616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2300" y="759475"/>
                          <a:ext cx="1233488" cy="334616"/>
                          <a:chOff x="1732300" y="759475"/>
                          <a:chExt cx="5125700" cy="1379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1375" y="1168500"/>
                            <a:ext cx="1932600" cy="951000"/>
                          </a:xfrm>
                          <a:prstGeom prst="ellipse">
                            <a:avLst/>
                          </a:prstGeom>
                          <a:noFill/>
                          <a:ln cap="flat" cmpd="sng" w="38100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49900" y="759475"/>
                            <a:ext cx="2911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2647950</wp:posOffset>
                </wp:positionV>
                <wp:extent cx="1233488" cy="334616"/>
                <wp:effectExtent b="0" l="0" r="0" t="0"/>
                <wp:wrapNone/>
                <wp:docPr id="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3488" cy="3346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CBC</w:t>
      </w:r>
    </w:p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129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Змінено: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361950</wp:posOffset>
                </wp:positionV>
                <wp:extent cx="995363" cy="26798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2300" y="759475"/>
                          <a:ext cx="995363" cy="267982"/>
                          <a:chOff x="1732300" y="759475"/>
                          <a:chExt cx="5125700" cy="1379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1375" y="1168500"/>
                            <a:ext cx="1932600" cy="951000"/>
                          </a:xfrm>
                          <a:prstGeom prst="ellipse">
                            <a:avLst/>
                          </a:prstGeom>
                          <a:noFill/>
                          <a:ln cap="flat" cmpd="sng" w="38100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49900" y="759475"/>
                            <a:ext cx="2911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771525</wp:posOffset>
                </wp:positionH>
                <wp:positionV relativeFrom="paragraph">
                  <wp:posOffset>361950</wp:posOffset>
                </wp:positionV>
                <wp:extent cx="995363" cy="267982"/>
                <wp:effectExtent b="0" l="0" r="0" t="0"/>
                <wp:wrapNone/>
                <wp:docPr id="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363" cy="2679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970043</wp:posOffset>
                </wp:positionV>
                <wp:extent cx="1233488" cy="33461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2300" y="759475"/>
                          <a:ext cx="1233488" cy="334616"/>
                          <a:chOff x="1732300" y="759475"/>
                          <a:chExt cx="5125700" cy="13790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51375" y="1168500"/>
                            <a:ext cx="1932600" cy="951000"/>
                          </a:xfrm>
                          <a:prstGeom prst="ellipse">
                            <a:avLst/>
                          </a:prstGeom>
                          <a:noFill/>
                          <a:ln cap="flat" cmpd="sng" w="38100">
                            <a:solidFill>
                              <a:srgbClr val="FF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49900" y="759475"/>
                            <a:ext cx="2911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970043</wp:posOffset>
                </wp:positionV>
                <wp:extent cx="1233488" cy="334616"/>
                <wp:effectExtent b="0" l="0" r="0" t="0"/>
                <wp:wrapNone/>
                <wp:docPr id="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3488" cy="3346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Дані з crypto.log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6.png"/><Relationship Id="rId21" Type="http://schemas.openxmlformats.org/officeDocument/2006/relationships/image" Target="media/image23.png"/><Relationship Id="rId24" Type="http://schemas.openxmlformats.org/officeDocument/2006/relationships/image" Target="media/image2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9.png"/><Relationship Id="rId25" Type="http://schemas.openxmlformats.org/officeDocument/2006/relationships/image" Target="media/image3.png"/><Relationship Id="rId28" Type="http://schemas.openxmlformats.org/officeDocument/2006/relationships/image" Target="media/image4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1.png"/><Relationship Id="rId7" Type="http://schemas.openxmlformats.org/officeDocument/2006/relationships/image" Target="media/image12.png"/><Relationship Id="rId8" Type="http://schemas.openxmlformats.org/officeDocument/2006/relationships/image" Target="media/image22.png"/><Relationship Id="rId30" Type="http://schemas.openxmlformats.org/officeDocument/2006/relationships/header" Target="header1.xml"/><Relationship Id="rId11" Type="http://schemas.openxmlformats.org/officeDocument/2006/relationships/image" Target="media/image13.png"/><Relationship Id="rId10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20.png"/><Relationship Id="rId19" Type="http://schemas.openxmlformats.org/officeDocument/2006/relationships/image" Target="media/image2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