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Proyecto 8 · Fuel Efficiency &amp; Voyage Optimization</w:t>
      </w:r>
    </w:p>
    <w:p>
      <w:r>
        <w:rPr>
          <w:b/>
          <w:color w:val="2B7490"/>
          <w:sz w:val="24"/>
        </w:rPr>
        <w:t>Dosier técnico y ejecutivo de Levante Ferries</w:t>
      </w:r>
    </w:p>
    <w:p>
      <w:pPr>
        <w:pStyle w:val="Subtitle"/>
      </w:pPr>
      <w:r>
        <w:t>Levante Ferries · Proyecto de portfolio con datos sintéticos · Octubre de 2026</w:t>
      </w:r>
    </w:p>
    <w:p/>
    <w:p>
      <w:pPr>
        <w:pStyle w:val="Heading1"/>
      </w:pPr>
      <w:r>
        <w:t>1. Resumen ejecutivo</w:t>
      </w:r>
    </w:p>
    <w:p>
      <w:r>
        <w:t>El proyecto estudia 7,200 viajes sintéticos de ocho rutas y diez buques. Su objetivo es estimar el consumo que cabe esperar en cada contexto y convertir esa estimación en decisiones sobre velocidad, puntualidad, emisiones, coste ETS analítico y margen. El modelo XGBoost alcanza un R² de 0.986 y un WAPE de 3.37% en el bloque temporal de test.</w:t>
      </w:r>
    </w:p>
    <w:p>
      <w:r>
        <w:t>La propuesta no sustituye al capitán ni al despacho operativo. Funciona como capa de analítica previa y posterior al viaje: anticipa escenarios, explica por qué cambia el consumo y permite revisar viajes comparables con criterios homogéneos.</w:t>
      </w:r>
    </w:p>
    <w:p>
      <w:pPr>
        <w:pStyle w:val="Heading1"/>
      </w:pPr>
      <w:r>
        <w:t>2. Conexión con el portfolio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EF5"/>
            <w:vAlign w:val="center"/>
          </w:tcPr>
          <w:p>
            <w:r>
              <w:rPr>
                <w:b/>
                <w:sz w:val="17"/>
              </w:rPr>
              <w:t>Proyecto</w:t>
            </w:r>
          </w:p>
        </w:tc>
        <w:tc>
          <w:tcPr>
            <w:tcW w:type="dxa" w:w="5083"/>
            <w:shd w:fill="D9EEF5"/>
            <w:vAlign w:val="center"/>
          </w:tcPr>
          <w:p>
            <w:r>
              <w:rPr>
                <w:b/>
                <w:sz w:val="17"/>
              </w:rPr>
              <w:t>Aporte al Proyecto 8</w:t>
            </w:r>
          </w:p>
        </w:tc>
      </w:tr>
      <w:tr>
        <w:tc>
          <w:tcPr>
            <w:tcW w:type="dxa" w:w="5083"/>
          </w:tcPr>
          <w:p>
            <w:r>
              <w:rPr>
                <w:sz w:val="16"/>
              </w:rPr>
              <w:t>P1 · Control operativo</w:t>
            </w:r>
          </w:p>
        </w:tc>
        <w:tc>
          <w:tcPr>
            <w:tcW w:type="dxa" w:w="5083"/>
          </w:tcPr>
          <w:p>
            <w:r>
              <w:rPr>
                <w:sz w:val="16"/>
              </w:rPr>
              <w:t>Puntualidad OTR15, retrasos, fiabilidad, ruta, buque y lógica de intervención.</w:t>
            </w:r>
          </w:p>
        </w:tc>
      </w:tr>
      <w:tr>
        <w:tc>
          <w:tcPr>
            <w:tcW w:type="dxa" w:w="5083"/>
          </w:tcPr>
          <w:p>
            <w:r>
              <w:rPr>
                <w:sz w:val="16"/>
              </w:rPr>
              <w:t>P5 · Finanzas operativas</w:t>
            </w:r>
          </w:p>
        </w:tc>
        <w:tc>
          <w:tcPr>
            <w:tcW w:type="dxa" w:w="5083"/>
          </w:tcPr>
          <w:p>
            <w:r>
              <w:rPr>
                <w:sz w:val="16"/>
              </w:rPr>
              <w:t>Coste de combustible, ETS analítico, margen por viaje y análisis de sensibilidad.</w:t>
            </w:r>
          </w:p>
        </w:tc>
      </w:tr>
      <w:tr>
        <w:tc>
          <w:tcPr>
            <w:tcW w:type="dxa" w:w="5083"/>
          </w:tcPr>
          <w:p>
            <w:r>
              <w:rPr>
                <w:sz w:val="16"/>
              </w:rPr>
              <w:t>P6 · Agente IA</w:t>
            </w:r>
          </w:p>
        </w:tc>
        <w:tc>
          <w:tcPr>
            <w:tcW w:type="dxa" w:w="5083"/>
          </w:tcPr>
          <w:p>
            <w:r>
              <w:rPr>
                <w:sz w:val="16"/>
              </w:rPr>
              <w:t>El agente puede consultar KPI, explicaciones SHAP y escenarios con permisos y trazabilidad.</w:t>
            </w:r>
          </w:p>
        </w:tc>
      </w:tr>
      <w:tr>
        <w:tc>
          <w:tcPr>
            <w:tcW w:type="dxa" w:w="5083"/>
          </w:tcPr>
          <w:p>
            <w:r>
              <w:rPr>
                <w:sz w:val="16"/>
              </w:rPr>
              <w:t>P7 · Sostenibilidad</w:t>
            </w:r>
          </w:p>
        </w:tc>
        <w:tc>
          <w:tcPr>
            <w:tcW w:type="dxa" w:w="5083"/>
          </w:tcPr>
          <w:p>
            <w:r>
              <w:rPr>
                <w:sz w:val="16"/>
              </w:rPr>
              <w:t>CO₂e, velocidad, energía, ETS y decisiones de descarbonización.</w:t>
            </w:r>
          </w:p>
        </w:tc>
      </w:tr>
    </w:tbl>
    <w:p>
      <w:pPr>
        <w:pStyle w:val="Heading1"/>
      </w:pPr>
      <w:r>
        <w:t>3. Datos sintéticos y unidad de análisis</w:t>
      </w:r>
    </w:p>
    <w:p>
      <w:r>
        <w:t>Cada fila representa un viaje. La base incluye identificador, fecha/hora, ruta, buque, capitán codificado, capacidad, pasajeros y carga, mar, viento, corriente, velocidad, duración, retraso, consumo, CO₂e, ingresos, costes y margen.</w:t>
      </w:r>
    </w:p>
    <w:p>
      <w:r>
        <w:t>Las relaciones físicas están simplificadas. La propulsión utiliza una relación aproximada de potencia con el cubo de la velocidad, coherente con la literatura de eficiencia energética marítima; la carga y la meteorología elevan la resistencia. Los parámetros no corresponden a ningún buque real.</w:t>
      </w:r>
    </w:p>
    <w:p>
      <w:pPr>
        <w:pStyle w:val="Heading1"/>
      </w:pPr>
      <w:r>
        <w:t>4. Flujo de notebooks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D9EEF5"/>
            <w:vAlign w:val="center"/>
          </w:tcPr>
          <w:p>
            <w:r>
              <w:rPr>
                <w:b/>
                <w:sz w:val="17"/>
              </w:rPr>
              <w:t>Notebook</w:t>
            </w:r>
          </w:p>
        </w:tc>
        <w:tc>
          <w:tcPr>
            <w:tcW w:type="dxa" w:w="3389"/>
            <w:shd w:fill="D9EEF5"/>
            <w:vAlign w:val="center"/>
          </w:tcPr>
          <w:p>
            <w:r>
              <w:rPr>
                <w:b/>
                <w:sz w:val="17"/>
              </w:rPr>
              <w:t>Qué hace</w:t>
            </w:r>
          </w:p>
        </w:tc>
        <w:tc>
          <w:tcPr>
            <w:tcW w:type="dxa" w:w="3389"/>
            <w:shd w:fill="D9EEF5"/>
            <w:vAlign w:val="center"/>
          </w:tcPr>
          <w:p>
            <w:r>
              <w:rPr>
                <w:b/>
                <w:sz w:val="17"/>
              </w:rPr>
              <w:t>Por qué importa</w:t>
            </w:r>
          </w:p>
        </w:tc>
      </w:tr>
      <w:tr>
        <w:tc>
          <w:tcPr>
            <w:tcW w:type="dxa" w:w="3389"/>
          </w:tcPr>
          <w:p>
            <w:r>
              <w:rPr>
                <w:sz w:val="16"/>
              </w:rPr>
              <w:t>00 Data generation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Genera 7.200 viajes reproducibles.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Permite auditar supuestos y repetir el caso.</w:t>
            </w:r>
          </w:p>
        </w:tc>
      </w:tr>
      <w:tr>
        <w:tc>
          <w:tcPr>
            <w:tcW w:type="dxa" w:w="3389"/>
          </w:tcPr>
          <w:p>
            <w:r>
              <w:rPr>
                <w:sz w:val="16"/>
              </w:rPr>
              <w:t>01 Data quality &amp; EDA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Valida claves, rangos, capacidad y margen.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Evita modelar sobre incoherencias.</w:t>
            </w:r>
          </w:p>
        </w:tc>
      </w:tr>
      <w:tr>
        <w:tc>
          <w:tcPr>
            <w:tcW w:type="dxa" w:w="3389"/>
          </w:tcPr>
          <w:p>
            <w:r>
              <w:rPr>
                <w:sz w:val="16"/>
              </w:rPr>
              <w:t>02 Clustering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K-Means sobre contexto operativo.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Separa regímenes antes de interpretar diferencias.</w:t>
            </w:r>
          </w:p>
        </w:tc>
      </w:tr>
      <w:tr>
        <w:tc>
          <w:tcPr>
            <w:tcW w:type="dxa" w:w="3389"/>
          </w:tcPr>
          <w:p>
            <w:r>
              <w:rPr>
                <w:sz w:val="16"/>
              </w:rPr>
              <w:t>03 XGBoost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Predice combustible esperado.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Crea una referencia ajustada por contexto.</w:t>
            </w:r>
          </w:p>
        </w:tc>
      </w:tr>
      <w:tr>
        <w:tc>
          <w:tcPr>
            <w:tcW w:type="dxa" w:w="3389"/>
          </w:tcPr>
          <w:p>
            <w:r>
              <w:rPr>
                <w:sz w:val="16"/>
              </w:rPr>
              <w:t>04 SHAP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Explica predicciones.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Comprueba drivers y facilita diálogo con negocio.</w:t>
            </w:r>
          </w:p>
        </w:tc>
      </w:tr>
      <w:tr>
        <w:tc>
          <w:tcPr>
            <w:tcW w:type="dxa" w:w="3389"/>
          </w:tcPr>
          <w:p>
            <w:r>
              <w:rPr>
                <w:sz w:val="16"/>
              </w:rPr>
              <w:t>05 Comparisons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Residuos out-of-fold + estratos comparables.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Evita comparar consumo bruto entre contextos distintos.</w:t>
            </w:r>
          </w:p>
        </w:tc>
      </w:tr>
      <w:tr>
        <w:tc>
          <w:tcPr>
            <w:tcW w:type="dxa" w:w="3389"/>
          </w:tcPr>
          <w:p>
            <w:r>
              <w:rPr>
                <w:sz w:val="16"/>
              </w:rPr>
              <w:t>06 Simulator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Velocidad → fuel → OTR15 → ETS → margen.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Permite ensayar compromisos operativos.</w:t>
            </w:r>
          </w:p>
        </w:tc>
      </w:tr>
      <w:tr>
        <w:tc>
          <w:tcPr>
            <w:tcW w:type="dxa" w:w="3389"/>
          </w:tcPr>
          <w:p>
            <w:r>
              <w:rPr>
                <w:sz w:val="16"/>
              </w:rPr>
              <w:t>07 Executive KPIs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Consolida métricas y guardrails.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Prepara lectura directiva y validación final.</w:t>
            </w:r>
          </w:p>
        </w:tc>
      </w:tr>
    </w:tbl>
    <w:p>
      <w:pPr>
        <w:pStyle w:val="Heading1"/>
      </w:pPr>
      <w:r>
        <w:t>5. KPIs e indicadores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D9EEF5"/>
            <w:vAlign w:val="center"/>
          </w:tcPr>
          <w:p>
            <w:r>
              <w:rPr>
                <w:b/>
                <w:sz w:val="17"/>
              </w:rPr>
              <w:t>KPI</w:t>
            </w:r>
          </w:p>
        </w:tc>
        <w:tc>
          <w:tcPr>
            <w:tcW w:type="dxa" w:w="2541"/>
            <w:shd w:fill="D9EEF5"/>
            <w:vAlign w:val="center"/>
          </w:tcPr>
          <w:p>
            <w:r>
              <w:rPr>
                <w:b/>
                <w:sz w:val="17"/>
              </w:rPr>
              <w:t>Fórmula</w:t>
            </w:r>
          </w:p>
        </w:tc>
        <w:tc>
          <w:tcPr>
            <w:tcW w:type="dxa" w:w="2541"/>
            <w:shd w:fill="D9EEF5"/>
            <w:vAlign w:val="center"/>
          </w:tcPr>
          <w:p>
            <w:r>
              <w:rPr>
                <w:b/>
                <w:sz w:val="17"/>
              </w:rPr>
              <w:t>Unidad</w:t>
            </w:r>
          </w:p>
        </w:tc>
        <w:tc>
          <w:tcPr>
            <w:tcW w:type="dxa" w:w="2541"/>
            <w:shd w:fill="D9EEF5"/>
            <w:vAlign w:val="center"/>
          </w:tcPr>
          <w:p>
            <w:r>
              <w:rPr>
                <w:b/>
                <w:sz w:val="17"/>
              </w:rPr>
              <w:t>Lectura</w:t>
            </w:r>
          </w:p>
        </w:tc>
      </w:tr>
      <w:tr>
        <w:tc>
          <w:tcPr>
            <w:tcW w:type="dxa" w:w="2541"/>
          </w:tcPr>
          <w:p>
            <w:r>
              <w:rPr>
                <w:sz w:val="16"/>
              </w:rPr>
              <w:t>Fuel per voyage</w:t>
            </w:r>
          </w:p>
        </w:tc>
        <w:tc>
          <w:tcPr>
            <w:tcW w:type="dxa" w:w="2541"/>
          </w:tcPr>
          <w:p>
            <w:r>
              <w:rPr>
                <w:sz w:val="16"/>
              </w:rPr>
              <w:t>Σ combustible / viajes</w:t>
            </w:r>
          </w:p>
        </w:tc>
        <w:tc>
          <w:tcPr>
            <w:tcW w:type="dxa" w:w="2541"/>
          </w:tcPr>
          <w:p>
            <w:r>
              <w:rPr>
                <w:sz w:val="16"/>
              </w:rPr>
              <w:t>t/viaje</w:t>
            </w:r>
          </w:p>
        </w:tc>
        <w:tc>
          <w:tcPr>
            <w:tcW w:type="dxa" w:w="2541"/>
          </w:tcPr>
          <w:p>
            <w:r>
              <w:rPr>
                <w:sz w:val="16"/>
              </w:rPr>
              <w:t>Carga energética directa del servicio.</w:t>
            </w:r>
          </w:p>
        </w:tc>
      </w:tr>
      <w:tr>
        <w:tc>
          <w:tcPr>
            <w:tcW w:type="dxa" w:w="2541"/>
          </w:tcPr>
          <w:p>
            <w:r>
              <w:rPr>
                <w:sz w:val="16"/>
              </w:rPr>
              <w:t>Fuel intensity</w:t>
            </w:r>
          </w:p>
        </w:tc>
        <w:tc>
          <w:tcPr>
            <w:tcW w:type="dxa" w:w="2541"/>
          </w:tcPr>
          <w:p>
            <w:r>
              <w:rPr>
                <w:sz w:val="16"/>
              </w:rPr>
              <w:t>Σ fuel kg / Σ nm</w:t>
            </w:r>
          </w:p>
        </w:tc>
        <w:tc>
          <w:tcPr>
            <w:tcW w:type="dxa" w:w="2541"/>
          </w:tcPr>
          <w:p>
            <w:r>
              <w:rPr>
                <w:sz w:val="16"/>
              </w:rPr>
              <w:t>kg/nm</w:t>
            </w:r>
          </w:p>
        </w:tc>
        <w:tc>
          <w:tcPr>
            <w:tcW w:type="dxa" w:w="2541"/>
          </w:tcPr>
          <w:p>
            <w:r>
              <w:rPr>
                <w:sz w:val="16"/>
              </w:rPr>
              <w:t>Eficiencia física agregada por distancia.</w:t>
            </w:r>
          </w:p>
        </w:tc>
      </w:tr>
      <w:tr>
        <w:tc>
          <w:tcPr>
            <w:tcW w:type="dxa" w:w="2541"/>
          </w:tcPr>
          <w:p>
            <w:r>
              <w:rPr>
                <w:sz w:val="16"/>
              </w:rPr>
              <w:t>OTR15</w:t>
            </w:r>
          </w:p>
        </w:tc>
        <w:tc>
          <w:tcPr>
            <w:tcW w:type="dxa" w:w="2541"/>
          </w:tcPr>
          <w:p>
            <w:r>
              <w:rPr>
                <w:sz w:val="16"/>
              </w:rPr>
              <w:t>viajes con retraso ≤15 / completados</w:t>
            </w:r>
          </w:p>
        </w:tc>
        <w:tc>
          <w:tcPr>
            <w:tcW w:type="dxa" w:w="2541"/>
          </w:tcPr>
          <w:p>
            <w:r>
              <w:rPr>
                <w:sz w:val="16"/>
              </w:rPr>
              <w:t>%</w:t>
            </w:r>
          </w:p>
        </w:tc>
        <w:tc>
          <w:tcPr>
            <w:tcW w:type="dxa" w:w="2541"/>
          </w:tcPr>
          <w:p>
            <w:r>
              <w:rPr>
                <w:sz w:val="16"/>
              </w:rPr>
              <w:t>Cumplimiento de servicio.</w:t>
            </w:r>
          </w:p>
        </w:tc>
      </w:tr>
      <w:tr>
        <w:tc>
          <w:tcPr>
            <w:tcW w:type="dxa" w:w="2541"/>
          </w:tcPr>
          <w:p>
            <w:r>
              <w:rPr>
                <w:sz w:val="16"/>
              </w:rPr>
              <w:t>CO₂e</w:t>
            </w:r>
          </w:p>
        </w:tc>
        <w:tc>
          <w:tcPr>
            <w:tcW w:type="dxa" w:w="2541"/>
          </w:tcPr>
          <w:p>
            <w:r>
              <w:rPr>
                <w:sz w:val="16"/>
              </w:rPr>
              <w:t>CO₂ + 28·CH₄ + 265·N₂O</w:t>
            </w:r>
          </w:p>
        </w:tc>
        <w:tc>
          <w:tcPr>
            <w:tcW w:type="dxa" w:w="2541"/>
          </w:tcPr>
          <w:p>
            <w:r>
              <w:rPr>
                <w:sz w:val="16"/>
              </w:rPr>
              <w:t>tCO₂e</w:t>
            </w:r>
          </w:p>
        </w:tc>
        <w:tc>
          <w:tcPr>
            <w:tcW w:type="dxa" w:w="2541"/>
          </w:tcPr>
          <w:p>
            <w:r>
              <w:rPr>
                <w:sz w:val="16"/>
              </w:rPr>
              <w:t>Huella climática modelizada.</w:t>
            </w:r>
          </w:p>
        </w:tc>
      </w:tr>
      <w:tr>
        <w:tc>
          <w:tcPr>
            <w:tcW w:type="dxa" w:w="2541"/>
          </w:tcPr>
          <w:p>
            <w:r>
              <w:rPr>
                <w:sz w:val="16"/>
              </w:rPr>
              <w:t>CO₂e/pax</w:t>
            </w:r>
          </w:p>
        </w:tc>
        <w:tc>
          <w:tcPr>
            <w:tcW w:type="dxa" w:w="2541"/>
          </w:tcPr>
          <w:p>
            <w:r>
              <w:rPr>
                <w:sz w:val="16"/>
              </w:rPr>
              <w:t>Σ CO₂e kg / Σ pasajeros</w:t>
            </w:r>
          </w:p>
        </w:tc>
        <w:tc>
          <w:tcPr>
            <w:tcW w:type="dxa" w:w="2541"/>
          </w:tcPr>
          <w:p>
            <w:r>
              <w:rPr>
                <w:sz w:val="16"/>
              </w:rPr>
              <w:t>kg/pax</w:t>
            </w:r>
          </w:p>
        </w:tc>
        <w:tc>
          <w:tcPr>
            <w:tcW w:type="dxa" w:w="2541"/>
          </w:tcPr>
          <w:p>
            <w:r>
              <w:rPr>
                <w:sz w:val="16"/>
              </w:rPr>
              <w:t>Intensidad relativa de pasajero.</w:t>
            </w:r>
          </w:p>
        </w:tc>
      </w:tr>
      <w:tr>
        <w:tc>
          <w:tcPr>
            <w:tcW w:type="dxa" w:w="2541"/>
          </w:tcPr>
          <w:p>
            <w:r>
              <w:rPr>
                <w:sz w:val="16"/>
              </w:rPr>
              <w:t>ETS accrual</w:t>
            </w:r>
          </w:p>
        </w:tc>
        <w:tc>
          <w:tcPr>
            <w:tcW w:type="dxa" w:w="2541"/>
          </w:tcPr>
          <w:p>
            <w:r>
              <w:rPr>
                <w:sz w:val="16"/>
              </w:rPr>
              <w:t>CO₂e × precio EUA × factor alcance</w:t>
            </w:r>
          </w:p>
        </w:tc>
        <w:tc>
          <w:tcPr>
            <w:tcW w:type="dxa" w:w="2541"/>
          </w:tcPr>
          <w:p>
            <w:r>
              <w:rPr>
                <w:sz w:val="16"/>
              </w:rPr>
              <w:t>€</w:t>
            </w:r>
          </w:p>
        </w:tc>
        <w:tc>
          <w:tcPr>
            <w:tcW w:type="dxa" w:w="2541"/>
          </w:tcPr>
          <w:p>
            <w:r>
              <w:rPr>
                <w:sz w:val="16"/>
              </w:rPr>
              <w:t>Sensibilidad económica al carbono; no cumplimiento legal.</w:t>
            </w:r>
          </w:p>
        </w:tc>
      </w:tr>
      <w:tr>
        <w:tc>
          <w:tcPr>
            <w:tcW w:type="dxa" w:w="2541"/>
          </w:tcPr>
          <w:p>
            <w:r>
              <w:rPr>
                <w:sz w:val="16"/>
              </w:rPr>
              <w:t>Margin per voyage</w:t>
            </w:r>
          </w:p>
        </w:tc>
        <w:tc>
          <w:tcPr>
            <w:tcW w:type="dxa" w:w="2541"/>
          </w:tcPr>
          <w:p>
            <w:r>
              <w:rPr>
                <w:sz w:val="16"/>
              </w:rPr>
              <w:t>Ingresos − fuel − ETS − otros − fijo</w:t>
            </w:r>
          </w:p>
        </w:tc>
        <w:tc>
          <w:tcPr>
            <w:tcW w:type="dxa" w:w="2541"/>
          </w:tcPr>
          <w:p>
            <w:r>
              <w:rPr>
                <w:sz w:val="16"/>
              </w:rPr>
              <w:t>€</w:t>
            </w:r>
          </w:p>
        </w:tc>
        <w:tc>
          <w:tcPr>
            <w:tcW w:type="dxa" w:w="2541"/>
          </w:tcPr>
          <w:p>
            <w:r>
              <w:rPr>
                <w:sz w:val="16"/>
              </w:rPr>
              <w:t>Valor económico del viaje.</w:t>
            </w:r>
          </w:p>
        </w:tc>
      </w:tr>
      <w:tr>
        <w:tc>
          <w:tcPr>
            <w:tcW w:type="dxa" w:w="2541"/>
          </w:tcPr>
          <w:p>
            <w:r>
              <w:rPr>
                <w:sz w:val="16"/>
              </w:rPr>
              <w:t>Adjusted fuel residual</w:t>
            </w:r>
          </w:p>
        </w:tc>
        <w:tc>
          <w:tcPr>
            <w:tcW w:type="dxa" w:w="2541"/>
          </w:tcPr>
          <w:p>
            <w:r>
              <w:rPr>
                <w:sz w:val="16"/>
              </w:rPr>
              <w:t>(fuel real − esperado)/esperado</w:t>
            </w:r>
          </w:p>
        </w:tc>
        <w:tc>
          <w:tcPr>
            <w:tcW w:type="dxa" w:w="2541"/>
          </w:tcPr>
          <w:p>
            <w:r>
              <w:rPr>
                <w:sz w:val="16"/>
              </w:rPr>
              <w:t>%</w:t>
            </w:r>
          </w:p>
        </w:tc>
        <w:tc>
          <w:tcPr>
            <w:tcW w:type="dxa" w:w="2541"/>
          </w:tcPr>
          <w:p>
            <w:r>
              <w:rPr>
                <w:sz w:val="16"/>
              </w:rPr>
              <w:t>Diferencia tras controlar contexto.</w:t>
            </w:r>
          </w:p>
        </w:tc>
      </w:tr>
      <w:tr>
        <w:tc>
          <w:tcPr>
            <w:tcW w:type="dxa" w:w="2541"/>
          </w:tcPr>
          <w:p>
            <w:r>
              <w:rPr>
                <w:sz w:val="16"/>
              </w:rPr>
              <w:t>WAPE</w:t>
            </w:r>
          </w:p>
        </w:tc>
        <w:tc>
          <w:tcPr>
            <w:tcW w:type="dxa" w:w="2541"/>
          </w:tcPr>
          <w:p>
            <w:r>
              <w:rPr>
                <w:sz w:val="16"/>
              </w:rPr>
              <w:t>Σ|real−pred| / Σ real</w:t>
            </w:r>
          </w:p>
        </w:tc>
        <w:tc>
          <w:tcPr>
            <w:tcW w:type="dxa" w:w="2541"/>
          </w:tcPr>
          <w:p>
            <w:r>
              <w:rPr>
                <w:sz w:val="16"/>
              </w:rPr>
              <w:t>%</w:t>
            </w:r>
          </w:p>
        </w:tc>
        <w:tc>
          <w:tcPr>
            <w:tcW w:type="dxa" w:w="2541"/>
          </w:tcPr>
          <w:p>
            <w:r>
              <w:rPr>
                <w:sz w:val="16"/>
              </w:rPr>
              <w:t>Error agregado del modelo.</w:t>
            </w:r>
          </w:p>
        </w:tc>
      </w:tr>
      <w:tr>
        <w:tc>
          <w:tcPr>
            <w:tcW w:type="dxa" w:w="2541"/>
          </w:tcPr>
          <w:p>
            <w:r>
              <w:rPr>
                <w:sz w:val="16"/>
              </w:rPr>
              <w:t>Support score</w:t>
            </w:r>
          </w:p>
        </w:tc>
        <w:tc>
          <w:tcPr>
            <w:tcW w:type="dxa" w:w="2541"/>
          </w:tcPr>
          <w:p>
            <w:r>
              <w:rPr>
                <w:sz w:val="16"/>
              </w:rPr>
              <w:t>muestra × diversidad ruta-buque</w:t>
            </w:r>
          </w:p>
        </w:tc>
        <w:tc>
          <w:tcPr>
            <w:tcW w:type="dxa" w:w="2541"/>
          </w:tcPr>
          <w:p>
            <w:r>
              <w:rPr>
                <w:sz w:val="16"/>
              </w:rPr>
              <w:t>0–1</w:t>
            </w:r>
          </w:p>
        </w:tc>
        <w:tc>
          <w:tcPr>
            <w:tcW w:type="dxa" w:w="2541"/>
          </w:tcPr>
          <w:p>
            <w:r>
              <w:rPr>
                <w:sz w:val="16"/>
              </w:rPr>
              <w:t>Indica si una comparación tiene contexto suficiente.</w:t>
            </w:r>
          </w:p>
        </w:tc>
      </w:tr>
    </w:tbl>
    <w:p>
      <w:pPr>
        <w:pStyle w:val="Heading1"/>
      </w:pPr>
      <w:r>
        <w:t>6. Clustering de regímenes operativos</w:t>
      </w:r>
    </w:p>
    <w:p>
      <w:r>
        <w:t>K-Means identifica cinco regímenes con silhouette 0.485. El objetivo no es crear una etiqueta “bueno/malo”, sino diferenciar viajes cortos y rápidos, tramos largos, meteorología adversa, carga alta o contextos con retraso. Estas segmentaciones permiten comparar dentro de condiciones semejantes.</w:t>
      </w:r>
    </w:p>
    <w:p>
      <w:pPr>
        <w:pStyle w:val="Heading1"/>
      </w:pPr>
      <w:r>
        <w:t>7. Modelo XGBoost y SHAP</w:t>
      </w:r>
    </w:p>
    <w:p>
      <w:r>
        <w:t>El modelo se entrena con variables de ruta, buque, carga, meteorología, corriente, velocidad y hora. El último 20% cronológico se reserva para test. Resultado: MAE 0.28 t, RMSE 0.37 t, R² 0.986 y WAPE 3.37%.</w:t>
      </w:r>
    </w:p>
    <w:p>
      <w:r>
        <w:t>SHAP descompone la predicción en contribuciones por variable. Se usa como control de plausibilidad y herramienta explicativa. Una contribución SHAP no demuestra causalidad; indica cómo utiliza el modelo esa variable en presencia de las demás.</w:t>
      </w:r>
    </w:p>
    <w:p>
      <w:pPr>
        <w:pStyle w:val="Heading1"/>
      </w:pPr>
      <w:r>
        <w:t>8. Comparaciones ajustadas de capitanes y viajes</w:t>
      </w:r>
    </w:p>
    <w:p>
      <w:r>
        <w:t>La comparación principal parte de predicciones out-of-fold para cada viaje. El capitán queda fuera del modelo. Así, el consumo esperado se calcula con buque, ruta, pasajeros/carga, mar, viento, corriente, hora y velocidad. El residuo resultante mide cuánto se separa el consumo observado de lo que el contexto hacía esperar.</w:t>
      </w:r>
    </w:p>
    <w:p>
      <w:pPr>
        <w:pStyle w:val="ListBullet"/>
      </w:pPr>
      <w:r>
        <w:t>Se exige al menos 120 viajes y un support score ≥ 0,60 para interpretar el promedio de un capitán.</w:t>
      </w:r>
    </w:p>
    <w:p>
      <w:pPr>
        <w:pStyle w:val="ListBullet"/>
      </w:pPr>
      <w:r>
        <w:t>Se muestra IC95%; si cruza cero, la diferencia se considera no robusta.</w:t>
      </w:r>
    </w:p>
    <w:p>
      <w:pPr>
        <w:pStyle w:val="ListBullet"/>
      </w:pPr>
      <w:r>
        <w:t>Se replica la comparación en estratos buque × ruta × carga × estado de la mar × viento.</w:t>
      </w:r>
    </w:p>
    <w:p>
      <w:pPr>
        <w:pStyle w:val="ListBullet"/>
      </w:pPr>
      <w:r>
        <w:t>La salida debe emplearse para estudiar prácticas, planificación o formación; no como ranking laboral ni atribución causal automática.</w:t>
      </w:r>
    </w:p>
    <w:p>
      <w:pPr>
        <w:pStyle w:val="Heading1"/>
      </w:pPr>
      <w:r>
        <w:t>9. Simulador multiobjetivo</w:t>
      </w:r>
    </w:p>
    <w:p>
      <w:r>
        <w:t>Para un viaje concreto se ensaya una parrilla de velocidades. Cada velocidad recalcula horas de navegación, combustible, CO₂e, retraso, coste de combustible, ETS analítico y margen. El optimizador elige la mejor alternativa entre las que mantienen OTR15; si no existe una opción factible, muestra el mejor compromiso disponible.</w:t>
      </w:r>
    </w:p>
    <w:p>
      <w:r>
        <w:t>En el viaje representativo V007167 (Dénia–Palma, LF-Aitana), el ejemplo de optimización selecciona 25.35 kn bajo los supuestos del modelo. Es una demostración y no una instrucción de navegación.</w:t>
      </w:r>
    </w:p>
    <w:p>
      <w:pPr>
        <w:pStyle w:val="Heading1"/>
      </w:pPr>
      <w:r>
        <w:t>10. Ventajas del modelo</w:t>
      </w:r>
    </w:p>
    <w:p>
      <w:pPr>
        <w:pStyle w:val="ListBullet"/>
      </w:pPr>
      <w:r>
        <w:t>Integra operación, sostenibilidad y finanzas en la misma unidad de decisión: el viaje.</w:t>
      </w:r>
    </w:p>
    <w:p>
      <w:pPr>
        <w:pStyle w:val="ListBullet"/>
      </w:pPr>
      <w:r>
        <w:t>Hace visibles los trade-offs entre ahorrar combustible y conservar puntualidad.</w:t>
      </w:r>
    </w:p>
    <w:p>
      <w:pPr>
        <w:pStyle w:val="ListBullet"/>
      </w:pPr>
      <w:r>
        <w:t>Separa contexto de ejecución antes de comparar viajes o capitanes.</w:t>
      </w:r>
    </w:p>
    <w:p>
      <w:pPr>
        <w:pStyle w:val="ListBullet"/>
      </w:pPr>
      <w:r>
        <w:t>Permite explicar el modelo con SHAP y conservar trazabilidad de variables.</w:t>
      </w:r>
    </w:p>
    <w:p>
      <w:pPr>
        <w:pStyle w:val="ListBullet"/>
      </w:pPr>
      <w:r>
        <w:t>Puede alimentar al agente del Proyecto 6 con respuestas estructuradas y permisos por perfil.</w:t>
      </w:r>
    </w:p>
    <w:p>
      <w:pPr>
        <w:pStyle w:val="ListBullet"/>
      </w:pPr>
      <w:r>
        <w:t>Es reproducible: datos, notebooks, tablas y dashboard nacen del mismo pipeline.</w:t>
      </w:r>
    </w:p>
    <w:p>
      <w:pPr>
        <w:pStyle w:val="Heading1"/>
      </w:pPr>
      <w:r>
        <w:t>11. Límites y riesgos</w:t>
      </w:r>
    </w:p>
    <w:p>
      <w:pPr>
        <w:pStyle w:val="ListBullet"/>
      </w:pPr>
      <w:r>
        <w:t>Datos y parámetros 100% sintéticos; no representan curvas reales de consumo.</w:t>
      </w:r>
    </w:p>
    <w:p>
      <w:pPr>
        <w:pStyle w:val="ListBullet"/>
      </w:pPr>
      <w:r>
        <w:t>El modelo no incorpora restricciones de seguridad náutica, tráfico, slot portuario, maniobra, mantenimiento ni órdenes del puente.</w:t>
      </w:r>
    </w:p>
    <w:p>
      <w:pPr>
        <w:pStyle w:val="ListBullet"/>
      </w:pPr>
      <w:r>
        <w:t>ETS se modeliza como accrual configurable; no sustituye MRV, verificación, exenciones ni interpretación jurídica.</w:t>
      </w:r>
    </w:p>
    <w:p>
      <w:pPr>
        <w:pStyle w:val="ListBullet"/>
      </w:pPr>
      <w:r>
        <w:t>La optimización es de apoyo a decisión y nunca debe emitir consignas de navegación autónomas.</w:t>
      </w:r>
    </w:p>
    <w:p>
      <w:pPr>
        <w:pStyle w:val="ListBullet"/>
      </w:pPr>
      <w:r>
        <w:t>SHAP explica el modelo, no prueba causalidad.</w:t>
      </w:r>
    </w:p>
    <w:p>
      <w:pPr>
        <w:pStyle w:val="Heading1"/>
      </w:pPr>
      <w:r>
        <w:t>12. Siguientes pasos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D9EEF5"/>
            <w:vAlign w:val="center"/>
          </w:tcPr>
          <w:p>
            <w:r>
              <w:rPr>
                <w:b/>
                <w:sz w:val="17"/>
              </w:rPr>
              <w:t>Fase</w:t>
            </w:r>
          </w:p>
        </w:tc>
        <w:tc>
          <w:tcPr>
            <w:tcW w:type="dxa" w:w="3389"/>
            <w:shd w:fill="D9EEF5"/>
            <w:vAlign w:val="center"/>
          </w:tcPr>
          <w:p>
            <w:r>
              <w:rPr>
                <w:b/>
                <w:sz w:val="17"/>
              </w:rPr>
              <w:t>Trabajo</w:t>
            </w:r>
          </w:p>
        </w:tc>
        <w:tc>
          <w:tcPr>
            <w:tcW w:type="dxa" w:w="3389"/>
            <w:shd w:fill="D9EEF5"/>
            <w:vAlign w:val="center"/>
          </w:tcPr>
          <w:p>
            <w:r>
              <w:rPr>
                <w:b/>
                <w:sz w:val="17"/>
              </w:rPr>
              <w:t>Criterio de avance</w:t>
            </w:r>
          </w:p>
        </w:tc>
      </w:tr>
      <w:tr>
        <w:tc>
          <w:tcPr>
            <w:tcW w:type="dxa" w:w="3389"/>
          </w:tcPr>
          <w:p>
            <w:r>
              <w:rPr>
                <w:sz w:val="16"/>
              </w:rPr>
              <w:t>1 · Datos reales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Conectar noon reports/telemetría, meteo, AIS, carga, schedule y bunker.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Definiciones reconciliadas y &gt;95% viajes con claves válidas.</w:t>
            </w:r>
          </w:p>
        </w:tc>
      </w:tr>
      <w:tr>
        <w:tc>
          <w:tcPr>
            <w:tcW w:type="dxa" w:w="3389"/>
          </w:tcPr>
          <w:p>
            <w:r>
              <w:rPr>
                <w:sz w:val="16"/>
              </w:rPr>
              <w:t>2 · Curvas por buque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Modelos específicos y calibración con ingeniería naval.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Error estable por clase/buque y revisión técnica.</w:t>
            </w:r>
          </w:p>
        </w:tc>
      </w:tr>
      <w:tr>
        <w:tc>
          <w:tcPr>
            <w:tcW w:type="dxa" w:w="3389"/>
          </w:tcPr>
          <w:p>
            <w:r>
              <w:rPr>
                <w:sz w:val="16"/>
              </w:rPr>
              <w:t>3 · Piloto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Shadow mode sin intervenir en la operación.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Ahorro potencial, OTR y falsos positivos medidos.</w:t>
            </w:r>
          </w:p>
        </w:tc>
      </w:tr>
      <w:tr>
        <w:tc>
          <w:tcPr>
            <w:tcW w:type="dxa" w:w="3389"/>
          </w:tcPr>
          <w:p>
            <w:r>
              <w:rPr>
                <w:sz w:val="16"/>
              </w:rPr>
              <w:t>4 · Human-in-the-loop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Recomendaciones revisadas por Operaciones y puente.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Tasa de aceptación y motivos de rechazo trazables.</w:t>
            </w:r>
          </w:p>
        </w:tc>
      </w:tr>
      <w:tr>
        <w:tc>
          <w:tcPr>
            <w:tcW w:type="dxa" w:w="3389"/>
          </w:tcPr>
          <w:p>
            <w:r>
              <w:rPr>
                <w:sz w:val="16"/>
              </w:rPr>
              <w:t>5 · Producción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MLOps, drift, permisos, auditoría y límites.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Gobernanza aprobada y fallback manual.</w:t>
            </w:r>
          </w:p>
        </w:tc>
      </w:tr>
    </w:tbl>
    <w:p>
      <w:pPr>
        <w:pStyle w:val="Heading1"/>
      </w:pPr>
      <w:r>
        <w:t>13. Fuentes públicas utilizadas</w:t>
      </w:r>
    </w:p>
    <w:p>
      <w:r>
        <w:t>European Commission · EU ETS maritime FAQ · https://climate.ec.europa.eu/areas-action/transport-decarbonisation/reducing-emissions-shipping-sector/faq-maritime-transport-eu-emissions-trading-system-ets_en</w:t>
      </w:r>
    </w:p>
    <w:p>
      <w:r>
        <w:t>EMSA · ETS Extension to maritime · https://www.emsa.europa.eu/reducing-emissions/extension-ets.html</w:t>
      </w:r>
    </w:p>
    <w:p>
      <w:r>
        <w:t>IMO GreenVoyage2050 · Speed management · https://greenvoyage2050.imo.org/technology/speed-management/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D8C"/>
        <w:sz w:val="16"/>
      </w:rPr>
      <w:t>Levante Ferries · Proyecto 8 · Datos sintéticos · Álvaro Martínez Lacasta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8344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4F6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7A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1F3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