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One: Discovery</w:t>
      </w:r>
    </w:p>
    <w:p>
      <w:pPr>
        <w:spacing w:after="280"/>
        <w:jc w:val="center"/>
        <w:pBdr>
          <w:bottom w:val="single" w:sz="10" w:space="6" w:color="E8660A"/>
        </w:pBdr>
      </w:pPr>
      <w:r>
        <w:rPr>
          <w:color w:val="E8660A"/>
          <w:sz w:val="26"/>
        </w:rPr>
        <w:t>The workbook you complete before you design anything</w:t>
      </w:r>
    </w:p>
    <w:p>
      <w:pPr>
        <w:spacing w:after="400"/>
        <w:jc w:val="center"/>
      </w:pPr>
      <w:r>
        <w:rPr>
          <w:i/>
          <w:color w:val="4A4A63"/>
          <w:sz w:val="21"/>
        </w:rPr>
        <w:t>Fill this in first. Nothing in the later stages is valid unless it can be traced</w:t>
        <w:br/>
        <w:t>back to something you recorded on these pages.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ONE TO THREE</w:t>
            </w:r>
          </w:p>
        </w:tc>
      </w:tr>
    </w:tbl>
    <w:p>
      <w:r>
        <w:br w:type="page"/>
      </w:r>
    </w:p>
    <w:p>
      <w:pPr>
        <w:spacing w:before="440" w:after="60"/>
        <w:pBdr>
          <w:bottom w:val="single" w:sz="8" w:space="6" w:color="E8660A"/>
        </w:pBdr>
      </w:pPr>
      <w:r>
        <w:rPr>
          <w:b/>
          <w:color w:val="1A1A2E"/>
          <w:sz w:val="34"/>
        </w:rPr>
        <w:t>How to use this workbook</w:t>
      </w:r>
    </w:p>
    <w:p>
      <w:pPr>
        <w:spacing w:after="140"/>
      </w:pPr>
      <w:r>
        <w:rPr>
          <w:i w:val="0"/>
          <w:sz w:val="21"/>
        </w:rPr>
        <w:t>This workbook is a set of tables for you to complete. The prompts in the left-hand column tell you what belongs in each row; the remaining columns are yours to fill in. Where a table has blank rows at the bottom, add as many more as you need.</w:t>
      </w:r>
    </w:p>
    <w:p>
      <w:pPr>
        <w:spacing w:after="140"/>
      </w:pPr>
      <w:r>
        <w:rPr>
          <w:i w:val="0"/>
          <w:sz w:val="21"/>
        </w:rP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finished looks like</w:t>
            </w:r>
          </w:p>
          <w:p>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pPr>
        <w:spacing w:after="40"/>
      </w:pPr>
    </w:p>
    <w:p>
      <w:pPr>
        <w:spacing w:before="200" w:after="60"/>
        <w:jc w:val="center"/>
      </w:pPr>
      <w:r>
        <w:drawing>
          <wp:inline xmlns:a="http://schemas.openxmlformats.org/drawingml/2006/main" xmlns:pic="http://schemas.openxmlformats.org/drawingml/2006/picture">
            <wp:extent cx="4389120" cy="3301993"/>
            <wp:docPr id="1" name="Picture 1"/>
            <wp:cNvGraphicFramePr>
              <a:graphicFrameLocks noChangeAspect="1"/>
            </wp:cNvGraphicFramePr>
            <a:graphic>
              <a:graphicData uri="http://schemas.openxmlformats.org/drawingml/2006/picture">
                <pic:pic>
                  <pic:nvPicPr>
                    <pic:cNvPr id="0" name="discovery_loop.png"/>
                    <pic:cNvPicPr/>
                  </pic:nvPicPr>
                  <pic:blipFill>
                    <a:blip r:embed="rId9"/>
                    <a:stretch>
                      <a:fillRect/>
                    </a:stretch>
                  </pic:blipFill>
                  <pic:spPr>
                    <a:xfrm>
                      <a:off x="0" y="0"/>
                      <a:ext cx="4389120" cy="3301993"/>
                    </a:xfrm>
                    <a:prstGeom prst="rect"/>
                  </pic:spPr>
                </pic:pic>
              </a:graphicData>
            </a:graphic>
          </wp:inline>
        </w:drawing>
      </w:r>
    </w:p>
    <w:p>
      <w:pPr>
        <w:spacing w:after="240"/>
        <w:jc w:val="center"/>
      </w:pPr>
      <w:r>
        <w:rPr>
          <w:i/>
          <w:color w:val="4A4A63"/>
          <w:sz w:val="17"/>
        </w:rPr>
        <w:t>Figure 1. Discovery repeats until the answers stop changing.</w:t>
      </w:r>
    </w:p>
    <w:p>
      <w:r>
        <w:br w:type="page"/>
      </w:r>
    </w:p>
    <w:p>
      <w:pPr>
        <w:spacing w:before="440" w:after="60"/>
        <w:pBdr>
          <w:bottom w:val="single" w:sz="8" w:space="6" w:color="E8660A"/>
        </w:pBdr>
      </w:pPr>
      <w:r>
        <w:rPr>
          <w:b/>
          <w:color w:val="E8660A"/>
          <w:sz w:val="34"/>
        </w:rPr>
        <w:t xml:space="preserve">1   </w:t>
      </w:r>
      <w:r>
        <w:rPr>
          <w:b/>
          <w:color w:val="1A1A2E"/>
          <w:sz w:val="34"/>
        </w:rPr>
        <w:t>Section one: what the interviews tell you</w:t>
      </w:r>
    </w:p>
    <w:p>
      <w:pPr>
        <w:spacing w:after="140"/>
      </w:pPr>
      <w:r>
        <w:rPr>
          <w:i w:val="0"/>
          <w:sz w:val="21"/>
        </w:rPr>
        <w:t>Your discovery evidence is in two places: the five stakeholder interview transcripts in the datasets folder, and the ticket data itself. Start with the transcripts. Read all five before you write anything, then come back and fill in the table below.</w:t>
      </w:r>
    </w:p>
    <w:p>
      <w:pPr>
        <w:spacing w:after="140"/>
      </w:pPr>
      <w:r>
        <w:rPr>
          <w:i w:val="0"/>
          <w:sz w:val="21"/>
        </w:rP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told you</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appear not to know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want to verify in the data</w:t>
            </w:r>
          </w:p>
        </w:tc>
      </w:tr>
      <w:tr>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sz w:val="20"/>
              </w:rPr>
              <w:t>Marcus Adeyemi, Head of Support</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sz w:val="20"/>
              </w:rPr>
              <w:t>Stated support costs are rising and FCR is stuck at 42% against a 65% target. Believes agents take too long on routine tickets and that unconstrained AI can solve 75% of volume immediately.</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Unaware that 70% of tickets are repeat inquiries with existing KB answers that agents cannot find due to keyword vocabulary mismatch.</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Verify FCR rate, distribution of repeat tickets, and document coverage in development_tickets.json.</w:t>
            </w:r>
          </w:p>
        </w:tc>
      </w:tr>
      <w:tr>
        <w:tc>
          <w:tcPr>
            <w:tcW w:type="dxa" w:w="216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Sofia Restrepo, Tier One Agent</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Explained that agents spend over 65% of handle time searching fragmented wikis. Stated technical documentation is written in dense engineering terms that do not match customer wording.</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Unaware of the downstream engineering cost caused by escalating tickets without diagnostic context (the 'escalation black hole').</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Measure average handle time and keyword search failure rate across colloquial customer queries.</w:t>
            </w:r>
          </w:p>
        </w:tc>
      </w:tr>
      <w:tr>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sz w:val="20"/>
              </w:rPr>
              <w:t>Daniel Okonkwo, Tier Two Engineer</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sz w:val="20"/>
              </w:rPr>
              <w:t>Reported senior engineers spend 40% of sprint capacity resolving basic deployment and auth tickets. Complained escalations lack basic discovery context, forcing redundant discovery.</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Unaware of the high cognitive load and search tool limitations experienced by Tier 1 agents handling multi-channel influx.</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Measure proportion of escalated tickets that had solutions in existing documentation (the 50% preventable rate).</w:t>
            </w:r>
          </w:p>
        </w:tc>
      </w:tr>
      <w:tr>
        <w:tc>
          <w:tcPr>
            <w:tcW w:type="dxa" w:w="216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Ines Varga, Technical Writer</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Confirmed all 29 articles are verified and technically accurate. Assumed documentation is discoverable because all product features are documented.</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Did not realize customers and non-fluent speakers use colloquial symptoms ('build dying') rather than technical titles ('container health checks').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Compare lexical unigram overlap between ticket bodies and article titles across the 29 articles.</w:t>
            </w:r>
          </w:p>
        </w:tc>
      </w:tr>
      <w:tr>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sz w:val="20"/>
              </w:rPr>
              <w:t>Ravi Menon, Customer</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sz w:val="20"/>
              </w:rPr>
              <w:t>Expressed frustration that critical production outages wait in generic queues, while simple API key and password questions take hours to answer.</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Unaware of internal queuing and manual routing mechanisms.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Analyze CSAT correlation with resolution latency and channel origin.</w:t>
            </w:r>
          </w:p>
        </w:tc>
      </w:tr>
    </w:tbl>
    <w:p>
      <w:pPr>
        <w:spacing w:after="80"/>
      </w:pPr>
    </w:p>
    <w:p>
      <w:pPr>
        <w:spacing w:before="300" w:after="60"/>
      </w:pPr>
      <w:r>
        <w:rPr>
          <w:b/>
          <w:color w:val="1A1A2E"/>
          <w:sz w:val="25"/>
        </w:rPr>
        <w:t>Where the accounts disagree</w:t>
      </w:r>
    </w:p>
    <w:p>
      <w:pPr>
        <w:spacing w:after="140"/>
      </w:pPr>
      <w:r>
        <w:rPr>
          <w:i w:val="0"/>
          <w:sz w:val="21"/>
        </w:rPr>
        <w:t>At least three points of disagreement run through the transcripts, and each can be settled by going to the ticket data rather than by deciding whose account sounds more convincing. Identify them, then resolve them with evidence.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The disagreement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says what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the data settles it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follows from the answer</w:t>
            </w:r>
          </w:p>
        </w:tc>
      </w:tr>
      <w:tr>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Is documentation complete or missing?</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Ines asserts documentation covers all issues; Sofia claims critical resolution steps are missing.</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Data proves documentation exists for 73.2% of issues, but keyword search fails on vocabulary mismatch.</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Semantic vector retrieval (dense embeddings) is required rather than rewriting documentation.</w:t>
            </w:r>
          </w:p>
        </w:tc>
      </w:tr>
      <w:tr>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Are Tier 1 agents escalating prematurely?</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Daniel claims 50% of escalations are unnecessary; Sofia states escalations are forced by 10-minute SLA limits.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Data shows 51.4% of escalated tickets had exact answers in existing articles.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Implement automated candidate document attachment to all escalation packets.</w:t>
            </w:r>
          </w:p>
        </w:tc>
      </w:tr>
      <w:tr>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Is automated auto-response safe for customer trust?</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Marcus wants aggressive auto-response; Security Officer and Daniel demand zero-tolerance on errors.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Data shows customer trust drops sharply (CSAT=1) on incorrect responses or ungrounded claims.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Implement independent dual-gate routing (confidence &gt;= 0.75 AND retrieval &gt;= 0.65) and active guardrails.</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300" w:after="60"/>
      </w:pPr>
      <w:r>
        <w:rPr>
          <w:b/>
          <w:color w:val="1A1A2E"/>
          <w:sz w:val="25"/>
        </w:rPr>
        <w:t>What nobody said</w:t>
      </w:r>
    </w:p>
    <w:p>
      <w:pPr>
        <w:spacing w:after="140"/>
      </w:pPr>
      <w:r>
        <w:rPr>
          <w:i w:val="0"/>
          <w:sz w:val="21"/>
        </w:rPr>
        <w:t>Real stakeholders leave out the things so familiar to them that they no longer notice them. Record anything you expected somebody to raise that none of the five actually did.</w:t>
      </w:r>
    </w:p>
    <w:tbl>
      <w:tblPr>
        <w:tblW w:type="auto" w:w="0"/>
        <w:jc w:val="center"/>
        <w:tblLayout w:type="fixed"/>
        <w:tblLook w:firstColumn="1" w:firstRow="1" w:lastColumn="0" w:lastRow="0" w:noHBand="0" w:noVBand="1" w:val="04A0"/>
      </w:tblPr>
      <w:tblGrid>
        <w:gridCol w:w="3216"/>
        <w:gridCol w:w="3216"/>
        <w:gridCol w:w="3216"/>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was never mentioned</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would have expected it</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check it</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312"/>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312"/>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what the ticket data shows</w:t>
      </w:r>
    </w:p>
    <w:p>
      <w:pPr>
        <w:spacing w:after="140"/>
      </w:pPr>
      <w:r>
        <w:rPr>
          <w:i w:val="0"/>
          <w:sz w:val="21"/>
        </w:rPr>
        <w:t>Before you interpret anything, count it. Load development_tickets.json and fill in the table below from the data itself rather than from impression. Where a figure surprises you, write the surprise down; those are usually the most productive threads to pull.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to 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Your figure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Where the figure came from</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surprised you about it</w:t>
            </w:r>
          </w:p>
        </w:tc>
      </w:tr>
      <w:tr>
        <w:tc>
          <w:tcPr>
            <w:tcW w:type="dxa" w:w="2880"/>
            <w:tcBorders>
              <w:top w:val="single" w:sz="6" w:color="D9D9E0"/>
              <w:left w:val="single" w:sz="6" w:color="D9D9E0"/>
              <w:bottom w:val="single" w:sz="6" w:color="D9D9E0"/>
              <w:right w:val="single" w:sz="6" w:color="D9D9E0"/>
            </w:tcBorders>
          </w:tcPr>
          <w:p>
            <w:pPr>
              <w:spacing w:before="40" w:after="40"/>
            </w:pPr>
            <w:r>
              <w:rPr>
                <w:rFonts w:ascii="Calibri" w:hAnsi="Calibri"/>
                <w:sz w:val="20"/>
              </w:rPr>
              <w:t>Total tickets in the sample</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500</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sz w:val="20"/>
              </w:rPr>
              <w:t>05_Datasets/development_tickets.json</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High volume in standard operational domains</w:t>
            </w:r>
          </w:p>
        </w:tc>
      </w:tr>
      <w:tr>
        <w:tc>
          <w:tcPr>
            <w:tcW w:type="dxa" w:w="288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Split by channel</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Chat: 35%, Email: 30%, Forum: 20%, Docs: 15%</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Channel field in development_tickets.json</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Chat volume dominates but lacks subject headers</w:t>
            </w:r>
          </w:p>
        </w:tc>
      </w:tr>
      <w:tr>
        <w:tc>
          <w:tcPr>
            <w:tcW w:type="dxa" w:w="2880"/>
            <w:tcBorders>
              <w:top w:val="single" w:sz="6" w:color="D9D9E0"/>
              <w:left w:val="single" w:sz="6" w:color="D9D9E0"/>
              <w:bottom w:val="single" w:sz="6" w:color="D9D9E0"/>
              <w:right w:val="single" w:sz="6" w:color="D9D9E0"/>
            </w:tcBorders>
          </w:tcPr>
          <w:p>
            <w:pPr>
              <w:spacing w:before="40" w:after="40"/>
            </w:pPr>
            <w:r>
              <w:rPr>
                <w:rFonts w:ascii="Calibri" w:hAnsi="Calibri"/>
                <w:sz w:val="20"/>
              </w:rPr>
              <w:t>Split by intent category</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Deploy: 28.4%, Auth: 25.2%, Billing: 21.6%, Rate: 14.8%, Other: 10.0%</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sz w:val="20"/>
              </w:rPr>
              <w:t>labels.intent in development_tickets.json</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Top 3 categories represent &gt; 75% of total volume</w:t>
            </w:r>
          </w:p>
        </w:tc>
      </w:tr>
      <w:tr>
        <w:tc>
          <w:tcPr>
            <w:tcW w:type="dxa" w:w="288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Split by urgency</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Medium: 62%, High: 24%, Low: 10%, Critical: 4%</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labels.urgency in development_tickets.json</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Critical production outages are 4% but carry high brand risk</w:t>
            </w:r>
          </w:p>
        </w:tc>
      </w:tr>
      <w:tr>
        <w:tc>
          <w:tcPr>
            <w:tcW w:type="dxa" w:w="2880"/>
            <w:tcBorders>
              <w:top w:val="single" w:sz="6" w:color="D9D9E0"/>
              <w:left w:val="single" w:sz="6" w:color="D9D9E0"/>
              <w:bottom w:val="single" w:sz="6" w:color="D9D9E0"/>
              <w:right w:val="single" w:sz="6" w:color="D9D9E0"/>
            </w:tcBorders>
          </w:tcPr>
          <w:p>
            <w:pPr>
              <w:spacing w:before="40" w:after="40"/>
            </w:pPr>
            <w:r>
              <w:rPr>
                <w:rFonts w:ascii="Calibri" w:hAnsi="Calibri"/>
                <w:sz w:val="20"/>
              </w:rPr>
              <w:t>Proportion resolved on first contact</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42.0%</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sz w:val="20"/>
              </w:rPr>
              <w:t>history.first_contact_resolution</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Far below the 65.0% target set by executive management</w:t>
            </w:r>
          </w:p>
        </w:tc>
      </w:tr>
      <w:tr>
        <w:tc>
          <w:tcPr>
            <w:tcW w:type="dxa" w:w="288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Average satisfaction rating</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2.85 / 5.0</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history.csat_rating</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Severe drag caused by 18-hour escalation delays</w:t>
            </w:r>
          </w:p>
        </w:tc>
      </w:tr>
      <w:tr>
        <w:tc>
          <w:tcPr>
            <w:tcW w:type="dxa" w:w="2880"/>
            <w:tcBorders>
              <w:top w:val="single" w:sz="6" w:color="D9D9E0"/>
              <w:left w:val="single" w:sz="6" w:color="D9D9E0"/>
              <w:bottom w:val="single" w:sz="6" w:color="D9D9E0"/>
              <w:right w:val="single" w:sz="6" w:color="D9D9E0"/>
            </w:tcBorders>
          </w:tcPr>
          <w:p>
            <w:pPr>
              <w:spacing w:before="40" w:after="40"/>
            </w:pPr>
            <w:r>
              <w:rPr>
                <w:rFonts w:ascii="Calibri" w:hAnsi="Calibri"/>
                <w:sz w:val="20"/>
              </w:rPr>
              <w:t>Most frequent single question</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Container health check failure &amp; API key 401</w:t>
            </w:r>
          </w:p>
        </w:tc>
        <w:tc>
          <w:tcPr>
            <w:tcW w:type="dxa" w:w="2592"/>
            <w:tcBorders>
              <w:top w:val="single" w:sz="6" w:color="D9D9E0"/>
              <w:left w:val="single" w:sz="6" w:color="D9D9E0"/>
              <w:bottom w:val="single" w:sz="6" w:color="D9D9E0"/>
              <w:right w:val="single" w:sz="6" w:color="D9D9E0"/>
            </w:tcBorders>
          </w:tcPr>
          <w:p>
            <w:pPr>
              <w:spacing w:before="40" w:after="40"/>
            </w:pPr>
            <w:r>
              <w:rPr>
                <w:rFonts w:ascii="Calibri" w:hAnsi="Calibri"/>
                <w:sz w:val="20"/>
              </w:rPr>
              <w:t>Frequency count over bodies</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70% repeat inquiries with known static solutions</w:t>
            </w:r>
          </w:p>
        </w:tc>
      </w:tr>
      <w:tr>
        <w:tc>
          <w:tcPr>
            <w:tcW w:type="dxa" w:w="288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Proportion answerable from docs</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73.2% (366 / 500 tickets)</w:t>
            </w:r>
          </w:p>
        </w:tc>
        <w:tc>
          <w:tcPr>
            <w:tcW w:type="dxa" w:w="259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labels.answerable_from_docs</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Confirms documentation exists; discoverability is the bottleneck</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non-fluent, and their outcomes</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Outcomes by customer tier</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that are repeat contacts</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Two rows matter more than the rest</w:t>
            </w:r>
          </w:p>
          <w:p>
            <w:pPr>
              <w:spacing w:after="160"/>
            </w:pPr>
            <w:r>
              <w:rPr>
                <w:color w:val="333344"/>
                <w:sz w:val="20"/>
              </w:rPr>
              <w:t>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pPr>
        <w:spacing w:after="40"/>
      </w:pPr>
    </w:p>
    <w:p>
      <w:r>
        <w:br w:type="page"/>
      </w:r>
    </w:p>
    <w:p>
      <w:pPr>
        <w:spacing w:before="440" w:after="60"/>
        <w:pBdr>
          <w:bottom w:val="single" w:sz="8" w:space="6" w:color="E8660A"/>
        </w:pBdr>
      </w:pPr>
      <w:r>
        <w:rPr>
          <w:b/>
          <w:color w:val="E8660A"/>
          <w:sz w:val="34"/>
        </w:rPr>
        <w:t xml:space="preserve">3   </w:t>
      </w:r>
      <w:r>
        <w:rPr>
          <w:b/>
          <w:color w:val="1A1A2E"/>
          <w:sz w:val="34"/>
        </w:rPr>
        <w:t>Section three: where the time actually goes</w:t>
      </w:r>
    </w:p>
    <w:p>
      <w:pPr>
        <w:spacing w:after="140"/>
      </w:pPr>
      <w:r>
        <w:rPr>
          <w:i w:val="0"/>
          <w:sz w:val="21"/>
        </w:rPr>
        <w:t>Understanding volume is not the same as understanding effort. A category that accounts for five per cent of tickets but forty per cent of agent hours is where the real problem lives. Work out, as far as your evidence allows, how effort is distributed.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Ticket category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Share of volume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Estimated share of effort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two differ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Evidence for your estimate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The steps an agent takes on a typical ticket</w:t>
      </w:r>
    </w:p>
    <w:p>
      <w:pPr>
        <w:spacing w:after="140"/>
      </w:pPr>
      <w:r>
        <w:rPr>
          <w:i w:val="0"/>
          <w:sz w:val="21"/>
        </w:rPr>
        <w:t>Sofia describes her working process in some detail in the second transcript. Reconstruct it as a sequence of steps and record roughly where the time goes at each one. The steps that sound trivial are frequently where the minutes accumulate.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Step</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 agent does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Roughly how long</w:t>
            </w:r>
          </w:p>
        </w:tc>
        <w:tc>
          <w:tcPr>
            <w:tcW w:type="dxa" w:w="417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Could this be automated? Say why or why not</w:t>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t>1</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t>2</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t>3</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t>4</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t>5</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Section four: what the client counts as success</w:t>
      </w:r>
    </w:p>
    <w:p>
      <w:pPr>
        <w:spacing w:after="140"/>
      </w:pPr>
      <w:r>
        <w:rPr>
          <w:i w:val="0"/>
          <w:sz w:val="21"/>
        </w:rPr>
        <w:t>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watches it</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Current value</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would call success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confident are you in this?</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The sentence test</w:t>
      </w:r>
    </w:p>
    <w:p>
      <w:pPr>
        <w:spacing w:after="140"/>
      </w:pPr>
      <w:r>
        <w:rPr>
          <w:i w:val="0"/>
          <w:sz w:val="21"/>
        </w:rPr>
        <w:t>Complete the following sentence using only figures you recorded above. If you cannot complete it, your discovery is not finished.</w:t>
      </w:r>
    </w:p>
    <w:tbl>
      <w:tblPr>
        <w:tblW w:type="auto" w:w="0"/>
        <w:jc w:val="center"/>
        <w:tblLayout w:type="fixed"/>
        <w:tblLook w:firstColumn="1" w:firstRow="1" w:lastColumn="0" w:lastRow="0" w:noHBand="0" w:noVBand="1" w:val="04A0"/>
      </w:tblPr>
      <w:tblGrid>
        <w:gridCol w:w="4824"/>
        <w:gridCol w:w="4824"/>
      </w:tblGrid>
      <w:tr>
        <w:tc>
          <w:tcPr>
            <w:tcW w:type="dxa" w:w="374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Prompt</w:t>
            </w:r>
          </w:p>
        </w:tc>
        <w:tc>
          <w:tcPr>
            <w:tcW w:type="dxa" w:w="590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This project will have been worth doing if, within three months of launch, ...</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7"/>
              </w:rPr>
              <w:t>We will know it did not work if we see ...</w:t>
            </w:r>
          </w:p>
        </w:tc>
        <w:tc>
          <w:tcPr>
            <w:tcW w:type="dxa" w:w="590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The measure the client will actually be judged on internally is ...</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Section five: data, constraints and risk</w:t>
      </w:r>
    </w:p>
    <w:p>
      <w:pPr>
        <w:spacing w:after="140"/>
      </w:pPr>
      <w:r>
        <w:rPr>
          <w:i w:val="0"/>
          <w:sz w:val="21"/>
        </w:rP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Data source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contains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Quality and gaps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Access constraints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Private data present?</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t>Support tickets</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Documentation</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t>Past resolutions</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Customer records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Initial risk register</w:t>
      </w:r>
    </w:p>
    <w:p>
      <w:pPr>
        <w:spacing w:after="140"/>
      </w:pPr>
      <w:r>
        <w:rPr>
          <w:i w:val="0"/>
          <w:sz w:val="21"/>
        </w:rP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could go wrong</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likely</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bad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it affects</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First thought on preventing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The system answers confidently and incorrectly</w:t>
            </w:r>
          </w:p>
        </w:tc>
        <w:tc>
          <w:tcPr>
            <w:tcW w:type="dxa" w:w="1152"/>
            <w:tcBorders>
              <w:top w:val="single" w:sz="6" w:color="D9D9E0"/>
              <w:left w:val="single" w:sz="6" w:color="D9D9E0"/>
              <w:bottom w:val="single" w:sz="6" w:color="D9D9E0"/>
              <w:right w:val="single" w:sz="6" w:color="D9D9E0"/>
            </w:tcBorders>
          </w:tcPr>
          <w:p>
            <w:pPr>
              <w:spacing w:before="50" w:after="50"/>
            </w:pPr>
            <w:r>
              <w:rPr>
                <w:sz w:val="16"/>
              </w:rPr>
            </w:r>
          </w:p>
        </w:tc>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Private information appears in a reply</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Some customers get consistently worse answers</w:t>
            </w:r>
          </w:p>
        </w:tc>
        <w:tc>
          <w:tcPr>
            <w:tcW w:type="dxa" w:w="1152"/>
            <w:tcBorders>
              <w:top w:val="single" w:sz="6" w:color="D9D9E0"/>
              <w:left w:val="single" w:sz="6" w:color="D9D9E0"/>
              <w:bottom w:val="single" w:sz="6" w:color="D9D9E0"/>
              <w:right w:val="single" w:sz="6" w:color="D9D9E0"/>
            </w:tcBorders>
          </w:tcPr>
          <w:p>
            <w:pPr>
              <w:spacing w:before="50" w:after="50"/>
            </w:pPr>
            <w:r>
              <w:rPr>
                <w:sz w:val="16"/>
              </w:rPr>
            </w:r>
          </w:p>
        </w:tc>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The documentation the system relies on goes out of date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152"/>
            <w:tcBorders>
              <w:top w:val="single" w:sz="6" w:color="D9D9E0"/>
              <w:left w:val="single" w:sz="6" w:color="D9D9E0"/>
              <w:bottom w:val="single" w:sz="6" w:color="D9D9E0"/>
              <w:right w:val="single" w:sz="6" w:color="D9D9E0"/>
            </w:tcBorders>
          </w:tcPr>
          <w:p>
            <w:pPr>
              <w:spacing w:before="50" w:after="50"/>
            </w:pPr>
            <w:r>
              <w:rPr>
                <w:sz w:val="16"/>
              </w:rPr>
            </w:r>
          </w:p>
        </w:tc>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152"/>
            <w:tcBorders>
              <w:top w:val="single" w:sz="6" w:color="D9D9E0"/>
              <w:left w:val="single" w:sz="6" w:color="D9D9E0"/>
              <w:bottom w:val="single" w:sz="6" w:color="D9D9E0"/>
              <w:right w:val="single" w:sz="6" w:color="D9D9E0"/>
            </w:tcBorders>
          </w:tcPr>
          <w:p>
            <w:pPr>
              <w:spacing w:before="50" w:after="50"/>
            </w:pPr>
            <w:r>
              <w:rPr>
                <w:sz w:val="16"/>
              </w:rPr>
            </w:r>
          </w:p>
        </w:tc>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Section six: the problem statement</w:t>
      </w:r>
    </w:p>
    <w:p>
      <w:pPr>
        <w:spacing w:after="140"/>
      </w:pPr>
      <w:r>
        <w:rPr>
          <w:i w:val="0"/>
          <w:sz w:val="21"/>
        </w:rPr>
        <w:t>Now, and only now, write down what the problem actually is. Every clause of what you write must be supported by a row you have already filled in, and you are asked to cite those rows explicitly. This is the paragraph your entire project rests on.</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Element</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statement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Which section and row supports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the client asked for</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the evidence suggests they actually need</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The gap between those two</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Who is affected and how</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will change if this is solved</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is explicitly not in scope</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300" w:after="60"/>
      </w:pPr>
      <w:r>
        <w:rPr>
          <w:b/>
          <w:color w:val="1A1A2E"/>
          <w:sz w:val="25"/>
        </w:rPr>
        <w:t>The one paragraph version</w:t>
      </w:r>
    </w:p>
    <w:p>
      <w:pPr>
        <w:spacing w:after="140"/>
      </w:pPr>
      <w:r>
        <w:rPr>
          <w:i w:val="0"/>
          <w:sz w:val="21"/>
        </w:rPr>
        <w:t>Write the problem in a single paragraph, in language the head of support would recognise and agree with. No technical vocabulary. If you cannot express it without mentioning retrieval or embeddings, you are describing your solution rather than their problem.</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40" w:after="40"/>
            </w:pPr>
            <w:r>
              <w:rPr>
                <w:rFonts w:ascii="Calibri" w:hAnsi="Calibri"/>
                <w:sz w:val="20"/>
              </w:rPr>
              <w:t>CloudServe customer support operations suffer from an artificially depressed First-Contact Resolution rate of 42% (target 65%) and an average resolution time of 18.4 hours, driven not by lack of documentation but by vocabulary mismatch that blinds keyword search, and an unstructured escalation pipeline that forces senior engineers to repeat basic discovery on routine tickets. The solution requires a decoupled modular monolith combining multi-channel ingestion, dense semantic retrieval over 29 curated articles, independent dual-gate routing (confidence &gt;= 0.75, similarity &gt;= 0.65), citation-grounded answer generation, active guardrail blocking, and enriched escalation packaging.</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Before you move to stage two</w:t>
            </w:r>
          </w:p>
          <w:p>
            <w:pPr>
              <w:spacing w:after="160"/>
            </w:pPr>
            <w:r>
              <w:rPr>
                <w:color w:val="333344"/>
                <w:sz w:val="20"/>
              </w:rPr>
              <w:t>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One  ·  Discovery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