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Five: Revision Log</w:t>
      </w:r>
    </w:p>
    <w:p>
      <w:pPr>
        <w:spacing w:after="280"/>
        <w:jc w:val="center"/>
        <w:pBdr>
          <w:bottom w:val="single" w:sz="10" w:space="6" w:color="E8660A"/>
        </w:pBdr>
      </w:pPr>
      <w:r>
        <w:rPr>
          <w:color w:val="E8660A"/>
          <w:sz w:val="26"/>
        </w:rPr>
        <w:t>Recording what your requirements got wrong and why</w:t>
      </w:r>
    </w:p>
    <w:p>
      <w:pPr>
        <w:spacing w:after="400"/>
        <w:jc w:val="center"/>
      </w:pPr>
      <w:r>
        <w:rPr>
          <w:i/>
          <w:color w:val="4A4A63"/>
          <w:sz w:val="21"/>
        </w:rPr>
        <w:t>You are required to revise your requirements document at least once during the</w:t>
        <w:br/>
        <w:t>build. This is where you record what changed and what prompted the change.</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INTO WEEK THREE  ·  COMPULSORY</w:t>
            </w:r>
          </w:p>
        </w:tc>
      </w:tr>
    </w:tbl>
    <w:p>
      <w:r>
        <w:br w:type="page"/>
      </w:r>
    </w:p>
    <w:p>
      <w:pPr>
        <w:spacing w:before="440" w:after="60"/>
        <w:pBdr>
          <w:bottom w:val="single" w:sz="8" w:space="6" w:color="E8660A"/>
        </w:pBdr>
      </w:pPr>
      <w:r>
        <w:rPr>
          <w:b/>
          <w:color w:val="1A1A2E"/>
          <w:sz w:val="34"/>
        </w:rPr>
        <w:t>Why this is compulsory</w:t>
      </w:r>
    </w:p>
    <w:p>
      <w:pPr>
        <w:spacing w:after="140"/>
      </w:pPr>
      <w:r>
        <w:rPr>
          <w:i w:val="0"/>
          <w:sz w:val="21"/>
        </w:rPr>
        <w:t>A requirements document written before any code exists is a set of educated guesses. Some of those guesses will be wrong, and building is how you find out which ones. A student that reaches the end of three weeks with an unchanged PRD has either been extraordinarily lucky or has stopped consulting the document, and the second is far more common than the first.</w:t>
      </w:r>
    </w:p>
    <w:p>
      <w:pPr>
        <w:spacing w:after="140"/>
      </w:pPr>
      <w:r>
        <w:rPr>
          <w:i w:val="0"/>
          <w:sz w:val="21"/>
        </w:rPr>
        <w:t>This log is not a confession. It is evidence that you were paying attention. The students who score well here are the ones who can point to a specific thing they discovered while building, explain how it contradicted an assumption they had written down, and show what they changed as a result.</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revision sits in the middle of the build, not at the end.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a weak revision log looks like</w:t>
            </w:r>
          </w:p>
          <w:p>
            <w:pPr>
              <w:spacing w:after="160"/>
            </w:pPr>
            <w:r>
              <w:rPr>
                <w:color w:val="333344"/>
                <w:sz w:val="20"/>
              </w:rPr>
              <w:t>Vague entries such as tidied up wording or clarified requirements tell an assessor nothing. A strong entry names the requirement, states what it said before, states what it says now, identifies the specific thing that prompted the change, and says who agreed to it.</w:t>
            </w:r>
          </w:p>
        </w:tc>
      </w:tr>
    </w:tbl>
    <w:p>
      <w:pPr>
        <w:spacing w:after="40"/>
      </w:pPr>
    </w:p>
    <w:p>
      <w:r>
        <w:br w:type="page"/>
      </w:r>
    </w:p>
    <w:p>
      <w:pPr>
        <w:spacing w:before="440" w:after="60"/>
        <w:pBdr>
          <w:bottom w:val="single" w:sz="8" w:space="6" w:color="E8660A"/>
        </w:pBdr>
      </w:pPr>
      <w:r>
        <w:rPr>
          <w:b/>
          <w:color w:val="E8660A"/>
          <w:sz w:val="34"/>
        </w:rPr>
        <w:t xml:space="preserve">1   </w:t>
      </w:r>
      <w:r>
        <w:rPr>
          <w:b/>
          <w:color w:val="1A1A2E"/>
          <w:sz w:val="34"/>
        </w:rPr>
        <w:t>Section one: revision summary</w:t>
      </w:r>
    </w:p>
    <w:tbl>
      <w:tblPr>
        <w:tblW w:type="auto" w:w="0"/>
        <w:jc w:val="center"/>
        <w:tblLayout w:type="fixed"/>
        <w:tblLook w:firstColumn="1" w:firstRow="1" w:lastColumn="0" w:lastRow="0" w:noHBand="0" w:noVBand="1" w:val="04A0"/>
      </w:tblPr>
      <w:tblGrid>
        <w:gridCol w:w="4824"/>
        <w:gridCol w:w="4824"/>
      </w:tblGrid>
      <w:tr>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192"/>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New version number</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t>2.0</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Date of revision</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Who carried out the revision</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Who reviewed and agreed it</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changed</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Number of requirements added</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removed</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2   </w:t>
      </w:r>
      <w:r>
        <w:rPr>
          <w:b/>
          <w:color w:val="1A1A2E"/>
          <w:sz w:val="34"/>
        </w:rPr>
        <w:t>Section two: the changes</w:t>
      </w:r>
    </w:p>
    <w:p>
      <w:pPr>
        <w:spacing w:after="140"/>
      </w:pPr>
      <w:r>
        <w:rPr>
          <w:i w:val="0"/>
          <w:sz w:val="21"/>
        </w:rPr>
        <w:t>One row per change. Be specific about the trigger; that column is what distinguishes a considered revision from a tidying exercise.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Requirement ID</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said in version one</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says 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prompted the change</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Agreed by</w:t>
            </w:r>
          </w:p>
        </w:tc>
      </w:tr>
      <w:tr>
        <w:tc>
          <w:tcPr>
            <w:tcW w:type="dxa" w:w="1368"/>
            <w:tcBorders>
              <w:top w:val="single" w:sz="6" w:color="D9D9E0"/>
              <w:left w:val="single" w:sz="6" w:color="D9D9E0"/>
              <w:bottom w:val="single" w:sz="6" w:color="D9D9E0"/>
              <w:right w:val="single" w:sz="6" w:color="D9D9E0"/>
            </w:tcBorders>
          </w:tcPr>
          <w:p>
            <w:pPr>
              <w:spacing w:before="40" w:after="40"/>
            </w:pPr>
            <w:r>
              <w:rPr>
                <w:rFonts w:ascii="Calibri" w:hAnsi="Calibri"/>
                <w:sz w:val="20"/>
              </w:rPr>
              <w:t>FR-04</w:t>
            </w:r>
          </w:p>
        </w:tc>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sz w:val="20"/>
              </w:rPr>
              <w:t>Route to auto-respond based on composite blended score: S = 0.5*c + 0.5*s_ret &gt;= 0.70.</w:t>
            </w:r>
          </w:p>
        </w:tc>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sz w:val="20"/>
              </w:rPr>
              <w:t>Independent orthogonal dual gates: c &gt;= 0.75 AND s_ret &gt;= 0.65 AND urgency != CRITICAL.</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Composite score masked severe intent misclassifications when retrieval was strong.</w:t>
            </w:r>
          </w:p>
        </w:tc>
        <w:tc>
          <w:tcPr>
            <w:tcW w:type="dxa" w:w="1224"/>
            <w:tcBorders>
              <w:top w:val="single" w:sz="6" w:color="D9D9E0"/>
              <w:left w:val="single" w:sz="6" w:color="D9D9E0"/>
              <w:bottom w:val="single" w:sz="6" w:color="D9D9E0"/>
              <w:right w:val="single" w:sz="6" w:color="D9D9E0"/>
            </w:tcBorders>
          </w:tcPr>
          <w:p>
            <w:pPr>
              <w:spacing w:before="40" w:after="40"/>
            </w:pPr>
            <w:r>
              <w:rPr>
                <w:rFonts w:ascii="Calibri" w:hAnsi="Calibri"/>
                <w:sz w:val="20"/>
              </w:rPr>
              <w:t>Approved by Tech Lead / PRD v2</w:t>
            </w:r>
          </w:p>
        </w:tc>
      </w:tr>
      <w:tr>
        <w:tc>
          <w:tcPr>
            <w:tcW w:type="dxa" w:w="13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NFR-02</w:t>
            </w:r>
          </w:p>
        </w:tc>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Implement token-bucket rate limiter class for API requests.</w:t>
            </w:r>
          </w:p>
        </w:tc>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Configurable batch delay (--delay 1.5) + exponential backoff with full jitter on 429.</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Token-bucket class was brittle during batch evaluation runs against free-tier rate limits.</w:t>
            </w:r>
          </w:p>
        </w:tc>
        <w:tc>
          <w:tcPr>
            <w:tcW w:type="dxa" w:w="122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Approved by Architect</w:t>
            </w:r>
          </w:p>
        </w:tc>
      </w:tr>
      <w:tr>
        <w:tc>
          <w:tcPr>
            <w:tcW w:type="dxa" w:w="1368"/>
            <w:tcBorders>
              <w:top w:val="single" w:sz="6" w:color="D9D9E0"/>
              <w:left w:val="single" w:sz="6" w:color="D9D9E0"/>
              <w:bottom w:val="single" w:sz="6" w:color="D9D9E0"/>
              <w:right w:val="single" w:sz="6" w:color="D9D9E0"/>
            </w:tcBorders>
          </w:tcPr>
          <w:p>
            <w:pPr>
              <w:spacing w:before="40" w:after="40"/>
            </w:pPr>
            <w:r>
              <w:rPr>
                <w:rFonts w:ascii="Calibri" w:hAnsi="Calibri"/>
                <w:sz w:val="20"/>
              </w:rPr>
              <w:t>FR-06</w:t>
            </w:r>
          </w:p>
        </w:tc>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sz w:val="20"/>
              </w:rPr>
              <w:t>Offline fallback generates speculative templated responses.</w:t>
            </w:r>
          </w:p>
        </w:tc>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sz w:val="20"/>
              </w:rPr>
              <w:t>Offline mock functions as a fail-safe escalation engine: vetoes auto-response and generates no text.</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Prevent unverified offline guesses from ever reaching customers ungrounded.</w:t>
            </w:r>
          </w:p>
        </w:tc>
        <w:tc>
          <w:tcPr>
            <w:tcW w:type="dxa" w:w="1224"/>
            <w:tcBorders>
              <w:top w:val="single" w:sz="6" w:color="D9D9E0"/>
              <w:left w:val="single" w:sz="6" w:color="D9D9E0"/>
              <w:bottom w:val="single" w:sz="6" w:color="D9D9E0"/>
              <w:right w:val="single" w:sz="6" w:color="D9D9E0"/>
            </w:tcBorders>
          </w:tcPr>
          <w:p>
            <w:pPr>
              <w:spacing w:before="40" w:after="40"/>
            </w:pPr>
            <w:r>
              <w:rPr>
                <w:rFonts w:ascii="Calibri" w:hAnsi="Calibri"/>
                <w:sz w:val="20"/>
              </w:rPr>
              <w:t>Approved by Security Officer</w:t>
            </w:r>
          </w:p>
        </w:tc>
      </w:tr>
      <w:tr>
        <w:tc>
          <w:tcPr>
            <w:tcW w:type="dxa" w:w="13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NFR-04</w:t>
            </w:r>
          </w:p>
        </w:tc>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Store vector embeddings in external vector database service.</w:t>
            </w:r>
          </w:p>
        </w:tc>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ChromaDB 0.3.21 embedded with local DuckDB/Parquet persistence in data/chromadb.</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Eliminated network latency, external dependencies, and reduced startup time.</w:t>
            </w:r>
          </w:p>
        </w:tc>
        <w:tc>
          <w:tcPr>
            <w:tcW w:type="dxa" w:w="122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Approved by Infrastructure Lead</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assumptions that turned out to be wrong</w:t>
      </w:r>
    </w:p>
    <w:p>
      <w:pPr>
        <w:spacing w:after="140"/>
      </w:pPr>
      <w:r>
        <w:rPr>
          <w:i w:val="0"/>
          <w:sz w:val="21"/>
        </w:rPr>
        <w:t>Go back to the assumptions section of your version one PRD. For each assumption, say whether it held. The ones that did not are the most interesting part of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 from version one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Did it hold?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found instead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changed because of it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what you decided not to change</w:t>
      </w:r>
    </w:p>
    <w:p>
      <w:pPr>
        <w:spacing w:after="140"/>
      </w:pPr>
      <w:r>
        <w:rPr>
          <w:i w:val="0"/>
          <w:sz w:val="21"/>
        </w:rPr>
        <w:t>Some things will look wrong during the build and turn out to be right, or right but not worth the cost of changing. Recording those decisions is as valuable as recording the changes.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looked wrong</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left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would have cost to change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Revisit when?</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the reflection</w:t>
      </w:r>
    </w:p>
    <w:p>
      <w:pPr>
        <w:spacing w:after="140"/>
      </w:pPr>
      <w:r>
        <w:rPr>
          <w:i w:val="0"/>
          <w:sz w:val="21"/>
        </w:rPr>
        <w:t>Answer these in full sentences. They form the basis of a section in your final report and they are frequently the part of a submission that an assessor remembers.</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did you most misunderstand about the problem when you wrote version one?</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piece of discovery work would have caught it earlier?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would you do differently if you started this project again on Monday?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is still uncertain, and what would you need to resolve it?</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Five  ·  Requirements Revision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