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NON-FUNCTIONAL REQUIREMENTS DOCUMENT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Mutual Fund Purchase Optimizer Platform</w:t>
      </w:r>
    </w:p>
    <w:p w:rsidR="00000000" w:rsidDel="00000000" w:rsidP="00000000" w:rsidRDefault="00000000" w:rsidRPr="00000000" w14:paraId="00000003">
      <w:pPr>
        <w:spacing w:after="280" w:before="28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Version 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February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Document Control</w:t>
      </w:r>
    </w:p>
    <w:tbl>
      <w:tblPr>
        <w:tblStyle w:val="Table1"/>
        <w:tblW w:w="88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0"/>
        <w:gridCol w:w="7056"/>
        <w:tblGridChange w:id="0">
          <w:tblGrid>
            <w:gridCol w:w="1810"/>
            <w:gridCol w:w="70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Non-Functional Requirements – Mutual Fund Purchase Optimizer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Version History</w:t>
      </w:r>
    </w:p>
    <w:tbl>
      <w:tblPr>
        <w:tblStyle w:val="Table2"/>
        <w:tblW w:w="70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"/>
        <w:gridCol w:w="1070"/>
        <w:gridCol w:w="1769"/>
        <w:gridCol w:w="3156"/>
        <w:tblGridChange w:id="0">
          <w:tblGrid>
            <w:gridCol w:w="1016"/>
            <w:gridCol w:w="1070"/>
            <w:gridCol w:w="1769"/>
            <w:gridCol w:w="3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2/9/2026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Technical Team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NFR document creation</w:t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30">
      <w:pPr>
        <w:spacing w:after="280" w:before="280" w:line="24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Logging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 Handling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Scalability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Reliability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Observability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Portability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Maintainability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Privacy and Compliance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 Components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1.1 Purpose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defines the Non-Functional Requirements (NFRs)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Mutual Fund Purchase Optimizer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It specifies quality attributes such as performance, security, scalability, reliability, logging, and exception handling to ensure a robust and optimized investment recommendation system.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1.2 Scope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NFR document applies to all platform components including: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&amp; API layers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Portfolio optimization engine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 services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analysis modules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storage and integrations with market data providers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1.3 Definitions and Acronyms</w:t>
      </w:r>
    </w:p>
    <w:tbl>
      <w:tblPr>
        <w:tblStyle w:val="Table3"/>
        <w:tblW w:w="443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0"/>
        <w:gridCol w:w="3642"/>
        <w:tblGridChange w:id="0">
          <w:tblGrid>
            <w:gridCol w:w="790"/>
            <w:gridCol w:w="36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Non-Functional 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SIP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Systematic Investment Plan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Asset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ELK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Elasticsearch, Logstash, Kibana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Web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 Level Agreement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TLS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 Layer Security</w:t>
            </w:r>
          </w:p>
        </w:tc>
      </w:tr>
    </w:tbl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Logging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2.1 Overview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must implement comprehensive logging to track user actions, portfolio calculations, fund recommendations, and system behavior for debugging, audit, and compliance.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2.2 Requirements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logs must be structured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JSON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levels: DEBUG, INFO, WARN, ERROR, FATAL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log must include timestamp, request ID, user ID, service name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data (PAN, Aadhaar, bank details) must never be logged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API requests/responses must be logged with latency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Portfolio optimization decisions must be logged for audit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Logs retained for 90 days (hot) and 1 year (archive)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log aggregation across services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2.3 Log Categories</w:t>
      </w:r>
    </w:p>
    <w:tbl>
      <w:tblPr>
        <w:tblStyle w:val="Table4"/>
        <w:tblW w:w="82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3"/>
        <w:gridCol w:w="2603"/>
        <w:gridCol w:w="3662"/>
        <w:tblGridChange w:id="0">
          <w:tblGrid>
            <w:gridCol w:w="1983"/>
            <w:gridCol w:w="2603"/>
            <w:gridCol w:w="3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Logs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logic execution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Portfolio creation, SIP calculation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 Logs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actions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Fund purchase, portfolio update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Logs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 events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attempts, token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Logs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Latency metrics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Optimization engine execution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Integration Logs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APIs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 fetch, AMC integration</w:t>
            </w:r>
          </w:p>
        </w:tc>
      </w:tr>
    </w:tbl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Exception Handling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3.1 Overview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must gracefully handle failures without exposing internal errors and ensure consistent user experience.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3.2 Requirements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technical stack traces shown to users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Meaningful and user-friendly error messages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exceptions logged with correlation ID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failures trigger alerts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 exception handlers at API and service layers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 breaker for third-party market data APIs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 with exponential backoff for transient errors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 rollback for failed fund purchases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3.3 Exception Categories</w:t>
      </w:r>
    </w:p>
    <w:tbl>
      <w:tblPr>
        <w:tblStyle w:val="Table5"/>
        <w:tblW w:w="723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6"/>
        <w:gridCol w:w="2103"/>
        <w:gridCol w:w="3015"/>
        <w:tblGridChange w:id="0">
          <w:tblGrid>
            <w:gridCol w:w="2116"/>
            <w:gridCol w:w="2103"/>
            <w:gridCol w:w="3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Exception Type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Handling Strategy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Validation Error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400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Please check your 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 Error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401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Session expired, login again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Authorization Error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403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Fund Not Found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404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Selected fund not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 API Failure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Retry + fallback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temporarily unavailable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Error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500 + alert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Please try again later</w:t>
            </w:r>
          </w:p>
        </w:tc>
      </w:tr>
    </w:tbl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3.4 Error Response Format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"status": "error",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"code": "PORTFOLIO_OPTIMIZATION_FAILED",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"message": "Unable to generate portfolio at the moment",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"correlationId": "xyz-123",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"timestamp": "2026-02-09T10:30:00Z"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Scalability</w:t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4.1 Overview</w:t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must scale to handle growing users, portfolios, and market data requests.</w:t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 Requirements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Horizontal scaling of microservices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Stateless service design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Auto-scaling based on CPU &amp; request count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Caching for NAV and fund metadata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Async processing for portfolio optimization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CDN for static assets</w:t>
      </w:r>
    </w:p>
    <w:p w:rsidR="00000000" w:rsidDel="00000000" w:rsidP="00000000" w:rsidRDefault="00000000" w:rsidRPr="00000000" w14:paraId="000000D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4.3 Performance Targets</w:t>
      </w:r>
    </w:p>
    <w:tbl>
      <w:tblPr>
        <w:tblStyle w:val="Table6"/>
        <w:tblW w:w="500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3"/>
        <w:gridCol w:w="1112"/>
        <w:gridCol w:w="1112"/>
        <w:tblGridChange w:id="0">
          <w:tblGrid>
            <w:gridCol w:w="2783"/>
            <w:gridCol w:w="1112"/>
            <w:gridCol w:w="1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Initial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Concurrent Users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5,000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Optimization Requests/sec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Response Time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600 ms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300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Storage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 GB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TB</w:t>
            </w:r>
          </w:p>
        </w:tc>
      </w:tr>
    </w:tbl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Reliability</w:t>
      </w:r>
    </w:p>
    <w:p w:rsidR="00000000" w:rsidDel="00000000" w:rsidP="00000000" w:rsidRDefault="00000000" w:rsidRPr="00000000" w14:paraId="000000F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5.1 Availability Targets</w:t>
      </w:r>
    </w:p>
    <w:tbl>
      <w:tblPr>
        <w:tblStyle w:val="Table7"/>
        <w:tblW w:w="36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1472"/>
        <w:tblGridChange w:id="0">
          <w:tblGrid>
            <w:gridCol w:w="2130"/>
            <w:gridCol w:w="14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Availability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99.9%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MTTR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15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MTBF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30 days</w:t>
            </w:r>
          </w:p>
        </w:tc>
      </w:tr>
    </w:tbl>
    <w:p w:rsidR="00000000" w:rsidDel="00000000" w:rsidP="00000000" w:rsidRDefault="00000000" w:rsidRPr="00000000" w14:paraId="000000F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5.2 High Availability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balanced services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failover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Graceful degradation (read-only mode if optimization fails)</w:t>
      </w:r>
    </w:p>
    <w:p w:rsidR="00000000" w:rsidDel="00000000" w:rsidP="00000000" w:rsidRDefault="00000000" w:rsidRPr="00000000" w14:paraId="000001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5.3 Backup &amp; Recovery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backups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RPO: 1 hour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RTO: 4 hours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Observability</w:t>
      </w:r>
    </w:p>
    <w:p w:rsidR="00000000" w:rsidDel="00000000" w:rsidP="00000000" w:rsidRDefault="00000000" w:rsidRPr="00000000" w14:paraId="000001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6.1 Monitoring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system health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Distributed tracing across services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Alerting on SLA breaches</w:t>
      </w:r>
    </w:p>
    <w:p w:rsidR="00000000" w:rsidDel="00000000" w:rsidP="00000000" w:rsidRDefault="00000000" w:rsidRPr="00000000" w14:paraId="000001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6.2 Tooling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ELK Stack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logs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Prometheus + Grafana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metrics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Alertmanager for notifications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Portability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Docker-based containerization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Kubernetes orchestration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for infrastructure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Environment-based configuration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AWS-Based Cloud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Maintainability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12971033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Code coverage ≥ 80%</w:t>
          </w:r>
        </w:sdtContent>
      </w:sdt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Mandatory code reviews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SonarQube for quality checks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Swagger/OpenAPI documentation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Versioned releases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Data Privacy &amp; Compliance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Encryption at rest and transit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GDPR compliance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minimization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consent for data usage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trail for portfolio changes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Infrastructure Components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Gateway (rate limiting, auth)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balancers (L7 + internal)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 queues (Kafka/RabbitMQ)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 caching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 discovery via Kubernetes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Security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+ OAuth 2.0 authentication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RBAC authorization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TLS 1.3 encryption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penetration testing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key management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Conclusion</w:t>
      </w:r>
    </w:p>
    <w:p w:rsidR="00000000" w:rsidDel="00000000" w:rsidP="00000000" w:rsidRDefault="00000000" w:rsidRPr="00000000" w14:paraId="0000013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NFR document ensures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Mutual Fund Purchase Optimizer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secure, scalable, reliable, and compliant with industry best practices.</w:t>
        <w:br w:type="textWrapping"/>
        <w:t xml:space="preserve">These requirements form the foundation for building a production-grade financial optimization system.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223E3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C223E3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C223E3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 w:val="1"/>
    <w:rsid w:val="00C223E3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23E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22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223E3"/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 w:val="1"/>
    <w:unhideWhenUsed w:val="1"/>
    <w:rsid w:val="00C223E3"/>
    <w:rPr>
      <w:rFonts w:ascii="Courier New" w:cs="Courier New" w:eastAsia="Times New Roman" w:hAnsi="Courier New"/>
      <w:sz w:val="20"/>
      <w:szCs w:val="20"/>
    </w:rPr>
  </w:style>
  <w:style w:type="character" w:styleId="hljs-punctuation" w:customStyle="1">
    <w:name w:val="hljs-punctuation"/>
    <w:basedOn w:val="DefaultParagraphFont"/>
    <w:rsid w:val="00C223E3"/>
  </w:style>
  <w:style w:type="character" w:styleId="hljs-attr" w:customStyle="1">
    <w:name w:val="hljs-attr"/>
    <w:basedOn w:val="DefaultParagraphFont"/>
    <w:rsid w:val="00C223E3"/>
  </w:style>
  <w:style w:type="character" w:styleId="hljs-string" w:customStyle="1">
    <w:name w:val="hljs-string"/>
    <w:basedOn w:val="DefaultParagraphFont"/>
    <w:rsid w:val="00C223E3"/>
  </w:style>
  <w:style w:type="table" w:styleId="TableGrid">
    <w:name w:val="Table Grid"/>
    <w:basedOn w:val="TableNormal"/>
    <w:uiPriority w:val="39"/>
    <w:rsid w:val="00C223E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C223E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0Ba03XxIg9NO/0OqFyOxCgh8SQ==">CgMxLjAaJQoBMBIgCh4IB0IaCg9UaW1lcyBOZXcgUm9tYW4SB0d1bmdzdWg4AHIhMWNSQjJERldIcXhpRVlmQ3ZqQkRvSGdweGoxd2RHQ2pP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2026-02-10T05:12:00Z</dcterms:created>
  <dc:creator>Shiney</dc:creator>
</cp:coreProperties>
</file>