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4805" w14:textId="4B278CC4"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u w:val="single"/>
        </w:rPr>
      </w:pPr>
      <w:bookmarkStart w:id="0" w:name="OLE_LINK8"/>
      <w:r w:rsidRPr="00EA4776">
        <w:rPr>
          <w:b/>
          <w:bCs/>
          <w:u w:val="single"/>
        </w:rPr>
        <w:t>Phthalate Toxicity Prompt</w:t>
      </w:r>
    </w:p>
    <w:p w14:paraId="471B2F5C" w14:textId="77777777" w:rsid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2E0FB42" w14:textId="64FFAFE1"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1" w:name="OLE_LINK4"/>
      <w:bookmarkStart w:id="2" w:name="OLE_LINK1"/>
      <w:r w:rsidRPr="00EA4776">
        <w:rPr>
          <w:rFonts w:ascii="Courier New" w:hAnsi="Courier New" w:cs="Courier New"/>
          <w:sz w:val="20"/>
          <w:szCs w:val="20"/>
        </w:rPr>
        <w:t>**Role:** Act as a Senior Toxicologist and Environmental Health Scientist.</w:t>
      </w:r>
    </w:p>
    <w:p w14:paraId="4C13F907"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456A85"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**Objective:** Produce a comprehensive, deep-dive research report on **Phthalate Toxicity**. The report must be scientifically rigorous, evidence-based, and structured for an audience of medical professionals and policy researchers.</w:t>
      </w:r>
    </w:p>
    <w:p w14:paraId="43143626"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6E34BB"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**Scope &amp; Constraints:**</w:t>
      </w:r>
    </w:p>
    <w:p w14:paraId="13E9DD7A"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1.  **Focus:** Prioritize mechanistic toxicology, toxicokinetics, and human health epidemiology.</w:t>
      </w:r>
    </w:p>
    <w:p w14:paraId="0DE24865"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2.  **Tone:** Objective, analytical, and academic. Avoid alarmist language; stick to the data.</w:t>
      </w:r>
    </w:p>
    <w:p w14:paraId="3D001193"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3.  **Citations:** Cite specific landmark studies, regulatory bodies (EFSA, EPA, ECHA), or meta-analyses where possible to support claims.</w:t>
      </w:r>
    </w:p>
    <w:p w14:paraId="46AF07CC"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4.  **Formatting:** Use bolding for key terms, bullet points for lists, and tables for data comparison.</w:t>
      </w:r>
    </w:p>
    <w:p w14:paraId="43CAFD51"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64EEF4"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**Required Report Structure:**</w:t>
      </w:r>
    </w:p>
    <w:p w14:paraId="04300161"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B18795"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**1. Executive Summary**</w:t>
      </w:r>
    </w:p>
    <w:p w14:paraId="75AB3272"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Brief overview of chemical structure (ortho-phthalates) and industrial applications.</w:t>
      </w:r>
    </w:p>
    <w:p w14:paraId="43BB3F04"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Summary of primary health concerns (Endocrine Disrupting Chemicals - EDCs).</w:t>
      </w:r>
    </w:p>
    <w:p w14:paraId="016D632F"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C82B6AC"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**2. Classification and Exposure Assessment**</w:t>
      </w:r>
    </w:p>
    <w:p w14:paraId="1DA6D1F5"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**Low vs. High Molecular Weight Phthalates:** Differentiate between LMW (e.g., DMP, DEP) and HMW (e.g., DEHP, DINP).</w:t>
      </w:r>
    </w:p>
    <w:p w14:paraId="23D17168"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**Sources:** Plasticizers in PVC, personal care products, medical devices.</w:t>
      </w:r>
    </w:p>
    <w:p w14:paraId="34F86E9C"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**Routes of Exposure:** Ingestion (dietary), inhalation (indoor air/dust), dermal absorption, and parenteral (medical tubing).</w:t>
      </w:r>
    </w:p>
    <w:p w14:paraId="39B8299E"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9216F28"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**3. Toxicokinetics (ADME)**</w:t>
      </w:r>
    </w:p>
    <w:p w14:paraId="42B24CCA"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**Absorption:** Bioavailability across different routes.</w:t>
      </w:r>
    </w:p>
    <w:p w14:paraId="4D38B381"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**Metabolism:** The hydrolysis to monoesters (e.g., DEHP to MEHP) and subsequent glucuronidation. *Include discussion on why monoesters are often the biologically active toxicants.*</w:t>
      </w:r>
    </w:p>
    <w:p w14:paraId="134B38B4"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**Excretion:** Urinary biomonitoring and half-lives.</w:t>
      </w:r>
    </w:p>
    <w:p w14:paraId="47CB06E4"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D426D4"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**4. Molecular Mechanisms of Action (MoA)**</w:t>
      </w:r>
    </w:p>
    <w:p w14:paraId="2FE2703A"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**Endocrine Disruption:** specifically Anti-Androgenic effects (Phthalate Syndrome).</w:t>
      </w:r>
    </w:p>
    <w:p w14:paraId="1CF8396A"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**Receptor Interaction:** Interaction with Peroxisome Proliferator-Activated Receptors (PPARs) and Aryl Hydrocarbon Receptor (AhR).</w:t>
      </w:r>
    </w:p>
    <w:p w14:paraId="79BF50E6"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**Oxidative Stress:** Mitochondrial dysfunction and ROS generation.</w:t>
      </w:r>
    </w:p>
    <w:p w14:paraId="3B8F8D01"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D21262D"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**5. Organ-Specific Toxicity (Evidence Review)**</w:t>
      </w:r>
    </w:p>
    <w:p w14:paraId="4BC23269"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**Reproductive &amp; Developmental:** Reduced Anogenital Distance (AGD), hypospadias, Leydig cell pathology, and fertility impacts.</w:t>
      </w:r>
    </w:p>
    <w:p w14:paraId="7414CA78"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**Neurodevelopmental:** Associations with ADHD, autism spectrum behaviors, and cognitive development.</w:t>
      </w:r>
    </w:p>
    <w:p w14:paraId="5CA8661D"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**Metabolic/Hepatic:** Links to obesity, insulin resistance, and liver toxicity (peroxisome proliferation).</w:t>
      </w:r>
    </w:p>
    <w:p w14:paraId="43623E93"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0777A7"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**6. Vulnerable Populations**</w:t>
      </w:r>
    </w:p>
    <w:p w14:paraId="58860ADF"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Focus on "The First 1000 Days" (prenatal and early childhood sensitivity).</w:t>
      </w:r>
    </w:p>
    <w:p w14:paraId="295BF89C"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Placental transfer and lactation transfer.</w:t>
      </w:r>
    </w:p>
    <w:p w14:paraId="485D4C37"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E41C820"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**7. Regulatory Landscape &amp; Tolerable Limits**</w:t>
      </w:r>
    </w:p>
    <w:p w14:paraId="7CA74DE9"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Compare Reference Doses (RfD) and Tolerable Daily Intake (TDI) values from the US EPA vs. European Food Safety Authority (EFSA).</w:t>
      </w:r>
    </w:p>
    <w:p w14:paraId="3964DF21"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Discussion on the cumulative risk assessment of phthalate mixtures (dose addition).</w:t>
      </w:r>
    </w:p>
    <w:p w14:paraId="6DD0B5A6"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D59823"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**8. Emerging Science &amp; Alternatives**</w:t>
      </w:r>
    </w:p>
    <w:p w14:paraId="6F3A7A36"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Brief analysis of common replacements (e.g., DOTP/DEHT, DINCH)—are they "regrettable substitutions" or truly safer?</w:t>
      </w:r>
    </w:p>
    <w:p w14:paraId="316F616E"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8F97D86"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**9. Conclusion &amp; Future Directions**</w:t>
      </w:r>
    </w:p>
    <w:p w14:paraId="365138E0" w14:textId="77777777" w:rsidR="00EA4776" w:rsidRPr="00EA4776" w:rsidRDefault="00EA4776" w:rsidP="00EA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4776">
        <w:rPr>
          <w:rFonts w:ascii="Courier New" w:hAnsi="Courier New" w:cs="Courier New"/>
          <w:sz w:val="20"/>
          <w:szCs w:val="20"/>
        </w:rPr>
        <w:t xml:space="preserve">   * Gaps in current literature (e.g., transgenerational epigenetic inheritance).</w:t>
      </w:r>
      <w:bookmarkEnd w:id="1"/>
    </w:p>
    <w:bookmarkEnd w:id="0"/>
    <w:bookmarkEnd w:id="2"/>
    <w:p w14:paraId="592B014A" w14:textId="77777777" w:rsidR="001B4A6D" w:rsidRDefault="001B4A6D"/>
    <w:p w14:paraId="6489780C" w14:textId="5CDE7AA5" w:rsidR="00EA4776" w:rsidRPr="00EA4776" w:rsidRDefault="00EA4776">
      <w:pPr>
        <w:rPr>
          <w:b/>
          <w:bCs/>
          <w:u w:val="single"/>
        </w:rPr>
      </w:pPr>
      <w:bookmarkStart w:id="3" w:name="OLE_LINK6"/>
      <w:r w:rsidRPr="00EA4776">
        <w:rPr>
          <w:b/>
          <w:bCs/>
          <w:u w:val="single"/>
        </w:rPr>
        <w:t>PFAS</w:t>
      </w:r>
      <w:bookmarkEnd w:id="3"/>
      <w:r w:rsidRPr="00EA4776">
        <w:rPr>
          <w:b/>
          <w:bCs/>
          <w:u w:val="single"/>
        </w:rPr>
        <w:t xml:space="preserve"> Prompt</w:t>
      </w:r>
    </w:p>
    <w:p w14:paraId="4FD7F664" w14:textId="77777777" w:rsidR="00EA4776" w:rsidRPr="00EA4776" w:rsidRDefault="00EA4776" w:rsidP="00EA4776">
      <w:pPr>
        <w:spacing w:after="100" w:afterAutospacing="1"/>
        <w:rPr>
          <w:rFonts w:ascii="Arial" w:hAnsi="Arial" w:cs="Arial"/>
        </w:rPr>
      </w:pPr>
      <w:bookmarkStart w:id="4" w:name="OLE_LINK5"/>
      <w:bookmarkStart w:id="5" w:name="OLE_LINK2"/>
      <w:r w:rsidRPr="00EA4776">
        <w:rPr>
          <w:rFonts w:ascii="Arial" w:hAnsi="Arial" w:cs="Arial"/>
          <w:b/>
          <w:bCs/>
        </w:rPr>
        <w:t>Role:</w:t>
      </w:r>
      <w:r w:rsidRPr="00EA4776">
        <w:rPr>
          <w:rFonts w:ascii="Arial" w:hAnsi="Arial" w:cs="Arial"/>
        </w:rPr>
        <w:t xml:space="preserve"> Act as a Senior Environmental Epidemiologist and Toxicologist with extensive experience in public health and chemical regulation.</w:t>
      </w:r>
    </w:p>
    <w:p w14:paraId="2B144B52" w14:textId="77777777" w:rsidR="00EA4776" w:rsidRPr="00EA4776" w:rsidRDefault="00EA4776" w:rsidP="00EA4776">
      <w:pPr>
        <w:spacing w:after="100" w:afterAutospacing="1"/>
        <w:rPr>
          <w:rFonts w:ascii="Arial" w:hAnsi="Arial" w:cs="Arial"/>
        </w:rPr>
      </w:pPr>
      <w:r w:rsidRPr="00EA4776">
        <w:rPr>
          <w:rFonts w:ascii="Arial" w:hAnsi="Arial" w:cs="Arial"/>
          <w:b/>
          <w:bCs/>
        </w:rPr>
        <w:t>Task:</w:t>
      </w:r>
      <w:r w:rsidRPr="00EA4776">
        <w:rPr>
          <w:rFonts w:ascii="Arial" w:hAnsi="Arial" w:cs="Arial"/>
        </w:rPr>
        <w:t xml:space="preserve"> Compose a comprehensive, peer-review-quality scientific review article titled: </w:t>
      </w:r>
      <w:r w:rsidRPr="00EA4776">
        <w:rPr>
          <w:rFonts w:ascii="Arial" w:hAnsi="Arial" w:cs="Arial"/>
          <w:b/>
          <w:bCs/>
        </w:rPr>
        <w:t>"Health Impacts of Per- and Polyfluoroalkyl Substances (PFASs): A Comprehensive Review."</w:t>
      </w:r>
    </w:p>
    <w:p w14:paraId="449A5F55" w14:textId="77777777" w:rsidR="00EA4776" w:rsidRPr="00EA4776" w:rsidRDefault="00EA4776" w:rsidP="00EA4776">
      <w:pPr>
        <w:spacing w:after="100" w:afterAutospacing="1"/>
        <w:rPr>
          <w:rFonts w:ascii="Arial" w:hAnsi="Arial" w:cs="Arial"/>
        </w:rPr>
      </w:pPr>
      <w:r w:rsidRPr="00EA4776">
        <w:rPr>
          <w:rFonts w:ascii="Arial" w:hAnsi="Arial" w:cs="Arial"/>
          <w:b/>
          <w:bCs/>
        </w:rPr>
        <w:t>Objective:</w:t>
      </w:r>
      <w:r w:rsidRPr="00EA4776">
        <w:rPr>
          <w:rFonts w:ascii="Arial" w:hAnsi="Arial" w:cs="Arial"/>
        </w:rPr>
        <w:t xml:space="preserve"> Synthesize current epidemiological human data and toxicological animal studies to evaluate the health risks associated with legacy PFAS (e.g., PFOA, PFOS) and emerging replacements (e.g., GenX, PFBS).</w:t>
      </w:r>
    </w:p>
    <w:p w14:paraId="714811D9" w14:textId="77777777" w:rsidR="00EA4776" w:rsidRPr="00EA4776" w:rsidRDefault="00EA4776" w:rsidP="00EA4776">
      <w:pPr>
        <w:spacing w:after="100" w:afterAutospacing="1"/>
        <w:rPr>
          <w:rFonts w:ascii="Arial" w:hAnsi="Arial" w:cs="Arial"/>
        </w:rPr>
      </w:pPr>
      <w:r w:rsidRPr="00EA4776">
        <w:rPr>
          <w:rFonts w:ascii="Arial" w:hAnsi="Arial" w:cs="Arial"/>
          <w:b/>
          <w:bCs/>
        </w:rPr>
        <w:t>Report Structure &amp; Content Requirements:</w:t>
      </w:r>
    </w:p>
    <w:p w14:paraId="74E1A718" w14:textId="77777777" w:rsidR="00EA4776" w:rsidRPr="00EA4776" w:rsidRDefault="00EA4776" w:rsidP="00EA4776">
      <w:pPr>
        <w:spacing w:after="100" w:afterAutospacing="1"/>
        <w:rPr>
          <w:rFonts w:ascii="Arial" w:hAnsi="Arial" w:cs="Arial"/>
        </w:rPr>
      </w:pPr>
      <w:bookmarkStart w:id="6" w:name="OLE_LINK7"/>
      <w:r w:rsidRPr="00EA4776">
        <w:rPr>
          <w:rFonts w:ascii="Arial" w:hAnsi="Arial" w:cs="Arial"/>
          <w:b/>
          <w:bCs/>
        </w:rPr>
        <w:t>1. Abstract:</w:t>
      </w:r>
    </w:p>
    <w:p w14:paraId="0FD427E7" w14:textId="77777777" w:rsidR="00EA4776" w:rsidRPr="00EA4776" w:rsidRDefault="00EA4776" w:rsidP="00EA4776">
      <w:pPr>
        <w:numPr>
          <w:ilvl w:val="0"/>
          <w:numId w:val="1"/>
        </w:numPr>
        <w:spacing w:after="100" w:afterAutospacing="1"/>
        <w:ind w:left="1440"/>
        <w:rPr>
          <w:rFonts w:ascii="Arial" w:hAnsi="Arial" w:cs="Arial"/>
        </w:rPr>
      </w:pPr>
      <w:r w:rsidRPr="00EA4776">
        <w:rPr>
          <w:rFonts w:ascii="Arial" w:hAnsi="Arial" w:cs="Arial"/>
        </w:rPr>
        <w:t>Summarize the prevalence of PFAS, primary health concerns, and the consensus of the review.</w:t>
      </w:r>
    </w:p>
    <w:p w14:paraId="590B76D9" w14:textId="77777777" w:rsidR="00EA4776" w:rsidRPr="00EA4776" w:rsidRDefault="00EA4776" w:rsidP="00EA4776">
      <w:pPr>
        <w:spacing w:after="100" w:afterAutospacing="1"/>
        <w:rPr>
          <w:rFonts w:ascii="Arial" w:hAnsi="Arial" w:cs="Arial"/>
        </w:rPr>
      </w:pPr>
      <w:r w:rsidRPr="00EA4776">
        <w:rPr>
          <w:rFonts w:ascii="Arial" w:hAnsi="Arial" w:cs="Arial"/>
          <w:b/>
          <w:bCs/>
        </w:rPr>
        <w:t>2. Introduction &amp; Chemical Background:</w:t>
      </w:r>
    </w:p>
    <w:p w14:paraId="27DB49EF" w14:textId="77777777" w:rsidR="00EA4776" w:rsidRPr="00EA4776" w:rsidRDefault="00EA4776" w:rsidP="00EA4776">
      <w:pPr>
        <w:numPr>
          <w:ilvl w:val="0"/>
          <w:numId w:val="2"/>
        </w:numPr>
        <w:spacing w:after="100" w:afterAutospacing="1"/>
        <w:ind w:left="1440"/>
        <w:rPr>
          <w:rFonts w:ascii="Arial" w:hAnsi="Arial" w:cs="Arial"/>
        </w:rPr>
      </w:pPr>
      <w:r w:rsidRPr="00EA4776">
        <w:rPr>
          <w:rFonts w:ascii="Arial" w:hAnsi="Arial" w:cs="Arial"/>
        </w:rPr>
        <w:t>Briefly define PFAS chemistry (the carbon-fluorine bond strength).</w:t>
      </w:r>
    </w:p>
    <w:p w14:paraId="22B02D45" w14:textId="77777777" w:rsidR="00EA4776" w:rsidRPr="00EA4776" w:rsidRDefault="00EA4776" w:rsidP="00EA4776">
      <w:pPr>
        <w:numPr>
          <w:ilvl w:val="0"/>
          <w:numId w:val="2"/>
        </w:numPr>
        <w:spacing w:after="100" w:afterAutospacing="1"/>
        <w:ind w:left="1440"/>
        <w:rPr>
          <w:rFonts w:ascii="Arial" w:hAnsi="Arial" w:cs="Arial"/>
        </w:rPr>
      </w:pPr>
      <w:r w:rsidRPr="00EA4776">
        <w:rPr>
          <w:rFonts w:ascii="Arial" w:hAnsi="Arial" w:cs="Arial"/>
        </w:rPr>
        <w:t>Distinguish between long-chain and short-chain compounds.</w:t>
      </w:r>
    </w:p>
    <w:p w14:paraId="006EF370" w14:textId="77777777" w:rsidR="00EA4776" w:rsidRPr="00EA4776" w:rsidRDefault="00EA4776" w:rsidP="00EA4776">
      <w:pPr>
        <w:spacing w:after="100" w:afterAutospacing="1"/>
        <w:rPr>
          <w:rFonts w:ascii="Arial" w:hAnsi="Arial" w:cs="Arial"/>
        </w:rPr>
      </w:pPr>
      <w:r w:rsidRPr="00EA4776">
        <w:rPr>
          <w:rFonts w:ascii="Arial" w:hAnsi="Arial" w:cs="Arial"/>
          <w:b/>
          <w:bCs/>
        </w:rPr>
        <w:t>3. Exposure Pathways &amp; Toxicokinetics:</w:t>
      </w:r>
    </w:p>
    <w:p w14:paraId="3B7DB2AE" w14:textId="77777777" w:rsidR="00EA4776" w:rsidRPr="00EA4776" w:rsidRDefault="00EA4776" w:rsidP="00EA4776">
      <w:pPr>
        <w:numPr>
          <w:ilvl w:val="0"/>
          <w:numId w:val="3"/>
        </w:numPr>
        <w:spacing w:after="100" w:afterAutospacing="1"/>
        <w:ind w:left="1440"/>
        <w:rPr>
          <w:rFonts w:ascii="Arial" w:hAnsi="Arial" w:cs="Arial"/>
        </w:rPr>
      </w:pPr>
      <w:r w:rsidRPr="00EA4776">
        <w:rPr>
          <w:rFonts w:ascii="Arial" w:hAnsi="Arial" w:cs="Arial"/>
        </w:rPr>
        <w:t>Analyze primary routes of exposure (drinking water, food packaging, dust, dermal).</w:t>
      </w:r>
    </w:p>
    <w:p w14:paraId="603C9062" w14:textId="77777777" w:rsidR="00EA4776" w:rsidRPr="00EA4776" w:rsidRDefault="00EA4776" w:rsidP="00EA4776">
      <w:pPr>
        <w:numPr>
          <w:ilvl w:val="0"/>
          <w:numId w:val="3"/>
        </w:numPr>
        <w:spacing w:after="100" w:afterAutospacing="1"/>
        <w:ind w:left="1440"/>
        <w:rPr>
          <w:rFonts w:ascii="Arial" w:hAnsi="Arial" w:cs="Arial"/>
        </w:rPr>
      </w:pPr>
      <w:r w:rsidRPr="00EA4776">
        <w:rPr>
          <w:rFonts w:ascii="Arial" w:hAnsi="Arial" w:cs="Arial"/>
        </w:rPr>
        <w:t>Discuss bioaccumulation, biomagnification, and serum half-lives in humans vs. animals.</w:t>
      </w:r>
    </w:p>
    <w:p w14:paraId="0E7BD65F" w14:textId="77777777" w:rsidR="00EA4776" w:rsidRPr="00EA4776" w:rsidRDefault="00EA4776" w:rsidP="00EA4776">
      <w:pPr>
        <w:spacing w:after="100" w:afterAutospacing="1"/>
        <w:rPr>
          <w:rFonts w:ascii="Arial" w:hAnsi="Arial" w:cs="Arial"/>
        </w:rPr>
      </w:pPr>
      <w:r w:rsidRPr="00EA4776">
        <w:rPr>
          <w:rFonts w:ascii="Arial" w:hAnsi="Arial" w:cs="Arial"/>
          <w:b/>
          <w:bCs/>
        </w:rPr>
        <w:lastRenderedPageBreak/>
        <w:t>4. System-Specific Health Impacts (The Core Analysis):</w:t>
      </w:r>
    </w:p>
    <w:p w14:paraId="3FDBBB06" w14:textId="77777777" w:rsidR="00EA4776" w:rsidRPr="00EA4776" w:rsidRDefault="00EA4776" w:rsidP="00EA4776">
      <w:pPr>
        <w:numPr>
          <w:ilvl w:val="0"/>
          <w:numId w:val="4"/>
        </w:numPr>
        <w:spacing w:after="100" w:afterAutospacing="1"/>
        <w:ind w:left="1440"/>
        <w:rPr>
          <w:rFonts w:ascii="Arial" w:hAnsi="Arial" w:cs="Arial"/>
        </w:rPr>
      </w:pPr>
      <w:r w:rsidRPr="00EA4776">
        <w:rPr>
          <w:rFonts w:ascii="Arial" w:hAnsi="Arial" w:cs="Arial"/>
          <w:i/>
          <w:iCs/>
        </w:rPr>
        <w:t>Dedicate a subsection to each of the following systems. For each, distinguish between "sufficient evidence," "limited/suggestive evidence," and "inadequate evidence" based on major regulatory assessments (EPA, IARC, EFSA).</w:t>
      </w:r>
    </w:p>
    <w:p w14:paraId="6BA2BE14" w14:textId="77777777" w:rsidR="00EA4776" w:rsidRPr="00EA4776" w:rsidRDefault="00EA4776" w:rsidP="00EA4776">
      <w:pPr>
        <w:numPr>
          <w:ilvl w:val="1"/>
          <w:numId w:val="4"/>
        </w:numPr>
        <w:spacing w:after="100" w:afterAutospacing="1"/>
        <w:ind w:left="2160"/>
        <w:rPr>
          <w:rFonts w:ascii="Arial" w:hAnsi="Arial" w:cs="Arial"/>
        </w:rPr>
      </w:pPr>
      <w:r w:rsidRPr="00EA4776">
        <w:rPr>
          <w:rFonts w:ascii="Arial" w:hAnsi="Arial" w:cs="Arial"/>
          <w:b/>
          <w:bCs/>
        </w:rPr>
        <w:t>Immunotoxicity:</w:t>
      </w:r>
      <w:r w:rsidRPr="00EA4776">
        <w:rPr>
          <w:rFonts w:ascii="Arial" w:hAnsi="Arial" w:cs="Arial"/>
        </w:rPr>
        <w:t xml:space="preserve"> Effects on vaccine response and antibody production (specifically in children).</w:t>
      </w:r>
    </w:p>
    <w:p w14:paraId="5D62EA7E" w14:textId="77777777" w:rsidR="00EA4776" w:rsidRPr="00EA4776" w:rsidRDefault="00EA4776" w:rsidP="00EA4776">
      <w:pPr>
        <w:numPr>
          <w:ilvl w:val="1"/>
          <w:numId w:val="4"/>
        </w:numPr>
        <w:spacing w:after="100" w:afterAutospacing="1"/>
        <w:ind w:left="2160"/>
        <w:rPr>
          <w:rFonts w:ascii="Arial" w:hAnsi="Arial" w:cs="Arial"/>
        </w:rPr>
      </w:pPr>
      <w:r w:rsidRPr="00EA4776">
        <w:rPr>
          <w:rFonts w:ascii="Arial" w:hAnsi="Arial" w:cs="Arial"/>
          <w:b/>
          <w:bCs/>
        </w:rPr>
        <w:t>Carcinogenicity:</w:t>
      </w:r>
      <w:r w:rsidRPr="00EA4776">
        <w:rPr>
          <w:rFonts w:ascii="Arial" w:hAnsi="Arial" w:cs="Arial"/>
        </w:rPr>
        <w:t xml:space="preserve"> Links to kidney and testicular cancer (referencing the IARC classification).</w:t>
      </w:r>
    </w:p>
    <w:p w14:paraId="36CACCE6" w14:textId="77777777" w:rsidR="00EA4776" w:rsidRPr="00EA4776" w:rsidRDefault="00EA4776" w:rsidP="00EA4776">
      <w:pPr>
        <w:numPr>
          <w:ilvl w:val="1"/>
          <w:numId w:val="4"/>
        </w:numPr>
        <w:spacing w:after="100" w:afterAutospacing="1"/>
        <w:ind w:left="2160"/>
        <w:rPr>
          <w:rFonts w:ascii="Arial" w:hAnsi="Arial" w:cs="Arial"/>
        </w:rPr>
      </w:pPr>
      <w:r w:rsidRPr="00EA4776">
        <w:rPr>
          <w:rFonts w:ascii="Arial" w:hAnsi="Arial" w:cs="Arial"/>
          <w:b/>
          <w:bCs/>
        </w:rPr>
        <w:t>Developmental &amp; Reproductive Toxicity:</w:t>
      </w:r>
      <w:r w:rsidRPr="00EA4776">
        <w:rPr>
          <w:rFonts w:ascii="Arial" w:hAnsi="Arial" w:cs="Arial"/>
        </w:rPr>
        <w:t xml:space="preserve"> Low birth weight, pre-eclampsia, and fertility outcomes.</w:t>
      </w:r>
    </w:p>
    <w:p w14:paraId="1D236754" w14:textId="77777777" w:rsidR="00EA4776" w:rsidRPr="00EA4776" w:rsidRDefault="00EA4776" w:rsidP="00EA4776">
      <w:pPr>
        <w:numPr>
          <w:ilvl w:val="1"/>
          <w:numId w:val="4"/>
        </w:numPr>
        <w:spacing w:after="100" w:afterAutospacing="1"/>
        <w:ind w:left="2160"/>
        <w:rPr>
          <w:rFonts w:ascii="Arial" w:hAnsi="Arial" w:cs="Arial"/>
        </w:rPr>
      </w:pPr>
      <w:r w:rsidRPr="00EA4776">
        <w:rPr>
          <w:rFonts w:ascii="Arial" w:hAnsi="Arial" w:cs="Arial"/>
          <w:b/>
          <w:bCs/>
        </w:rPr>
        <w:t>Metabolic &amp; Endocrine Disruption:</w:t>
      </w:r>
      <w:r w:rsidRPr="00EA4776">
        <w:rPr>
          <w:rFonts w:ascii="Arial" w:hAnsi="Arial" w:cs="Arial"/>
        </w:rPr>
        <w:t xml:space="preserve"> Lipid metabolism (cholesterol levels), thyroid disease, and liver enzyme alterations.</w:t>
      </w:r>
    </w:p>
    <w:p w14:paraId="723FB7D6" w14:textId="77777777" w:rsidR="00EA4776" w:rsidRPr="00EA4776" w:rsidRDefault="00EA4776" w:rsidP="00EA4776">
      <w:pPr>
        <w:spacing w:after="100" w:afterAutospacing="1"/>
        <w:rPr>
          <w:rFonts w:ascii="Arial" w:hAnsi="Arial" w:cs="Arial"/>
        </w:rPr>
      </w:pPr>
      <w:r w:rsidRPr="00EA4776">
        <w:rPr>
          <w:rFonts w:ascii="Arial" w:hAnsi="Arial" w:cs="Arial"/>
          <w:b/>
          <w:bCs/>
        </w:rPr>
        <w:t>5. Mechanisms of Action:</w:t>
      </w:r>
    </w:p>
    <w:p w14:paraId="117C8109" w14:textId="77777777" w:rsidR="00EA4776" w:rsidRPr="00EA4776" w:rsidRDefault="00EA4776" w:rsidP="00EA4776">
      <w:pPr>
        <w:numPr>
          <w:ilvl w:val="0"/>
          <w:numId w:val="5"/>
        </w:numPr>
        <w:spacing w:after="100" w:afterAutospacing="1"/>
        <w:ind w:left="1440"/>
        <w:rPr>
          <w:rFonts w:ascii="Arial" w:hAnsi="Arial" w:cs="Arial"/>
        </w:rPr>
      </w:pPr>
      <w:r w:rsidRPr="00EA4776">
        <w:rPr>
          <w:rFonts w:ascii="Arial" w:hAnsi="Arial" w:cs="Arial"/>
        </w:rPr>
        <w:t>Discuss the biological plausibility of these effects (e.g., PPAR-$\alpha$ activation, oxidative stress, epigenetics).</w:t>
      </w:r>
    </w:p>
    <w:p w14:paraId="706EE625" w14:textId="77777777" w:rsidR="00EA4776" w:rsidRPr="00EA4776" w:rsidRDefault="00EA4776" w:rsidP="00EA4776">
      <w:pPr>
        <w:spacing w:after="100" w:afterAutospacing="1"/>
        <w:rPr>
          <w:rFonts w:ascii="Arial" w:hAnsi="Arial" w:cs="Arial"/>
        </w:rPr>
      </w:pPr>
      <w:r w:rsidRPr="00EA4776">
        <w:rPr>
          <w:rFonts w:ascii="Arial" w:hAnsi="Arial" w:cs="Arial"/>
          <w:b/>
          <w:bCs/>
        </w:rPr>
        <w:t>6. The "GenX" Problem:</w:t>
      </w:r>
    </w:p>
    <w:p w14:paraId="69801C44" w14:textId="77777777" w:rsidR="00EA4776" w:rsidRPr="00EA4776" w:rsidRDefault="00EA4776" w:rsidP="00EA4776">
      <w:pPr>
        <w:numPr>
          <w:ilvl w:val="0"/>
          <w:numId w:val="6"/>
        </w:numPr>
        <w:spacing w:after="100" w:afterAutospacing="1"/>
        <w:ind w:left="1440"/>
        <w:rPr>
          <w:rFonts w:ascii="Arial" w:hAnsi="Arial" w:cs="Arial"/>
        </w:rPr>
      </w:pPr>
      <w:r w:rsidRPr="00EA4776">
        <w:rPr>
          <w:rFonts w:ascii="Arial" w:hAnsi="Arial" w:cs="Arial"/>
        </w:rPr>
        <w:t>Evaluate available data on newer replacement chemicals. Are they safer, or do they exhibit regrettable substitution characteristics?</w:t>
      </w:r>
    </w:p>
    <w:p w14:paraId="72C93C3C" w14:textId="77777777" w:rsidR="00EA4776" w:rsidRPr="00EA4776" w:rsidRDefault="00EA4776" w:rsidP="00EA4776">
      <w:pPr>
        <w:spacing w:after="100" w:afterAutospacing="1"/>
        <w:rPr>
          <w:rFonts w:ascii="Arial" w:hAnsi="Arial" w:cs="Arial"/>
        </w:rPr>
      </w:pPr>
      <w:r w:rsidRPr="00EA4776">
        <w:rPr>
          <w:rFonts w:ascii="Arial" w:hAnsi="Arial" w:cs="Arial"/>
          <w:b/>
          <w:bCs/>
        </w:rPr>
        <w:t>7. Regulatory Context &amp; Knowledge Gaps:</w:t>
      </w:r>
    </w:p>
    <w:p w14:paraId="2D18BA57" w14:textId="77777777" w:rsidR="00EA4776" w:rsidRPr="00EA4776" w:rsidRDefault="00EA4776" w:rsidP="00EA4776">
      <w:pPr>
        <w:numPr>
          <w:ilvl w:val="0"/>
          <w:numId w:val="7"/>
        </w:numPr>
        <w:spacing w:after="100" w:afterAutospacing="1"/>
        <w:ind w:left="1440"/>
        <w:rPr>
          <w:rFonts w:ascii="Arial" w:hAnsi="Arial" w:cs="Arial"/>
        </w:rPr>
      </w:pPr>
      <w:r w:rsidRPr="00EA4776">
        <w:rPr>
          <w:rFonts w:ascii="Arial" w:hAnsi="Arial" w:cs="Arial"/>
        </w:rPr>
        <w:t>Briefly mention current Maximum Contaminant Levels (MCLs) proposed by the US EPA or EU REACH restrictions.</w:t>
      </w:r>
    </w:p>
    <w:p w14:paraId="28B16EDA" w14:textId="77777777" w:rsidR="00EA4776" w:rsidRPr="00EA4776" w:rsidRDefault="00EA4776" w:rsidP="00EA4776">
      <w:pPr>
        <w:numPr>
          <w:ilvl w:val="0"/>
          <w:numId w:val="7"/>
        </w:numPr>
        <w:spacing w:after="100" w:afterAutospacing="1"/>
        <w:ind w:left="1440"/>
        <w:rPr>
          <w:rFonts w:ascii="Arial" w:hAnsi="Arial" w:cs="Arial"/>
        </w:rPr>
      </w:pPr>
      <w:r w:rsidRPr="00EA4776">
        <w:rPr>
          <w:rFonts w:ascii="Arial" w:hAnsi="Arial" w:cs="Arial"/>
        </w:rPr>
        <w:t>Identify critical gaps in current research (e.g., mixture toxicity).</w:t>
      </w:r>
    </w:p>
    <w:p w14:paraId="39F67378" w14:textId="77777777" w:rsidR="00EA4776" w:rsidRPr="00EA4776" w:rsidRDefault="00EA4776" w:rsidP="00EA4776">
      <w:pPr>
        <w:spacing w:after="100" w:afterAutospacing="1"/>
        <w:rPr>
          <w:rFonts w:ascii="Arial" w:hAnsi="Arial" w:cs="Arial"/>
        </w:rPr>
      </w:pPr>
      <w:r w:rsidRPr="00EA4776">
        <w:rPr>
          <w:rFonts w:ascii="Arial" w:hAnsi="Arial" w:cs="Arial"/>
          <w:b/>
          <w:bCs/>
        </w:rPr>
        <w:t>8. Conclusion:</w:t>
      </w:r>
    </w:p>
    <w:p w14:paraId="3EB88701" w14:textId="77777777" w:rsidR="00EA4776" w:rsidRPr="00EA4776" w:rsidRDefault="00EA4776" w:rsidP="00EA4776">
      <w:pPr>
        <w:numPr>
          <w:ilvl w:val="0"/>
          <w:numId w:val="8"/>
        </w:numPr>
        <w:spacing w:after="100" w:afterAutospacing="1"/>
        <w:ind w:left="1440"/>
        <w:rPr>
          <w:rFonts w:ascii="Arial" w:hAnsi="Arial" w:cs="Arial"/>
        </w:rPr>
      </w:pPr>
      <w:r w:rsidRPr="00EA4776">
        <w:rPr>
          <w:rFonts w:ascii="Arial" w:hAnsi="Arial" w:cs="Arial"/>
        </w:rPr>
        <w:t>Provide a high-level summary of the public health implications.</w:t>
      </w:r>
    </w:p>
    <w:bookmarkEnd w:id="6"/>
    <w:p w14:paraId="482004FC" w14:textId="77777777" w:rsidR="00EA4776" w:rsidRPr="00EA4776" w:rsidRDefault="00EA4776" w:rsidP="00EA4776">
      <w:pPr>
        <w:spacing w:after="100" w:afterAutospacing="1"/>
        <w:rPr>
          <w:rFonts w:ascii="Arial" w:hAnsi="Arial" w:cs="Arial"/>
        </w:rPr>
      </w:pPr>
      <w:r w:rsidRPr="00EA4776">
        <w:rPr>
          <w:rFonts w:ascii="Arial" w:hAnsi="Arial" w:cs="Arial"/>
          <w:b/>
          <w:bCs/>
        </w:rPr>
        <w:t>Tone and Style:</w:t>
      </w:r>
    </w:p>
    <w:p w14:paraId="0F6C064D" w14:textId="77777777" w:rsidR="00EA4776" w:rsidRPr="00EA4776" w:rsidRDefault="00EA4776" w:rsidP="00EA4776">
      <w:pPr>
        <w:numPr>
          <w:ilvl w:val="0"/>
          <w:numId w:val="9"/>
        </w:numPr>
        <w:spacing w:after="100" w:afterAutospacing="1"/>
        <w:ind w:left="1440"/>
        <w:rPr>
          <w:rFonts w:ascii="Arial" w:hAnsi="Arial" w:cs="Arial"/>
        </w:rPr>
      </w:pPr>
      <w:r w:rsidRPr="00EA4776">
        <w:rPr>
          <w:rFonts w:ascii="Arial" w:hAnsi="Arial" w:cs="Arial"/>
        </w:rPr>
        <w:t>Maintain a formal, academic, and objective tone.</w:t>
      </w:r>
    </w:p>
    <w:p w14:paraId="3E3A67C7" w14:textId="77777777" w:rsidR="00EA4776" w:rsidRPr="00EA4776" w:rsidRDefault="00EA4776" w:rsidP="00EA4776">
      <w:pPr>
        <w:numPr>
          <w:ilvl w:val="0"/>
          <w:numId w:val="9"/>
        </w:numPr>
        <w:spacing w:after="100" w:afterAutospacing="1"/>
        <w:ind w:left="1440"/>
        <w:rPr>
          <w:rFonts w:ascii="Arial" w:hAnsi="Arial" w:cs="Arial"/>
        </w:rPr>
      </w:pPr>
      <w:r w:rsidRPr="00EA4776">
        <w:rPr>
          <w:rFonts w:ascii="Arial" w:hAnsi="Arial" w:cs="Arial"/>
        </w:rPr>
        <w:t>Avoid alarmism; stick to the weight of the evidence.</w:t>
      </w:r>
    </w:p>
    <w:p w14:paraId="61AC12C9" w14:textId="77777777" w:rsidR="00EA4776" w:rsidRPr="00EA4776" w:rsidRDefault="00EA4776" w:rsidP="00EA4776">
      <w:pPr>
        <w:numPr>
          <w:ilvl w:val="0"/>
          <w:numId w:val="9"/>
        </w:numPr>
        <w:spacing w:after="100" w:afterAutospacing="1"/>
        <w:ind w:left="1440"/>
        <w:rPr>
          <w:rFonts w:ascii="Arial" w:hAnsi="Arial" w:cs="Arial"/>
        </w:rPr>
      </w:pPr>
      <w:r w:rsidRPr="00EA4776">
        <w:rPr>
          <w:rFonts w:ascii="Arial" w:hAnsi="Arial" w:cs="Arial"/>
        </w:rPr>
        <w:t>Where human and animal data conflict, highlight the discrepancy.</w:t>
      </w:r>
      <w:bookmarkEnd w:id="5"/>
    </w:p>
    <w:p w14:paraId="3EB8E06E" w14:textId="77777777" w:rsidR="00EA4776" w:rsidRDefault="00EA4776"/>
    <w:p w14:paraId="011B9A03" w14:textId="021D3BFD" w:rsidR="00EA4776" w:rsidRPr="00EA4776" w:rsidRDefault="00EA4776">
      <w:pPr>
        <w:rPr>
          <w:b/>
          <w:bCs/>
          <w:u w:val="single"/>
        </w:rPr>
      </w:pPr>
      <w:r w:rsidRPr="00EA4776">
        <w:rPr>
          <w:b/>
          <w:bCs/>
          <w:u w:val="single"/>
        </w:rPr>
        <w:t>CrispR Prompt</w:t>
      </w:r>
    </w:p>
    <w:p w14:paraId="7D5F98B8" w14:textId="77777777" w:rsidR="00EA4776" w:rsidRPr="00EA4776" w:rsidRDefault="00EA4776" w:rsidP="00EA4776">
      <w:pPr>
        <w:spacing w:after="100" w:afterAutospacing="1"/>
        <w:rPr>
          <w:rFonts w:ascii="Arial" w:hAnsi="Arial" w:cs="Arial"/>
        </w:rPr>
      </w:pPr>
      <w:bookmarkStart w:id="7" w:name="OLE_LINK3"/>
      <w:r w:rsidRPr="00EA4776">
        <w:rPr>
          <w:rFonts w:ascii="Arial" w:hAnsi="Arial" w:cs="Arial"/>
          <w:b/>
          <w:bCs/>
        </w:rPr>
        <w:t>Role:</w:t>
      </w:r>
      <w:r w:rsidRPr="00EA4776">
        <w:rPr>
          <w:rFonts w:ascii="Arial" w:hAnsi="Arial" w:cs="Arial"/>
        </w:rPr>
        <w:t xml:space="preserve"> Act as a Senior Molecular Biologist and Biotech Research Analyst.</w:t>
      </w:r>
    </w:p>
    <w:p w14:paraId="5772D768" w14:textId="77777777" w:rsidR="00EA4776" w:rsidRPr="00EA4776" w:rsidRDefault="00EA4776" w:rsidP="00EA4776">
      <w:pPr>
        <w:spacing w:after="100" w:afterAutospacing="1"/>
        <w:rPr>
          <w:rFonts w:ascii="Arial" w:hAnsi="Arial" w:cs="Arial"/>
        </w:rPr>
      </w:pPr>
      <w:r w:rsidRPr="00EA4776">
        <w:rPr>
          <w:rFonts w:ascii="Arial" w:hAnsi="Arial" w:cs="Arial"/>
          <w:b/>
          <w:bCs/>
        </w:rPr>
        <w:lastRenderedPageBreak/>
        <w:t>Objective:</w:t>
      </w:r>
      <w:r w:rsidRPr="00EA4776">
        <w:rPr>
          <w:rFonts w:ascii="Arial" w:hAnsi="Arial" w:cs="Arial"/>
        </w:rPr>
        <w:t xml:space="preserve"> Produce a comprehensive, "State of the Art" scientific research report on </w:t>
      </w:r>
      <w:r w:rsidRPr="00EA4776">
        <w:rPr>
          <w:rFonts w:ascii="Arial" w:hAnsi="Arial" w:cs="Arial"/>
          <w:b/>
          <w:bCs/>
        </w:rPr>
        <w:t>CRISPR/Cas9 and Next-Generation Gene Editing for Inherited Hemoglobinopathies and Blood Disorders</w:t>
      </w:r>
      <w:r w:rsidRPr="00EA4776">
        <w:rPr>
          <w:rFonts w:ascii="Arial" w:hAnsi="Arial" w:cs="Arial"/>
        </w:rPr>
        <w:t>.</w:t>
      </w:r>
    </w:p>
    <w:p w14:paraId="6BBEA7B1" w14:textId="77777777" w:rsidR="00EA4776" w:rsidRPr="00EA4776" w:rsidRDefault="00EA4776" w:rsidP="00EA4776">
      <w:pPr>
        <w:spacing w:after="100" w:afterAutospacing="1"/>
        <w:rPr>
          <w:rFonts w:ascii="Arial" w:hAnsi="Arial" w:cs="Arial"/>
        </w:rPr>
      </w:pPr>
      <w:r w:rsidRPr="00EA4776">
        <w:rPr>
          <w:rFonts w:ascii="Arial" w:hAnsi="Arial" w:cs="Arial"/>
          <w:b/>
          <w:bCs/>
        </w:rPr>
        <w:t>Context:</w:t>
      </w:r>
      <w:r w:rsidRPr="00EA4776">
        <w:rPr>
          <w:rFonts w:ascii="Arial" w:hAnsi="Arial" w:cs="Arial"/>
        </w:rPr>
        <w:t xml:space="preserve"> The audience for this report is graduate-level researchers and biotech investors. The tone must be objective, technical, and data-driven. Avoid surface-level generalizations.</w:t>
      </w:r>
    </w:p>
    <w:p w14:paraId="0C341542" w14:textId="77777777" w:rsidR="00EA4776" w:rsidRPr="00EA4776" w:rsidRDefault="00EA4776" w:rsidP="00EA4776">
      <w:pPr>
        <w:spacing w:after="100" w:afterAutospacing="1"/>
        <w:rPr>
          <w:rFonts w:ascii="Arial" w:hAnsi="Arial" w:cs="Arial"/>
        </w:rPr>
      </w:pPr>
      <w:r w:rsidRPr="00EA4776">
        <w:rPr>
          <w:rFonts w:ascii="Arial" w:hAnsi="Arial" w:cs="Arial"/>
          <w:b/>
          <w:bCs/>
        </w:rPr>
        <w:t>Report Structure &amp; Requirements:</w:t>
      </w:r>
    </w:p>
    <w:p w14:paraId="45204471" w14:textId="77777777" w:rsidR="00EA4776" w:rsidRPr="00EA4776" w:rsidRDefault="00EA4776" w:rsidP="00EA4776">
      <w:pPr>
        <w:spacing w:after="100" w:afterAutospacing="1"/>
        <w:rPr>
          <w:rFonts w:ascii="Arial" w:hAnsi="Arial" w:cs="Arial"/>
        </w:rPr>
      </w:pPr>
      <w:r w:rsidRPr="00EA4776">
        <w:rPr>
          <w:rFonts w:ascii="Arial" w:hAnsi="Arial" w:cs="Arial"/>
          <w:b/>
          <w:bCs/>
        </w:rPr>
        <w:t>1. Executive Summary</w:t>
      </w:r>
    </w:p>
    <w:p w14:paraId="01EE7720" w14:textId="77777777" w:rsidR="00EA4776" w:rsidRPr="00EA4776" w:rsidRDefault="00EA4776" w:rsidP="00EA4776">
      <w:pPr>
        <w:numPr>
          <w:ilvl w:val="0"/>
          <w:numId w:val="10"/>
        </w:numPr>
        <w:spacing w:after="100" w:afterAutospacing="1"/>
        <w:ind w:left="1440"/>
        <w:rPr>
          <w:rFonts w:ascii="Arial" w:hAnsi="Arial" w:cs="Arial"/>
        </w:rPr>
      </w:pPr>
      <w:r w:rsidRPr="00EA4776">
        <w:rPr>
          <w:rFonts w:ascii="Arial" w:hAnsi="Arial" w:cs="Arial"/>
        </w:rPr>
        <w:t>Summarize the shift from palliative care to curative gene editing.</w:t>
      </w:r>
    </w:p>
    <w:p w14:paraId="345CB276" w14:textId="77777777" w:rsidR="00EA4776" w:rsidRPr="00EA4776" w:rsidRDefault="00EA4776" w:rsidP="00EA4776">
      <w:pPr>
        <w:numPr>
          <w:ilvl w:val="0"/>
          <w:numId w:val="10"/>
        </w:numPr>
        <w:spacing w:after="100" w:afterAutospacing="1"/>
        <w:ind w:left="1440"/>
        <w:rPr>
          <w:rFonts w:ascii="Arial" w:hAnsi="Arial" w:cs="Arial"/>
        </w:rPr>
      </w:pPr>
      <w:r w:rsidRPr="00EA4776">
        <w:rPr>
          <w:rFonts w:ascii="Arial" w:hAnsi="Arial" w:cs="Arial"/>
        </w:rPr>
        <w:t>Briefly highlight the approval of Exagamglogene autotemcel (Casgevy).</w:t>
      </w:r>
    </w:p>
    <w:p w14:paraId="6337164F" w14:textId="77777777" w:rsidR="00EA4776" w:rsidRPr="00EA4776" w:rsidRDefault="00EA4776" w:rsidP="00EA4776">
      <w:pPr>
        <w:spacing w:after="100" w:afterAutospacing="1"/>
        <w:rPr>
          <w:rFonts w:ascii="Arial" w:hAnsi="Arial" w:cs="Arial"/>
        </w:rPr>
      </w:pPr>
      <w:r w:rsidRPr="00EA4776">
        <w:rPr>
          <w:rFonts w:ascii="Arial" w:hAnsi="Arial" w:cs="Arial"/>
          <w:b/>
          <w:bCs/>
        </w:rPr>
        <w:t>2. Molecular Mechanisms of Action</w:t>
      </w:r>
    </w:p>
    <w:p w14:paraId="535FC371" w14:textId="77777777" w:rsidR="00EA4776" w:rsidRPr="00EA4776" w:rsidRDefault="00EA4776" w:rsidP="00EA4776">
      <w:pPr>
        <w:numPr>
          <w:ilvl w:val="0"/>
          <w:numId w:val="11"/>
        </w:numPr>
        <w:spacing w:after="100" w:afterAutospacing="1"/>
        <w:ind w:left="1440"/>
        <w:rPr>
          <w:rFonts w:ascii="Arial" w:hAnsi="Arial" w:cs="Arial"/>
        </w:rPr>
      </w:pPr>
      <w:r w:rsidRPr="00EA4776">
        <w:rPr>
          <w:rFonts w:ascii="Arial" w:hAnsi="Arial" w:cs="Arial"/>
        </w:rPr>
        <w:t xml:space="preserve">Detail the specific mechanism of CRISPR-Cas9 in hematology (specifically targeting the </w:t>
      </w:r>
      <w:r w:rsidRPr="00EA4776">
        <w:rPr>
          <w:rFonts w:ascii="Arial" w:hAnsi="Arial" w:cs="Arial"/>
          <w:i/>
          <w:iCs/>
        </w:rPr>
        <w:t>BCL11A</w:t>
      </w:r>
      <w:r w:rsidRPr="00EA4776">
        <w:rPr>
          <w:rFonts w:ascii="Arial" w:hAnsi="Arial" w:cs="Arial"/>
        </w:rPr>
        <w:t xml:space="preserve"> erythroid-specific enhancer).</w:t>
      </w:r>
    </w:p>
    <w:p w14:paraId="1BD9B1BA" w14:textId="77777777" w:rsidR="00EA4776" w:rsidRPr="00EA4776" w:rsidRDefault="00EA4776" w:rsidP="00EA4776">
      <w:pPr>
        <w:numPr>
          <w:ilvl w:val="0"/>
          <w:numId w:val="11"/>
        </w:numPr>
        <w:spacing w:after="100" w:afterAutospacing="1"/>
        <w:ind w:left="1440"/>
        <w:rPr>
          <w:rFonts w:ascii="Arial" w:hAnsi="Arial" w:cs="Arial"/>
        </w:rPr>
      </w:pPr>
      <w:r w:rsidRPr="00EA4776">
        <w:rPr>
          <w:rFonts w:ascii="Arial" w:hAnsi="Arial" w:cs="Arial"/>
        </w:rPr>
        <w:t xml:space="preserve">Compare standard Cas9 nuclease activity (DSBs) vs. newer modalities: </w:t>
      </w:r>
      <w:r w:rsidRPr="00EA4776">
        <w:rPr>
          <w:rFonts w:ascii="Arial" w:hAnsi="Arial" w:cs="Arial"/>
          <w:b/>
          <w:bCs/>
        </w:rPr>
        <w:t>Base Editing</w:t>
      </w:r>
      <w:r w:rsidRPr="00EA4776">
        <w:rPr>
          <w:rFonts w:ascii="Arial" w:hAnsi="Arial" w:cs="Arial"/>
        </w:rPr>
        <w:t xml:space="preserve"> and </w:t>
      </w:r>
      <w:r w:rsidRPr="00EA4776">
        <w:rPr>
          <w:rFonts w:ascii="Arial" w:hAnsi="Arial" w:cs="Arial"/>
          <w:b/>
          <w:bCs/>
        </w:rPr>
        <w:t>Prime Editing</w:t>
      </w:r>
      <w:r w:rsidRPr="00EA4776">
        <w:rPr>
          <w:rFonts w:ascii="Arial" w:hAnsi="Arial" w:cs="Arial"/>
        </w:rPr>
        <w:t xml:space="preserve"> relevance in correcting pathogenic SNPs (e.g., the A &gt; T mutation in Sickle Cell).</w:t>
      </w:r>
    </w:p>
    <w:p w14:paraId="0983E0B9" w14:textId="77777777" w:rsidR="00EA4776" w:rsidRPr="00EA4776" w:rsidRDefault="00EA4776" w:rsidP="00EA4776">
      <w:pPr>
        <w:numPr>
          <w:ilvl w:val="0"/>
          <w:numId w:val="11"/>
        </w:numPr>
        <w:spacing w:after="100" w:afterAutospacing="1"/>
        <w:ind w:left="1440"/>
        <w:rPr>
          <w:rFonts w:ascii="Arial" w:hAnsi="Arial" w:cs="Arial"/>
        </w:rPr>
      </w:pPr>
      <w:r w:rsidRPr="00EA4776">
        <w:rPr>
          <w:rFonts w:ascii="Arial" w:hAnsi="Arial" w:cs="Arial"/>
        </w:rPr>
        <w:t>Discuss the cellular repair pathways: Non-Homologous End Joining (NHEJ) vs. Homology-Directed Repair (HDR) in the context of blood stem cells.</w:t>
      </w:r>
    </w:p>
    <w:p w14:paraId="2350DCDF" w14:textId="77777777" w:rsidR="00EA4776" w:rsidRPr="00EA4776" w:rsidRDefault="00EA4776" w:rsidP="00EA4776">
      <w:pPr>
        <w:spacing w:after="100" w:afterAutospacing="1"/>
        <w:rPr>
          <w:rFonts w:ascii="Arial" w:hAnsi="Arial" w:cs="Arial"/>
        </w:rPr>
      </w:pPr>
      <w:r w:rsidRPr="00EA4776">
        <w:rPr>
          <w:rFonts w:ascii="Arial" w:hAnsi="Arial" w:cs="Arial"/>
          <w:b/>
          <w:bCs/>
        </w:rPr>
        <w:t>3. Clinical Landscape: Hemoglobinopathies</w:t>
      </w:r>
    </w:p>
    <w:p w14:paraId="70360B4F" w14:textId="77777777" w:rsidR="00EA4776" w:rsidRPr="00EA4776" w:rsidRDefault="00EA4776" w:rsidP="00EA4776">
      <w:pPr>
        <w:numPr>
          <w:ilvl w:val="0"/>
          <w:numId w:val="12"/>
        </w:numPr>
        <w:spacing w:after="100" w:afterAutospacing="1"/>
        <w:ind w:left="1440"/>
        <w:rPr>
          <w:rFonts w:ascii="Arial" w:hAnsi="Arial" w:cs="Arial"/>
        </w:rPr>
      </w:pPr>
      <w:r w:rsidRPr="00EA4776">
        <w:rPr>
          <w:rFonts w:ascii="Arial" w:hAnsi="Arial" w:cs="Arial"/>
          <w:b/>
          <w:bCs/>
        </w:rPr>
        <w:t>Sickle Cell Disease (SCD) &amp; $\beta$-Thalassemia:</w:t>
      </w:r>
      <w:r w:rsidRPr="00EA4776">
        <w:rPr>
          <w:rFonts w:ascii="Arial" w:hAnsi="Arial" w:cs="Arial"/>
        </w:rPr>
        <w:t xml:space="preserve"> Provide a deep dive into the clinical trial data (efficacy in eliminating Vaso-Occlusive Crises, transfusion independence).</w:t>
      </w:r>
    </w:p>
    <w:p w14:paraId="645CCDA8" w14:textId="77777777" w:rsidR="00EA4776" w:rsidRPr="00EA4776" w:rsidRDefault="00EA4776" w:rsidP="00EA4776">
      <w:pPr>
        <w:numPr>
          <w:ilvl w:val="0"/>
          <w:numId w:val="12"/>
        </w:numPr>
        <w:spacing w:after="100" w:afterAutospacing="1"/>
        <w:ind w:left="1440"/>
        <w:rPr>
          <w:rFonts w:ascii="Arial" w:hAnsi="Arial" w:cs="Arial"/>
        </w:rPr>
      </w:pPr>
      <w:r w:rsidRPr="00EA4776">
        <w:rPr>
          <w:rFonts w:ascii="Arial" w:hAnsi="Arial" w:cs="Arial"/>
          <w:b/>
          <w:bCs/>
        </w:rPr>
        <w:t>Other Disorders:</w:t>
      </w:r>
      <w:r w:rsidRPr="00EA4776">
        <w:rPr>
          <w:rFonts w:ascii="Arial" w:hAnsi="Arial" w:cs="Arial"/>
        </w:rPr>
        <w:t xml:space="preserve"> Briefly touch upon potential applications for Hemophilia A/B or Fanconi Anemia.</w:t>
      </w:r>
    </w:p>
    <w:p w14:paraId="574A9EE4" w14:textId="77777777" w:rsidR="00EA4776" w:rsidRPr="00EA4776" w:rsidRDefault="00EA4776" w:rsidP="00EA4776">
      <w:pPr>
        <w:spacing w:after="100" w:afterAutospacing="1"/>
        <w:rPr>
          <w:rFonts w:ascii="Arial" w:hAnsi="Arial" w:cs="Arial"/>
        </w:rPr>
      </w:pPr>
      <w:r w:rsidRPr="00EA4776">
        <w:rPr>
          <w:rFonts w:ascii="Arial" w:hAnsi="Arial" w:cs="Arial"/>
          <w:b/>
          <w:bCs/>
        </w:rPr>
        <w:t>4. The "Ex Vivo" Protocol &amp; Technical Challenges</w:t>
      </w:r>
    </w:p>
    <w:p w14:paraId="64BE6A24" w14:textId="77777777" w:rsidR="00EA4776" w:rsidRPr="00EA4776" w:rsidRDefault="00EA4776" w:rsidP="00EA4776">
      <w:pPr>
        <w:numPr>
          <w:ilvl w:val="0"/>
          <w:numId w:val="13"/>
        </w:numPr>
        <w:spacing w:after="100" w:afterAutospacing="1"/>
        <w:ind w:left="1440"/>
        <w:rPr>
          <w:rFonts w:ascii="Arial" w:hAnsi="Arial" w:cs="Arial"/>
        </w:rPr>
      </w:pPr>
      <w:r w:rsidRPr="00EA4776">
        <w:rPr>
          <w:rFonts w:ascii="Arial" w:hAnsi="Arial" w:cs="Arial"/>
        </w:rPr>
        <w:t>Step-by-step technical breakdown of the current autologous HSCT workflow (CD34+ mobilization, apheresis, electroporation, myeloablative conditioning, infusion).</w:t>
      </w:r>
    </w:p>
    <w:p w14:paraId="77FAD4B2" w14:textId="77777777" w:rsidR="00EA4776" w:rsidRPr="00EA4776" w:rsidRDefault="00EA4776" w:rsidP="00EA4776">
      <w:pPr>
        <w:numPr>
          <w:ilvl w:val="0"/>
          <w:numId w:val="13"/>
        </w:numPr>
        <w:spacing w:after="100" w:afterAutospacing="1"/>
        <w:ind w:left="1440"/>
        <w:rPr>
          <w:rFonts w:ascii="Arial" w:hAnsi="Arial" w:cs="Arial"/>
        </w:rPr>
      </w:pPr>
      <w:r w:rsidRPr="00EA4776">
        <w:rPr>
          <w:rFonts w:ascii="Arial" w:hAnsi="Arial" w:cs="Arial"/>
        </w:rPr>
        <w:t>Analyze the risks: Off-target effects, chromosomal translocations, and p53-mediated toxicity.</w:t>
      </w:r>
    </w:p>
    <w:p w14:paraId="6CBEA6E6" w14:textId="77777777" w:rsidR="00EA4776" w:rsidRPr="00EA4776" w:rsidRDefault="00EA4776" w:rsidP="00EA4776">
      <w:pPr>
        <w:numPr>
          <w:ilvl w:val="0"/>
          <w:numId w:val="13"/>
        </w:numPr>
        <w:spacing w:after="100" w:afterAutospacing="1"/>
        <w:ind w:left="1440"/>
        <w:rPr>
          <w:rFonts w:ascii="Arial" w:hAnsi="Arial" w:cs="Arial"/>
        </w:rPr>
      </w:pPr>
      <w:r w:rsidRPr="00EA4776">
        <w:rPr>
          <w:rFonts w:ascii="Arial" w:hAnsi="Arial" w:cs="Arial"/>
        </w:rPr>
        <w:t>Discuss "Busulfan conditioning" toxicity and the search for non-genotoxic conditioning agents (antibody-drug conjugates).</w:t>
      </w:r>
    </w:p>
    <w:p w14:paraId="6915B7AB" w14:textId="77777777" w:rsidR="00EA4776" w:rsidRPr="00EA4776" w:rsidRDefault="00EA4776" w:rsidP="00EA4776">
      <w:pPr>
        <w:spacing w:after="100" w:afterAutospacing="1"/>
        <w:rPr>
          <w:rFonts w:ascii="Arial" w:hAnsi="Arial" w:cs="Arial"/>
        </w:rPr>
      </w:pPr>
      <w:r w:rsidRPr="00EA4776">
        <w:rPr>
          <w:rFonts w:ascii="Arial" w:hAnsi="Arial" w:cs="Arial"/>
          <w:b/>
          <w:bCs/>
        </w:rPr>
        <w:t>5. Future Horizons: In Vivo Delivery</w:t>
      </w:r>
    </w:p>
    <w:p w14:paraId="01340D8A" w14:textId="77777777" w:rsidR="00EA4776" w:rsidRPr="00EA4776" w:rsidRDefault="00EA4776" w:rsidP="00EA4776">
      <w:pPr>
        <w:numPr>
          <w:ilvl w:val="0"/>
          <w:numId w:val="14"/>
        </w:numPr>
        <w:spacing w:after="100" w:afterAutospacing="1"/>
        <w:ind w:left="1440"/>
        <w:rPr>
          <w:rFonts w:ascii="Arial" w:hAnsi="Arial" w:cs="Arial"/>
        </w:rPr>
      </w:pPr>
      <w:r w:rsidRPr="00EA4776">
        <w:rPr>
          <w:rFonts w:ascii="Arial" w:hAnsi="Arial" w:cs="Arial"/>
        </w:rPr>
        <w:lastRenderedPageBreak/>
        <w:t xml:space="preserve">Analyze the barriers to </w:t>
      </w:r>
      <w:r w:rsidRPr="00EA4776">
        <w:rPr>
          <w:rFonts w:ascii="Arial" w:hAnsi="Arial" w:cs="Arial"/>
          <w:i/>
          <w:iCs/>
        </w:rPr>
        <w:t>in vivo</w:t>
      </w:r>
      <w:r w:rsidRPr="00EA4776">
        <w:rPr>
          <w:rFonts w:ascii="Arial" w:hAnsi="Arial" w:cs="Arial"/>
        </w:rPr>
        <w:t xml:space="preserve"> delivery for HSCs (hematopoietic stem cells).</w:t>
      </w:r>
    </w:p>
    <w:p w14:paraId="44F8289F" w14:textId="77777777" w:rsidR="00EA4776" w:rsidRPr="00EA4776" w:rsidRDefault="00EA4776" w:rsidP="00EA4776">
      <w:pPr>
        <w:numPr>
          <w:ilvl w:val="0"/>
          <w:numId w:val="14"/>
        </w:numPr>
        <w:spacing w:after="100" w:afterAutospacing="1"/>
        <w:ind w:left="1440"/>
        <w:rPr>
          <w:rFonts w:ascii="Arial" w:hAnsi="Arial" w:cs="Arial"/>
        </w:rPr>
      </w:pPr>
      <w:r w:rsidRPr="00EA4776">
        <w:rPr>
          <w:rFonts w:ascii="Arial" w:hAnsi="Arial" w:cs="Arial"/>
        </w:rPr>
        <w:t>Discuss Lipid Nanoparticle (LNP) targeting strategies (e.g., CD117 targeting) and viral vector alternatives (AAV vs. Lentiviral).</w:t>
      </w:r>
    </w:p>
    <w:p w14:paraId="7F3B2C28" w14:textId="77777777" w:rsidR="00EA4776" w:rsidRPr="00EA4776" w:rsidRDefault="00EA4776" w:rsidP="00EA4776">
      <w:pPr>
        <w:spacing w:after="100" w:afterAutospacing="1"/>
        <w:rPr>
          <w:rFonts w:ascii="Arial" w:hAnsi="Arial" w:cs="Arial"/>
        </w:rPr>
      </w:pPr>
      <w:r w:rsidRPr="00EA4776">
        <w:rPr>
          <w:rFonts w:ascii="Arial" w:hAnsi="Arial" w:cs="Arial"/>
          <w:b/>
          <w:bCs/>
        </w:rPr>
        <w:t>6. Commercial &amp; Ethical Analysis</w:t>
      </w:r>
    </w:p>
    <w:p w14:paraId="1C1A0261" w14:textId="77777777" w:rsidR="00EA4776" w:rsidRPr="00EA4776" w:rsidRDefault="00EA4776" w:rsidP="00EA4776">
      <w:pPr>
        <w:numPr>
          <w:ilvl w:val="0"/>
          <w:numId w:val="15"/>
        </w:numPr>
        <w:spacing w:after="100" w:afterAutospacing="1"/>
        <w:ind w:left="1440"/>
        <w:rPr>
          <w:rFonts w:ascii="Arial" w:hAnsi="Arial" w:cs="Arial"/>
        </w:rPr>
      </w:pPr>
      <w:r w:rsidRPr="00EA4776">
        <w:rPr>
          <w:rFonts w:ascii="Arial" w:hAnsi="Arial" w:cs="Arial"/>
        </w:rPr>
        <w:t>Cost analysis (Current pricing models vs. accessibility).</w:t>
      </w:r>
    </w:p>
    <w:p w14:paraId="2CDA02DB" w14:textId="77777777" w:rsidR="00EA4776" w:rsidRPr="00EA4776" w:rsidRDefault="00EA4776" w:rsidP="00EA4776">
      <w:pPr>
        <w:numPr>
          <w:ilvl w:val="0"/>
          <w:numId w:val="15"/>
        </w:numPr>
        <w:spacing w:after="100" w:afterAutospacing="1"/>
        <w:ind w:left="1440"/>
        <w:rPr>
          <w:rFonts w:ascii="Arial" w:hAnsi="Arial" w:cs="Arial"/>
        </w:rPr>
      </w:pPr>
      <w:r w:rsidRPr="00EA4776">
        <w:rPr>
          <w:rFonts w:ascii="Arial" w:hAnsi="Arial" w:cs="Arial"/>
        </w:rPr>
        <w:t>Demographic disparities (High prevalence of SCD in sub-Saharan Africa vs. high-tech treatment availability).</w:t>
      </w:r>
    </w:p>
    <w:p w14:paraId="42AC4734" w14:textId="77777777" w:rsidR="00EA4776" w:rsidRPr="00EA4776" w:rsidRDefault="00EA4776" w:rsidP="00EA4776">
      <w:pPr>
        <w:spacing w:after="100" w:afterAutospacing="1"/>
        <w:rPr>
          <w:rFonts w:ascii="Arial" w:hAnsi="Arial" w:cs="Arial"/>
        </w:rPr>
      </w:pPr>
      <w:r w:rsidRPr="00EA4776">
        <w:rPr>
          <w:rFonts w:ascii="Arial" w:hAnsi="Arial" w:cs="Arial"/>
          <w:b/>
          <w:bCs/>
        </w:rPr>
        <w:t>Formatting Guidelines:</w:t>
      </w:r>
    </w:p>
    <w:p w14:paraId="66345FD8" w14:textId="77777777" w:rsidR="00EA4776" w:rsidRPr="00EA4776" w:rsidRDefault="00EA4776" w:rsidP="00EA4776">
      <w:pPr>
        <w:numPr>
          <w:ilvl w:val="0"/>
          <w:numId w:val="16"/>
        </w:numPr>
        <w:spacing w:after="100" w:afterAutospacing="1"/>
        <w:ind w:left="1440"/>
        <w:rPr>
          <w:rFonts w:ascii="Arial" w:hAnsi="Arial" w:cs="Arial"/>
        </w:rPr>
      </w:pPr>
      <w:r w:rsidRPr="00EA4776">
        <w:rPr>
          <w:rFonts w:ascii="Arial" w:hAnsi="Arial" w:cs="Arial"/>
        </w:rPr>
        <w:t>Use professional Markdown formatting (H2, H3, bullet points).</w:t>
      </w:r>
    </w:p>
    <w:p w14:paraId="024DC607" w14:textId="77777777" w:rsidR="00EA4776" w:rsidRPr="00EA4776" w:rsidRDefault="00EA4776" w:rsidP="00EA4776">
      <w:pPr>
        <w:numPr>
          <w:ilvl w:val="0"/>
          <w:numId w:val="16"/>
        </w:numPr>
        <w:spacing w:after="100" w:afterAutospacing="1"/>
        <w:ind w:left="1440"/>
        <w:rPr>
          <w:rFonts w:ascii="Arial" w:hAnsi="Arial" w:cs="Arial"/>
        </w:rPr>
      </w:pPr>
      <w:r w:rsidRPr="00EA4776">
        <w:rPr>
          <w:rFonts w:ascii="Arial" w:hAnsi="Arial" w:cs="Arial"/>
        </w:rPr>
        <w:t>Where applicable, use LaTeX for chemical formulas or statistical notation.</w:t>
      </w:r>
    </w:p>
    <w:p w14:paraId="7CB2A4E0" w14:textId="77777777" w:rsidR="00EA4776" w:rsidRPr="00EA4776" w:rsidRDefault="00EA4776" w:rsidP="00EA4776">
      <w:pPr>
        <w:numPr>
          <w:ilvl w:val="0"/>
          <w:numId w:val="16"/>
        </w:numPr>
        <w:spacing w:after="100" w:afterAutospacing="1"/>
        <w:ind w:left="1440"/>
        <w:rPr>
          <w:rFonts w:ascii="Arial" w:hAnsi="Arial" w:cs="Arial"/>
        </w:rPr>
      </w:pPr>
      <w:r w:rsidRPr="00EA4776">
        <w:rPr>
          <w:rFonts w:ascii="Arial" w:hAnsi="Arial" w:cs="Arial"/>
        </w:rPr>
        <w:t>Include a "Key Terminology" glossary at the end.</w:t>
      </w:r>
    </w:p>
    <w:p w14:paraId="6C6C1744" w14:textId="349B1F39" w:rsidR="00390148" w:rsidRDefault="00EA4776" w:rsidP="00EA4776">
      <w:pPr>
        <w:numPr>
          <w:ilvl w:val="0"/>
          <w:numId w:val="16"/>
        </w:numPr>
        <w:spacing w:after="100" w:afterAutospacing="1"/>
        <w:ind w:left="1440"/>
        <w:rPr>
          <w:rFonts w:ascii="Arial" w:hAnsi="Arial" w:cs="Arial"/>
        </w:rPr>
      </w:pPr>
      <w:r w:rsidRPr="00EA4776">
        <w:rPr>
          <w:rFonts w:ascii="Arial" w:hAnsi="Arial" w:cs="Arial"/>
        </w:rPr>
        <w:t>Cite specific landmark clinical trials (e.g., CLIMB-111, CLIMB-121) where possible.</w:t>
      </w:r>
      <w:bookmarkEnd w:id="4"/>
      <w:bookmarkEnd w:id="7"/>
    </w:p>
    <w:p w14:paraId="3E09AA78" w14:textId="77777777" w:rsidR="00390148" w:rsidRDefault="00390148">
      <w:pPr>
        <w:rPr>
          <w:rFonts w:ascii="Arial" w:hAnsi="Arial" w:cs="Arial"/>
        </w:rPr>
      </w:pPr>
      <w:r>
        <w:rPr>
          <w:rFonts w:ascii="Arial" w:hAnsi="Arial" w:cs="Arial"/>
        </w:rPr>
        <w:br w:type="page"/>
      </w:r>
    </w:p>
    <w:p w14:paraId="4E1E4BB9" w14:textId="77777777" w:rsidR="00390148" w:rsidRDefault="00390148" w:rsidP="00390148">
      <w:pPr>
        <w:spacing w:after="100" w:afterAutospacing="1"/>
        <w:ind w:left="1440"/>
        <w:jc w:val="center"/>
        <w:rPr>
          <w:rFonts w:ascii="Arial" w:hAnsi="Arial" w:cs="Arial"/>
        </w:rPr>
      </w:pPr>
    </w:p>
    <w:p w14:paraId="2541D97E" w14:textId="77777777" w:rsidR="00390148" w:rsidRDefault="00390148" w:rsidP="00390148">
      <w:pPr>
        <w:spacing w:after="100" w:afterAutospacing="1"/>
        <w:ind w:left="1440"/>
        <w:jc w:val="center"/>
        <w:rPr>
          <w:rFonts w:ascii="Arial" w:hAnsi="Arial" w:cs="Arial"/>
        </w:rPr>
      </w:pPr>
    </w:p>
    <w:p w14:paraId="6D6A4A54" w14:textId="77777777" w:rsidR="00390148" w:rsidRDefault="00390148" w:rsidP="00390148">
      <w:pPr>
        <w:spacing w:after="100" w:afterAutospacing="1"/>
        <w:ind w:left="1440"/>
        <w:jc w:val="center"/>
        <w:rPr>
          <w:rFonts w:ascii="Arial" w:hAnsi="Arial" w:cs="Arial"/>
        </w:rPr>
      </w:pPr>
    </w:p>
    <w:p w14:paraId="56554205" w14:textId="77777777" w:rsidR="00390148" w:rsidRDefault="00390148" w:rsidP="00390148">
      <w:pPr>
        <w:spacing w:after="100" w:afterAutospacing="1"/>
        <w:ind w:left="1440"/>
        <w:jc w:val="center"/>
        <w:rPr>
          <w:rFonts w:ascii="Arial" w:hAnsi="Arial" w:cs="Arial"/>
        </w:rPr>
      </w:pPr>
    </w:p>
    <w:p w14:paraId="70629891" w14:textId="77777777" w:rsidR="00390148" w:rsidRDefault="00390148" w:rsidP="00390148">
      <w:pPr>
        <w:spacing w:after="100" w:afterAutospacing="1"/>
        <w:ind w:left="1440"/>
        <w:jc w:val="center"/>
        <w:rPr>
          <w:rFonts w:ascii="Arial" w:hAnsi="Arial" w:cs="Arial"/>
        </w:rPr>
      </w:pPr>
    </w:p>
    <w:p w14:paraId="0B26B4CD" w14:textId="77777777" w:rsidR="00390148" w:rsidRDefault="00390148" w:rsidP="00390148">
      <w:pPr>
        <w:spacing w:after="100" w:afterAutospacing="1"/>
        <w:ind w:left="1440"/>
        <w:jc w:val="center"/>
        <w:rPr>
          <w:rFonts w:ascii="Arial" w:hAnsi="Arial" w:cs="Arial"/>
        </w:rPr>
      </w:pPr>
    </w:p>
    <w:p w14:paraId="62F2D49D" w14:textId="77777777" w:rsidR="00390148" w:rsidRDefault="00390148" w:rsidP="00390148">
      <w:pPr>
        <w:jc w:val="center"/>
        <w:rPr>
          <w:sz w:val="40"/>
          <w:szCs w:val="40"/>
        </w:rPr>
      </w:pPr>
    </w:p>
    <w:p w14:paraId="03FF3274" w14:textId="77777777" w:rsidR="00390148" w:rsidRDefault="00390148" w:rsidP="00390148">
      <w:pPr>
        <w:jc w:val="center"/>
        <w:rPr>
          <w:sz w:val="40"/>
          <w:szCs w:val="40"/>
        </w:rPr>
      </w:pPr>
    </w:p>
    <w:p w14:paraId="5C6F4AF2" w14:textId="18D37A15" w:rsidR="00EA4776" w:rsidRPr="00390148" w:rsidRDefault="00390148" w:rsidP="00390148">
      <w:pPr>
        <w:jc w:val="center"/>
        <w:rPr>
          <w:sz w:val="40"/>
          <w:szCs w:val="40"/>
        </w:rPr>
      </w:pPr>
      <w:r w:rsidRPr="00390148">
        <w:rPr>
          <w:sz w:val="40"/>
          <w:szCs w:val="40"/>
        </w:rPr>
        <w:t>CHATGPT response</w:t>
      </w:r>
    </w:p>
    <w:p w14:paraId="44882A08" w14:textId="0DC49E6D" w:rsidR="00FC7BD9" w:rsidRDefault="00FC7BD9">
      <w:r>
        <w:br w:type="page"/>
      </w:r>
    </w:p>
    <w:p w14:paraId="1B614DDF" w14:textId="77777777" w:rsidR="00FC7BD9" w:rsidRPr="00FC7BD9" w:rsidRDefault="00FC7BD9" w:rsidP="00FC7BD9">
      <w:pPr>
        <w:spacing w:before="100" w:beforeAutospacing="1" w:after="100" w:afterAutospacing="1"/>
        <w:outlineLvl w:val="0"/>
        <w:rPr>
          <w:b/>
          <w:bCs/>
          <w:kern w:val="36"/>
          <w:sz w:val="48"/>
          <w:szCs w:val="48"/>
        </w:rPr>
      </w:pPr>
      <w:r w:rsidRPr="00FC7BD9">
        <w:rPr>
          <w:b/>
          <w:bCs/>
          <w:kern w:val="36"/>
          <w:sz w:val="48"/>
          <w:szCs w:val="48"/>
        </w:rPr>
        <w:lastRenderedPageBreak/>
        <w:t>State-of-the-Art Report: CRISPR/Cas9 and Next-Generation Gene Editing for Inherited Hemoglobinopathies and Blood Disorders</w:t>
      </w:r>
    </w:p>
    <w:p w14:paraId="7EF52BA4" w14:textId="77777777" w:rsidR="00FC7BD9" w:rsidRPr="00FC7BD9" w:rsidRDefault="00FC7BD9" w:rsidP="00FC7BD9">
      <w:pPr>
        <w:spacing w:before="100" w:beforeAutospacing="1" w:after="100" w:afterAutospacing="1"/>
      </w:pPr>
      <w:r w:rsidRPr="00FC7BD9">
        <w:rPr>
          <w:b/>
          <w:bCs/>
        </w:rPr>
        <w:t>Author Role:</w:t>
      </w:r>
      <w:r w:rsidRPr="00FC7BD9">
        <w:t xml:space="preserve"> Senior Molecular Biologist &amp; Biotech Research Analyst</w:t>
      </w:r>
      <w:r w:rsidRPr="00FC7BD9">
        <w:br/>
      </w:r>
      <w:r w:rsidRPr="00FC7BD9">
        <w:rPr>
          <w:b/>
          <w:bCs/>
        </w:rPr>
        <w:t>Audience:</w:t>
      </w:r>
      <w:r w:rsidRPr="00FC7BD9">
        <w:t xml:space="preserve"> Graduate researchers, biotech investors</w:t>
      </w:r>
      <w:r w:rsidRPr="00FC7BD9">
        <w:br/>
      </w:r>
      <w:r w:rsidRPr="00FC7BD9">
        <w:rPr>
          <w:b/>
          <w:bCs/>
        </w:rPr>
        <w:t>Tone:</w:t>
      </w:r>
      <w:r w:rsidRPr="00FC7BD9">
        <w:t xml:space="preserve"> Technical, objective, data-driven</w:t>
      </w:r>
    </w:p>
    <w:p w14:paraId="1E98254C" w14:textId="77777777" w:rsidR="00FC7BD9" w:rsidRPr="00FC7BD9" w:rsidRDefault="00F573BC" w:rsidP="00FC7BD9">
      <w:r w:rsidRPr="00F573BC">
        <w:rPr>
          <w:noProof/>
          <w14:ligatures w14:val="standardContextual"/>
        </w:rPr>
        <w:pict w14:anchorId="25DE620D">
          <v:rect id="_x0000_i1060" alt="" style="width:468pt;height:.05pt;mso-width-percent:0;mso-height-percent:0;mso-width-percent:0;mso-height-percent:0" o:hralign="center" o:hrstd="t" o:hr="t" fillcolor="#a0a0a0" stroked="f"/>
        </w:pict>
      </w:r>
    </w:p>
    <w:p w14:paraId="4DDB8BAE"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t>1. Executive Summary</w:t>
      </w:r>
    </w:p>
    <w:p w14:paraId="7A8A7F74" w14:textId="77777777" w:rsidR="00FC7BD9" w:rsidRPr="00FC7BD9" w:rsidRDefault="00FC7BD9" w:rsidP="00FC7BD9">
      <w:pPr>
        <w:spacing w:before="100" w:beforeAutospacing="1" w:after="100" w:afterAutospacing="1"/>
      </w:pPr>
      <w:r w:rsidRPr="00FC7BD9">
        <w:t xml:space="preserve">Inherited hemoglobinopathies—primarily </w:t>
      </w:r>
      <w:r w:rsidRPr="00FC7BD9">
        <w:rPr>
          <w:b/>
          <w:bCs/>
        </w:rPr>
        <w:t>Sickle Cell Disease (SCD)</w:t>
      </w:r>
      <w:r w:rsidRPr="00FC7BD9">
        <w:t xml:space="preserve"> and </w:t>
      </w:r>
      <w:r w:rsidRPr="00FC7BD9">
        <w:rPr>
          <w:b/>
          <w:bCs/>
        </w:rPr>
        <w:t>β-thalassemia</w:t>
      </w:r>
      <w:r w:rsidRPr="00FC7BD9">
        <w:t xml:space="preserve">—have historically been managed with </w:t>
      </w:r>
      <w:r w:rsidRPr="00FC7BD9">
        <w:rPr>
          <w:b/>
          <w:bCs/>
        </w:rPr>
        <w:t>lifelong palliative treatments</w:t>
      </w:r>
      <w:r w:rsidRPr="00FC7BD9">
        <w:t>, including transfusions, hydroxyurea, iron chelation, and supportive care. These approaches do not address the fundamental genetic pathology.</w:t>
      </w:r>
    </w:p>
    <w:p w14:paraId="2E487EE7" w14:textId="77777777" w:rsidR="00FC7BD9" w:rsidRPr="00FC7BD9" w:rsidRDefault="00FC7BD9" w:rsidP="00FC7BD9">
      <w:pPr>
        <w:spacing w:before="100" w:beforeAutospacing="1" w:after="100" w:afterAutospacing="1"/>
      </w:pPr>
      <w:r w:rsidRPr="00FC7BD9">
        <w:t xml:space="preserve">The last decade has seen a transition from symptomatic management to </w:t>
      </w:r>
      <w:r w:rsidRPr="00FC7BD9">
        <w:rPr>
          <w:b/>
          <w:bCs/>
        </w:rPr>
        <w:t>curative molecular medicine</w:t>
      </w:r>
      <w:r w:rsidRPr="00FC7BD9">
        <w:t xml:space="preserve">, enabled by programmable nucleases, particularly </w:t>
      </w:r>
      <w:r w:rsidRPr="00FC7BD9">
        <w:rPr>
          <w:b/>
          <w:bCs/>
        </w:rPr>
        <w:t>CRISPR-Cas9</w:t>
      </w:r>
      <w:r w:rsidRPr="00FC7BD9">
        <w:t xml:space="preserve">. The field achieved a major milestone in </w:t>
      </w:r>
      <w:r w:rsidRPr="00FC7BD9">
        <w:rPr>
          <w:b/>
          <w:bCs/>
        </w:rPr>
        <w:t>December 2023</w:t>
      </w:r>
      <w:r w:rsidRPr="00FC7BD9">
        <w:t xml:space="preserve"> with regulatory approvals of:</w:t>
      </w:r>
    </w:p>
    <w:p w14:paraId="2E391DD7" w14:textId="77777777" w:rsidR="00FC7BD9" w:rsidRPr="00FC7BD9" w:rsidRDefault="00FC7BD9" w:rsidP="00FC7BD9">
      <w:pPr>
        <w:numPr>
          <w:ilvl w:val="0"/>
          <w:numId w:val="17"/>
        </w:numPr>
        <w:spacing w:before="100" w:beforeAutospacing="1" w:after="100" w:afterAutospacing="1"/>
      </w:pPr>
      <w:r w:rsidRPr="00FC7BD9">
        <w:rPr>
          <w:b/>
          <w:bCs/>
        </w:rPr>
        <w:t>Exagamglogene autotemcel (exa-cel; Casgevy™)</w:t>
      </w:r>
      <w:r w:rsidRPr="00FC7BD9">
        <w:br/>
      </w:r>
      <w:r w:rsidRPr="00FC7BD9">
        <w:rPr>
          <w:i/>
          <w:iCs/>
        </w:rPr>
        <w:t>The world’s first approved CRISPR-based therapy.</w:t>
      </w:r>
      <w:r w:rsidRPr="00FC7BD9">
        <w:br/>
        <w:t>Approved for:</w:t>
      </w:r>
    </w:p>
    <w:p w14:paraId="603A843D" w14:textId="77777777" w:rsidR="00FC7BD9" w:rsidRPr="00FC7BD9" w:rsidRDefault="00FC7BD9" w:rsidP="00FC7BD9">
      <w:pPr>
        <w:numPr>
          <w:ilvl w:val="1"/>
          <w:numId w:val="17"/>
        </w:numPr>
        <w:spacing w:before="100" w:beforeAutospacing="1" w:after="100" w:afterAutospacing="1"/>
      </w:pPr>
      <w:r w:rsidRPr="00FC7BD9">
        <w:t>Severe Sickle Cell Disease with recurrent vaso-occlusive crises</w:t>
      </w:r>
    </w:p>
    <w:p w14:paraId="3FF00EC6" w14:textId="77777777" w:rsidR="00FC7BD9" w:rsidRPr="00FC7BD9" w:rsidRDefault="00FC7BD9" w:rsidP="00FC7BD9">
      <w:pPr>
        <w:numPr>
          <w:ilvl w:val="1"/>
          <w:numId w:val="17"/>
        </w:numPr>
        <w:spacing w:before="100" w:beforeAutospacing="1" w:after="100" w:afterAutospacing="1"/>
      </w:pPr>
      <w:r w:rsidRPr="00FC7BD9">
        <w:t>Transfusion-dependent β-thalassemia (TDT)</w:t>
      </w:r>
    </w:p>
    <w:p w14:paraId="77738A02" w14:textId="77777777" w:rsidR="00FC7BD9" w:rsidRPr="00FC7BD9" w:rsidRDefault="00FC7BD9" w:rsidP="00FC7BD9">
      <w:pPr>
        <w:spacing w:before="100" w:beforeAutospacing="1" w:after="100" w:afterAutospacing="1"/>
      </w:pPr>
      <w:r w:rsidRPr="00FC7BD9">
        <w:t xml:space="preserve">Casgevy reprograms hematopoiesis by </w:t>
      </w:r>
      <w:r w:rsidRPr="00FC7BD9">
        <w:rPr>
          <w:b/>
          <w:bCs/>
        </w:rPr>
        <w:t>disrupting the erythroid-specific enhancer of BCL11A</w:t>
      </w:r>
      <w:r w:rsidRPr="00FC7BD9">
        <w:t xml:space="preserve">, leading to </w:t>
      </w:r>
      <w:r w:rsidRPr="00FC7BD9">
        <w:rPr>
          <w:b/>
          <w:bCs/>
        </w:rPr>
        <w:t>elevated fetal hemoglobin (HbF)</w:t>
      </w:r>
      <w:r w:rsidRPr="00FC7BD9">
        <w:t>—a well-validated anti-sickling mechanism.</w:t>
      </w:r>
    </w:p>
    <w:p w14:paraId="268264E4" w14:textId="77777777" w:rsidR="00FC7BD9" w:rsidRPr="00FC7BD9" w:rsidRDefault="00FC7BD9" w:rsidP="00FC7BD9">
      <w:pPr>
        <w:spacing w:before="100" w:beforeAutospacing="1" w:after="100" w:afterAutospacing="1"/>
      </w:pPr>
      <w:r w:rsidRPr="00FC7BD9">
        <w:t xml:space="preserve">This approval signals the beginning of </w:t>
      </w:r>
      <w:r w:rsidRPr="00FC7BD9">
        <w:rPr>
          <w:b/>
          <w:bCs/>
        </w:rPr>
        <w:t>commercial gene editing medicine</w:t>
      </w:r>
      <w:r w:rsidRPr="00FC7BD9">
        <w:t>, while next-generation modalities (Base Editing, Prime Editing, and in vivo technologies) aim to expand precision, reduce toxicity, and improve accessibility.</w:t>
      </w:r>
    </w:p>
    <w:p w14:paraId="73654389" w14:textId="77777777" w:rsidR="00FC7BD9" w:rsidRPr="00FC7BD9" w:rsidRDefault="00F573BC" w:rsidP="00FC7BD9">
      <w:r w:rsidRPr="00F573BC">
        <w:rPr>
          <w:noProof/>
          <w14:ligatures w14:val="standardContextual"/>
        </w:rPr>
        <w:pict w14:anchorId="72C75DC6">
          <v:rect id="_x0000_i1059" alt="" style="width:468pt;height:.05pt;mso-width-percent:0;mso-height-percent:0;mso-width-percent:0;mso-height-percent:0" o:hralign="center" o:hrstd="t" o:hr="t" fillcolor="#a0a0a0" stroked="f"/>
        </w:pict>
      </w:r>
    </w:p>
    <w:p w14:paraId="0EDCCE44"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t>2. Molecular Mechanisms of Action</w:t>
      </w:r>
    </w:p>
    <w:p w14:paraId="47E1C4F8"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2.1 CRISPR–Cas9 Architecture in Hematology</w:t>
      </w:r>
    </w:p>
    <w:p w14:paraId="3B4E35C3" w14:textId="77777777" w:rsidR="00FC7BD9" w:rsidRPr="00FC7BD9" w:rsidRDefault="00FC7BD9" w:rsidP="00FC7BD9">
      <w:pPr>
        <w:spacing w:before="100" w:beforeAutospacing="1" w:after="100" w:afterAutospacing="1"/>
      </w:pPr>
      <w:r w:rsidRPr="00FC7BD9">
        <w:t>In hematopoietic stem and progenitor cells (HSPCs), CRISPR-Cas9 typically employs:</w:t>
      </w:r>
    </w:p>
    <w:p w14:paraId="4271413F" w14:textId="77777777" w:rsidR="00FC7BD9" w:rsidRPr="00FC7BD9" w:rsidRDefault="00FC7BD9" w:rsidP="00FC7BD9">
      <w:pPr>
        <w:numPr>
          <w:ilvl w:val="0"/>
          <w:numId w:val="18"/>
        </w:numPr>
        <w:spacing w:before="100" w:beforeAutospacing="1" w:after="100" w:afterAutospacing="1"/>
      </w:pPr>
      <w:r w:rsidRPr="00FC7BD9">
        <w:rPr>
          <w:b/>
          <w:bCs/>
        </w:rPr>
        <w:lastRenderedPageBreak/>
        <w:t>Streptococcus pyogenes Cas9 (SpCas9)</w:t>
      </w:r>
      <w:r w:rsidRPr="00FC7BD9">
        <w:t>: RNA-guided endonuclease</w:t>
      </w:r>
    </w:p>
    <w:p w14:paraId="0DE0EBB3" w14:textId="77777777" w:rsidR="00FC7BD9" w:rsidRPr="00FC7BD9" w:rsidRDefault="00FC7BD9" w:rsidP="00FC7BD9">
      <w:pPr>
        <w:numPr>
          <w:ilvl w:val="0"/>
          <w:numId w:val="18"/>
        </w:numPr>
        <w:spacing w:before="100" w:beforeAutospacing="1" w:after="100" w:afterAutospacing="1"/>
      </w:pPr>
      <w:r w:rsidRPr="00FC7BD9">
        <w:rPr>
          <w:b/>
          <w:bCs/>
        </w:rPr>
        <w:t>Single guide RNA (sgRNA)</w:t>
      </w:r>
      <w:r w:rsidRPr="00FC7BD9">
        <w:t>: Targets specific genomic loci via Watson–Crick complementarity</w:t>
      </w:r>
    </w:p>
    <w:p w14:paraId="08BEF564" w14:textId="77777777" w:rsidR="00FC7BD9" w:rsidRPr="00FC7BD9" w:rsidRDefault="00FC7BD9" w:rsidP="00FC7BD9">
      <w:pPr>
        <w:numPr>
          <w:ilvl w:val="0"/>
          <w:numId w:val="18"/>
        </w:numPr>
        <w:spacing w:before="100" w:beforeAutospacing="1" w:after="100" w:afterAutospacing="1"/>
      </w:pPr>
      <w:r w:rsidRPr="00FC7BD9">
        <w:rPr>
          <w:b/>
          <w:bCs/>
        </w:rPr>
        <w:t>Double-Strand Break (DSB)</w:t>
      </w:r>
      <w:r w:rsidRPr="00FC7BD9">
        <w:t xml:space="preserve">: At the </w:t>
      </w:r>
      <w:r w:rsidRPr="00FC7BD9">
        <w:rPr>
          <w:b/>
          <w:bCs/>
        </w:rPr>
        <w:t>BCL11A erythroid enhancer</w:t>
      </w:r>
      <w:r w:rsidRPr="00FC7BD9">
        <w:t>, specifically the +58 kb enhancer region</w:t>
      </w:r>
    </w:p>
    <w:p w14:paraId="20D8BC1F" w14:textId="77777777" w:rsidR="00FC7BD9" w:rsidRPr="00FC7BD9" w:rsidRDefault="00FC7BD9" w:rsidP="00FC7BD9">
      <w:pPr>
        <w:spacing w:before="100" w:beforeAutospacing="1" w:after="100" w:afterAutospacing="1"/>
        <w:outlineLvl w:val="3"/>
        <w:rPr>
          <w:b/>
          <w:bCs/>
        </w:rPr>
      </w:pPr>
      <w:r w:rsidRPr="00FC7BD9">
        <w:rPr>
          <w:b/>
          <w:bCs/>
        </w:rPr>
        <w:t>Why BCL11A?</w:t>
      </w:r>
    </w:p>
    <w:p w14:paraId="35B5ACFB" w14:textId="77777777" w:rsidR="00FC7BD9" w:rsidRPr="00FC7BD9" w:rsidRDefault="00FC7BD9" w:rsidP="00FC7BD9">
      <w:pPr>
        <w:spacing w:before="100" w:beforeAutospacing="1" w:after="100" w:afterAutospacing="1"/>
      </w:pPr>
      <w:r w:rsidRPr="00FC7BD9">
        <w:t xml:space="preserve">BCL11A is a transcriptional repressor of </w:t>
      </w:r>
      <w:r w:rsidRPr="00FC7BD9">
        <w:rPr>
          <w:b/>
          <w:bCs/>
        </w:rPr>
        <w:t>γ-globin (HBG1/2)</w:t>
      </w:r>
      <w:r w:rsidRPr="00FC7BD9">
        <w:t>; its enhancer disruption selectively increases HbF in erythroid lineage while sparing immune/neurological functions.</w:t>
      </w:r>
    </w:p>
    <w:p w14:paraId="15B9EA1C" w14:textId="77777777" w:rsidR="00FC7BD9" w:rsidRPr="00FC7BD9" w:rsidRDefault="00FC7BD9" w:rsidP="00FC7BD9">
      <w:pPr>
        <w:spacing w:before="100" w:beforeAutospacing="1" w:after="100" w:afterAutospacing="1"/>
      </w:pPr>
      <w:r w:rsidRPr="00FC7BD9">
        <w:rPr>
          <w:b/>
          <w:bCs/>
        </w:rPr>
        <w:t>Mechanism:</w:t>
      </w:r>
    </w:p>
    <w:p w14:paraId="1856EE3E" w14:textId="77777777" w:rsidR="00FC7BD9" w:rsidRPr="00FC7BD9" w:rsidRDefault="00FC7BD9" w:rsidP="00FC7BD9">
      <w:pPr>
        <w:numPr>
          <w:ilvl w:val="0"/>
          <w:numId w:val="19"/>
        </w:numPr>
        <w:spacing w:before="100" w:beforeAutospacing="1" w:after="100" w:afterAutospacing="1"/>
      </w:pPr>
      <w:r w:rsidRPr="00FC7BD9">
        <w:t>sgRNA directs Cas9 to the +58 enhancer</w:t>
      </w:r>
    </w:p>
    <w:p w14:paraId="59FE9198" w14:textId="77777777" w:rsidR="00FC7BD9" w:rsidRPr="00FC7BD9" w:rsidRDefault="00FC7BD9" w:rsidP="00FC7BD9">
      <w:pPr>
        <w:numPr>
          <w:ilvl w:val="0"/>
          <w:numId w:val="19"/>
        </w:numPr>
        <w:spacing w:before="100" w:beforeAutospacing="1" w:after="100" w:afterAutospacing="1"/>
      </w:pPr>
      <w:r w:rsidRPr="00FC7BD9">
        <w:t>Cas9 generates a blunt-end DSB</w:t>
      </w:r>
    </w:p>
    <w:p w14:paraId="16246297" w14:textId="77777777" w:rsidR="00FC7BD9" w:rsidRPr="00FC7BD9" w:rsidRDefault="00FC7BD9" w:rsidP="00FC7BD9">
      <w:pPr>
        <w:numPr>
          <w:ilvl w:val="0"/>
          <w:numId w:val="19"/>
        </w:numPr>
        <w:spacing w:before="100" w:beforeAutospacing="1" w:after="100" w:afterAutospacing="1"/>
      </w:pPr>
      <w:r w:rsidRPr="00FC7BD9">
        <w:rPr>
          <w:b/>
          <w:bCs/>
        </w:rPr>
        <w:t>NHEJ repairs the cut, generating small indels</w:t>
      </w:r>
    </w:p>
    <w:p w14:paraId="0CE703B0" w14:textId="77777777" w:rsidR="00FC7BD9" w:rsidRPr="00FC7BD9" w:rsidRDefault="00FC7BD9" w:rsidP="00FC7BD9">
      <w:pPr>
        <w:numPr>
          <w:ilvl w:val="0"/>
          <w:numId w:val="19"/>
        </w:numPr>
        <w:spacing w:before="100" w:beforeAutospacing="1" w:after="100" w:afterAutospacing="1"/>
      </w:pPr>
      <w:r w:rsidRPr="00FC7BD9">
        <w:t xml:space="preserve">Indels abolish GATA1/TAL1 binding motifs </w:t>
      </w:r>
      <w:r w:rsidRPr="00FC7BD9">
        <w:rPr>
          <w:rFonts w:ascii="Cambria Math" w:hAnsi="Cambria Math" w:cs="Cambria Math"/>
        </w:rPr>
        <w:t>⇒</w:t>
      </w:r>
      <w:r w:rsidRPr="00FC7BD9">
        <w:t xml:space="preserve"> reduced BCL11A expression </w:t>
      </w:r>
      <w:r w:rsidRPr="00FC7BD9">
        <w:rPr>
          <w:rFonts w:ascii="Cambria Math" w:hAnsi="Cambria Math" w:cs="Cambria Math"/>
        </w:rPr>
        <w:t>⇒</w:t>
      </w:r>
      <w:r w:rsidRPr="00FC7BD9">
        <w:t xml:space="preserve"> persistent </w:t>
      </w:r>
      <w:r w:rsidRPr="00FC7BD9">
        <w:rPr>
          <w:b/>
          <w:bCs/>
        </w:rPr>
        <w:t>HbF induction (~30–50%)</w:t>
      </w:r>
    </w:p>
    <w:p w14:paraId="15853FB2" w14:textId="77777777" w:rsidR="00FC7BD9" w:rsidRPr="00FC7BD9" w:rsidRDefault="00FC7BD9" w:rsidP="00FC7BD9">
      <w:pPr>
        <w:spacing w:before="100" w:beforeAutospacing="1" w:after="100" w:afterAutospacing="1"/>
      </w:pPr>
      <w:r w:rsidRPr="00FC7BD9">
        <w:t>This mechanism mimics the benign hereditary persistence of fetal hemoglobin (HPFH) phenotype.</w:t>
      </w:r>
    </w:p>
    <w:p w14:paraId="33E95174" w14:textId="77777777" w:rsidR="00FC7BD9" w:rsidRPr="00FC7BD9" w:rsidRDefault="00F573BC" w:rsidP="00FC7BD9">
      <w:r w:rsidRPr="00F573BC">
        <w:rPr>
          <w:noProof/>
          <w14:ligatures w14:val="standardContextual"/>
        </w:rPr>
        <w:pict w14:anchorId="72224BBA">
          <v:rect id="_x0000_i1058" alt="" style="width:468pt;height:.05pt;mso-width-percent:0;mso-height-percent:0;mso-width-percent:0;mso-height-percent:0" o:hralign="center" o:hrstd="t" o:hr="t" fillcolor="#a0a0a0" stroked="f"/>
        </w:pict>
      </w:r>
    </w:p>
    <w:p w14:paraId="18E6950D"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2.2 DSB Editing vs. Next-Generation Gene Editors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226"/>
        <w:gridCol w:w="2062"/>
        <w:gridCol w:w="3795"/>
      </w:tblGrid>
      <w:tr w:rsidR="00FC7BD9" w:rsidRPr="00FC7BD9" w14:paraId="2A573444" w14:textId="77777777">
        <w:trPr>
          <w:tblHeader/>
          <w:tblCellSpacing w:w="15" w:type="dxa"/>
        </w:trPr>
        <w:tc>
          <w:tcPr>
            <w:tcW w:w="0" w:type="auto"/>
            <w:vAlign w:val="center"/>
            <w:hideMark/>
          </w:tcPr>
          <w:p w14:paraId="60F0D941" w14:textId="77777777" w:rsidR="00FC7BD9" w:rsidRPr="00FC7BD9" w:rsidRDefault="00FC7BD9" w:rsidP="00FC7BD9">
            <w:pPr>
              <w:jc w:val="center"/>
              <w:rPr>
                <w:b/>
                <w:bCs/>
              </w:rPr>
            </w:pPr>
            <w:r w:rsidRPr="00FC7BD9">
              <w:rPr>
                <w:b/>
                <w:bCs/>
              </w:rPr>
              <w:t>Editing Modality</w:t>
            </w:r>
          </w:p>
        </w:tc>
        <w:tc>
          <w:tcPr>
            <w:tcW w:w="0" w:type="auto"/>
            <w:vAlign w:val="center"/>
            <w:hideMark/>
          </w:tcPr>
          <w:p w14:paraId="12CB8209" w14:textId="77777777" w:rsidR="00FC7BD9" w:rsidRPr="00FC7BD9" w:rsidRDefault="00FC7BD9" w:rsidP="00FC7BD9">
            <w:pPr>
              <w:jc w:val="center"/>
              <w:rPr>
                <w:b/>
                <w:bCs/>
              </w:rPr>
            </w:pPr>
            <w:r w:rsidRPr="00FC7BD9">
              <w:rPr>
                <w:b/>
                <w:bCs/>
              </w:rPr>
              <w:t>Mechanism</w:t>
            </w:r>
          </w:p>
        </w:tc>
        <w:tc>
          <w:tcPr>
            <w:tcW w:w="0" w:type="auto"/>
            <w:vAlign w:val="center"/>
            <w:hideMark/>
          </w:tcPr>
          <w:p w14:paraId="24484A92" w14:textId="77777777" w:rsidR="00FC7BD9" w:rsidRPr="00FC7BD9" w:rsidRDefault="00FC7BD9" w:rsidP="00FC7BD9">
            <w:pPr>
              <w:jc w:val="center"/>
              <w:rPr>
                <w:b/>
                <w:bCs/>
              </w:rPr>
            </w:pPr>
            <w:r w:rsidRPr="00FC7BD9">
              <w:rPr>
                <w:b/>
                <w:bCs/>
              </w:rPr>
              <w:t>Advantages</w:t>
            </w:r>
          </w:p>
        </w:tc>
        <w:tc>
          <w:tcPr>
            <w:tcW w:w="0" w:type="auto"/>
            <w:vAlign w:val="center"/>
            <w:hideMark/>
          </w:tcPr>
          <w:p w14:paraId="04617878" w14:textId="77777777" w:rsidR="00FC7BD9" w:rsidRPr="00FC7BD9" w:rsidRDefault="00FC7BD9" w:rsidP="00FC7BD9">
            <w:pPr>
              <w:jc w:val="center"/>
              <w:rPr>
                <w:b/>
                <w:bCs/>
              </w:rPr>
            </w:pPr>
            <w:r w:rsidRPr="00FC7BD9">
              <w:rPr>
                <w:b/>
                <w:bCs/>
              </w:rPr>
              <w:t>Relevance to Hemoglobinopathies</w:t>
            </w:r>
          </w:p>
        </w:tc>
      </w:tr>
      <w:tr w:rsidR="00FC7BD9" w:rsidRPr="00FC7BD9" w14:paraId="68DF32EE" w14:textId="77777777">
        <w:trPr>
          <w:tblCellSpacing w:w="15" w:type="dxa"/>
        </w:trPr>
        <w:tc>
          <w:tcPr>
            <w:tcW w:w="0" w:type="auto"/>
            <w:vAlign w:val="center"/>
            <w:hideMark/>
          </w:tcPr>
          <w:p w14:paraId="6E7CCFAB" w14:textId="77777777" w:rsidR="00FC7BD9" w:rsidRPr="00FC7BD9" w:rsidRDefault="00FC7BD9" w:rsidP="00FC7BD9">
            <w:r w:rsidRPr="00FC7BD9">
              <w:rPr>
                <w:b/>
                <w:bCs/>
              </w:rPr>
              <w:t>CRISPR–Cas9 (DSB)</w:t>
            </w:r>
          </w:p>
        </w:tc>
        <w:tc>
          <w:tcPr>
            <w:tcW w:w="0" w:type="auto"/>
            <w:vAlign w:val="center"/>
            <w:hideMark/>
          </w:tcPr>
          <w:p w14:paraId="4537D173" w14:textId="77777777" w:rsidR="00FC7BD9" w:rsidRPr="00FC7BD9" w:rsidRDefault="00FC7BD9" w:rsidP="00FC7BD9">
            <w:r w:rsidRPr="00FC7BD9">
              <w:t>Generates DSB; repaired by NHEJ/HDR</w:t>
            </w:r>
          </w:p>
        </w:tc>
        <w:tc>
          <w:tcPr>
            <w:tcW w:w="0" w:type="auto"/>
            <w:vAlign w:val="center"/>
            <w:hideMark/>
          </w:tcPr>
          <w:p w14:paraId="096B0C36" w14:textId="77777777" w:rsidR="00FC7BD9" w:rsidRPr="00FC7BD9" w:rsidRDefault="00FC7BD9" w:rsidP="00FC7BD9">
            <w:r w:rsidRPr="00FC7BD9">
              <w:t>High efficiency in HSPCs</w:t>
            </w:r>
          </w:p>
        </w:tc>
        <w:tc>
          <w:tcPr>
            <w:tcW w:w="0" w:type="auto"/>
            <w:vAlign w:val="center"/>
            <w:hideMark/>
          </w:tcPr>
          <w:p w14:paraId="6AC02884" w14:textId="77777777" w:rsidR="00FC7BD9" w:rsidRPr="00FC7BD9" w:rsidRDefault="00FC7BD9" w:rsidP="00FC7BD9">
            <w:r w:rsidRPr="00FC7BD9">
              <w:t>Used in exa-cel; enhancer disruption strategy</w:t>
            </w:r>
          </w:p>
        </w:tc>
      </w:tr>
      <w:tr w:rsidR="00FC7BD9" w:rsidRPr="00FC7BD9" w14:paraId="4A5C9C86" w14:textId="77777777">
        <w:trPr>
          <w:tblCellSpacing w:w="15" w:type="dxa"/>
        </w:trPr>
        <w:tc>
          <w:tcPr>
            <w:tcW w:w="0" w:type="auto"/>
            <w:vAlign w:val="center"/>
            <w:hideMark/>
          </w:tcPr>
          <w:p w14:paraId="55B1D2A4" w14:textId="77777777" w:rsidR="00FC7BD9" w:rsidRPr="00FC7BD9" w:rsidRDefault="00FC7BD9" w:rsidP="00FC7BD9">
            <w:r w:rsidRPr="00FC7BD9">
              <w:rPr>
                <w:b/>
                <w:bCs/>
              </w:rPr>
              <w:t>Base Editing</w:t>
            </w:r>
          </w:p>
        </w:tc>
        <w:tc>
          <w:tcPr>
            <w:tcW w:w="0" w:type="auto"/>
            <w:vAlign w:val="center"/>
            <w:hideMark/>
          </w:tcPr>
          <w:p w14:paraId="21EAB2EC" w14:textId="77777777" w:rsidR="00FC7BD9" w:rsidRPr="00FC7BD9" w:rsidRDefault="00FC7BD9" w:rsidP="00FC7BD9">
            <w:r w:rsidRPr="00FC7BD9">
              <w:t>Deaminase tethered to Cas9 nickase; no DSB</w:t>
            </w:r>
          </w:p>
        </w:tc>
        <w:tc>
          <w:tcPr>
            <w:tcW w:w="0" w:type="auto"/>
            <w:vAlign w:val="center"/>
            <w:hideMark/>
          </w:tcPr>
          <w:p w14:paraId="43DEDD4D" w14:textId="77777777" w:rsidR="00FC7BD9" w:rsidRPr="00FC7BD9" w:rsidRDefault="00FC7BD9" w:rsidP="00FC7BD9">
            <w:r w:rsidRPr="00FC7BD9">
              <w:t>Precise A↔G or C↔T changes; reduced p53 activation</w:t>
            </w:r>
          </w:p>
        </w:tc>
        <w:tc>
          <w:tcPr>
            <w:tcW w:w="0" w:type="auto"/>
            <w:vAlign w:val="center"/>
            <w:hideMark/>
          </w:tcPr>
          <w:p w14:paraId="57DCBD72" w14:textId="77777777" w:rsidR="00FC7BD9" w:rsidRPr="00FC7BD9" w:rsidRDefault="00FC7BD9" w:rsidP="00FC7BD9">
            <w:r w:rsidRPr="00FC7BD9">
              <w:t>Can correct single-nucleotide pathogenic variants (e.g., SCD A&gt;T mutation: possible A→G correction with adenine base editor)</w:t>
            </w:r>
          </w:p>
        </w:tc>
      </w:tr>
      <w:tr w:rsidR="00FC7BD9" w:rsidRPr="00FC7BD9" w14:paraId="50D7993C" w14:textId="77777777">
        <w:trPr>
          <w:tblCellSpacing w:w="15" w:type="dxa"/>
        </w:trPr>
        <w:tc>
          <w:tcPr>
            <w:tcW w:w="0" w:type="auto"/>
            <w:vAlign w:val="center"/>
            <w:hideMark/>
          </w:tcPr>
          <w:p w14:paraId="5DED9FE9" w14:textId="77777777" w:rsidR="00FC7BD9" w:rsidRPr="00FC7BD9" w:rsidRDefault="00FC7BD9" w:rsidP="00FC7BD9">
            <w:r w:rsidRPr="00FC7BD9">
              <w:rPr>
                <w:b/>
                <w:bCs/>
              </w:rPr>
              <w:t>Prime Editing</w:t>
            </w:r>
          </w:p>
        </w:tc>
        <w:tc>
          <w:tcPr>
            <w:tcW w:w="0" w:type="auto"/>
            <w:vAlign w:val="center"/>
            <w:hideMark/>
          </w:tcPr>
          <w:p w14:paraId="001CA8AE" w14:textId="77777777" w:rsidR="00FC7BD9" w:rsidRPr="00FC7BD9" w:rsidRDefault="00FC7BD9" w:rsidP="00FC7BD9">
            <w:r w:rsidRPr="00FC7BD9">
              <w:t>Reverse-transcriptase fused to Cas9 nickase; programmable edits</w:t>
            </w:r>
          </w:p>
        </w:tc>
        <w:tc>
          <w:tcPr>
            <w:tcW w:w="0" w:type="auto"/>
            <w:vAlign w:val="center"/>
            <w:hideMark/>
          </w:tcPr>
          <w:p w14:paraId="667FD86D" w14:textId="77777777" w:rsidR="00FC7BD9" w:rsidRPr="00FC7BD9" w:rsidRDefault="00FC7BD9" w:rsidP="00FC7BD9">
            <w:r w:rsidRPr="00FC7BD9">
              <w:t>Corrects all 12 base substitutions and small indels without DSBs</w:t>
            </w:r>
          </w:p>
        </w:tc>
        <w:tc>
          <w:tcPr>
            <w:tcW w:w="0" w:type="auto"/>
            <w:vAlign w:val="center"/>
            <w:hideMark/>
          </w:tcPr>
          <w:p w14:paraId="519EB6CC" w14:textId="77777777" w:rsidR="00FC7BD9" w:rsidRPr="00FC7BD9" w:rsidRDefault="00FC7BD9" w:rsidP="00FC7BD9">
            <w:r w:rsidRPr="00FC7BD9">
              <w:t>Demonstrated correction of SCD mutation (Glu6Val) in vitro and in murine models with low indel burden</w:t>
            </w:r>
          </w:p>
        </w:tc>
      </w:tr>
    </w:tbl>
    <w:p w14:paraId="7A1E6690" w14:textId="77777777" w:rsidR="00FC7BD9" w:rsidRPr="00FC7BD9" w:rsidRDefault="00FC7BD9" w:rsidP="00FC7BD9">
      <w:pPr>
        <w:spacing w:before="100" w:beforeAutospacing="1" w:after="100" w:afterAutospacing="1"/>
      </w:pPr>
      <w:r w:rsidRPr="00FC7BD9">
        <w:rPr>
          <w:b/>
          <w:bCs/>
        </w:rPr>
        <w:t>SCD Mutation:</w:t>
      </w:r>
      <w:r w:rsidRPr="00FC7BD9">
        <w:br/>
        <w:t>The classic HbS mutation is:</w:t>
      </w:r>
    </w:p>
    <w:p w14:paraId="7B51A55C" w14:textId="77777777" w:rsidR="00FC7BD9" w:rsidRPr="00FC7BD9" w:rsidRDefault="00FC7BD9" w:rsidP="00FC7BD9">
      <m:oMathPara>
        <m:oMath>
          <m:r>
            <m:rPr>
              <m:nor/>
            </m:rPr>
            <m:t>HBB: c.20A&gt;T</m:t>
          </m:r>
          <m:r>
            <w:rPr>
              <w:rFonts w:ascii="Cambria Math" w:hAnsi="Cambria Math"/>
            </w:rPr>
            <m:t>(</m:t>
          </m:r>
          <m:r>
            <m:rPr>
              <m:nor/>
            </m:rPr>
            <m:t>p.Glu6Val</m:t>
          </m:r>
          <m:r>
            <w:rPr>
              <w:rFonts w:ascii="Cambria Math" w:hAnsi="Cambria Math"/>
            </w:rPr>
            <m:t>)</m:t>
          </m:r>
          <m:r>
            <m:rPr>
              <m:sty m:val="p"/>
            </m:rPr>
            <w:rPr>
              <w:rFonts w:ascii="Cambria Math" w:hAnsi="Cambria Math"/>
            </w:rPr>
            <w:br/>
          </m:r>
        </m:oMath>
      </m:oMathPara>
    </w:p>
    <w:p w14:paraId="0641AECA" w14:textId="77777777" w:rsidR="00FC7BD9" w:rsidRPr="00FC7BD9" w:rsidRDefault="00FC7BD9" w:rsidP="00FC7BD9">
      <w:pPr>
        <w:spacing w:before="100" w:beforeAutospacing="1" w:after="100" w:afterAutospacing="1"/>
      </w:pPr>
      <w:r w:rsidRPr="00FC7BD9">
        <w:lastRenderedPageBreak/>
        <w:t>Base editors can theoretically correct the A&gt;T pathogenic variant, though efficiency in long-term repopulating HSCs remains a challenge.</w:t>
      </w:r>
    </w:p>
    <w:p w14:paraId="20DB324F" w14:textId="77777777" w:rsidR="00FC7BD9" w:rsidRPr="00FC7BD9" w:rsidRDefault="00F573BC" w:rsidP="00FC7BD9">
      <w:r w:rsidRPr="00F573BC">
        <w:rPr>
          <w:noProof/>
          <w14:ligatures w14:val="standardContextual"/>
        </w:rPr>
        <w:pict w14:anchorId="50398E6A">
          <v:rect id="_x0000_i1057" alt="" style="width:468pt;height:.05pt;mso-width-percent:0;mso-height-percent:0;mso-width-percent:0;mso-height-percent:0" o:hralign="center" o:hrstd="t" o:hr="t" fillcolor="#a0a0a0" stroked="f"/>
        </w:pict>
      </w:r>
    </w:p>
    <w:p w14:paraId="1425B9A6"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2.3 DNA Repair in Hematopoietic Stem Cells</w:t>
      </w:r>
    </w:p>
    <w:p w14:paraId="064FCA95" w14:textId="77777777" w:rsidR="00FC7BD9" w:rsidRPr="00FC7BD9" w:rsidRDefault="00FC7BD9" w:rsidP="00FC7BD9">
      <w:pPr>
        <w:spacing w:before="100" w:beforeAutospacing="1" w:after="100" w:afterAutospacing="1"/>
        <w:outlineLvl w:val="3"/>
        <w:rPr>
          <w:b/>
          <w:bCs/>
        </w:rPr>
      </w:pPr>
      <w:r w:rsidRPr="00FC7BD9">
        <w:rPr>
          <w:b/>
          <w:bCs/>
        </w:rPr>
        <w:t>Non-Homologous End Joining (NHEJ)</w:t>
      </w:r>
    </w:p>
    <w:p w14:paraId="3E1B6F3A" w14:textId="77777777" w:rsidR="00FC7BD9" w:rsidRPr="00FC7BD9" w:rsidRDefault="00FC7BD9" w:rsidP="00FC7BD9">
      <w:pPr>
        <w:numPr>
          <w:ilvl w:val="0"/>
          <w:numId w:val="20"/>
        </w:numPr>
        <w:spacing w:before="100" w:beforeAutospacing="1" w:after="100" w:afterAutospacing="1"/>
      </w:pPr>
      <w:r w:rsidRPr="00FC7BD9">
        <w:t>Predominant in HSCs because they are largely quiescent</w:t>
      </w:r>
    </w:p>
    <w:p w14:paraId="3D86C748" w14:textId="77777777" w:rsidR="00FC7BD9" w:rsidRPr="00FC7BD9" w:rsidRDefault="00FC7BD9" w:rsidP="00FC7BD9">
      <w:pPr>
        <w:numPr>
          <w:ilvl w:val="0"/>
          <w:numId w:val="20"/>
        </w:numPr>
        <w:spacing w:before="100" w:beforeAutospacing="1" w:after="100" w:afterAutospacing="1"/>
      </w:pPr>
      <w:r w:rsidRPr="00FC7BD9">
        <w:t>Rapid, template-free</w:t>
      </w:r>
    </w:p>
    <w:p w14:paraId="7697EC5F" w14:textId="77777777" w:rsidR="00FC7BD9" w:rsidRPr="00FC7BD9" w:rsidRDefault="00FC7BD9" w:rsidP="00FC7BD9">
      <w:pPr>
        <w:numPr>
          <w:ilvl w:val="0"/>
          <w:numId w:val="20"/>
        </w:numPr>
        <w:spacing w:before="100" w:beforeAutospacing="1" w:after="100" w:afterAutospacing="1"/>
      </w:pPr>
      <w:r w:rsidRPr="00FC7BD9">
        <w:t>Produces heterogeneous indels</w:t>
      </w:r>
    </w:p>
    <w:p w14:paraId="3D53E2D6" w14:textId="77777777" w:rsidR="00FC7BD9" w:rsidRPr="00FC7BD9" w:rsidRDefault="00FC7BD9" w:rsidP="00FC7BD9">
      <w:pPr>
        <w:numPr>
          <w:ilvl w:val="0"/>
          <w:numId w:val="20"/>
        </w:numPr>
        <w:spacing w:before="100" w:beforeAutospacing="1" w:after="100" w:afterAutospacing="1"/>
      </w:pPr>
      <w:r w:rsidRPr="00FC7BD9">
        <w:t xml:space="preserve">Ideal for </w:t>
      </w:r>
      <w:r w:rsidRPr="00FC7BD9">
        <w:rPr>
          <w:b/>
          <w:bCs/>
        </w:rPr>
        <w:t>disruptive</w:t>
      </w:r>
      <w:r w:rsidRPr="00FC7BD9">
        <w:t xml:space="preserve"> edits (e.g., BCL11A enhancer)</w:t>
      </w:r>
    </w:p>
    <w:p w14:paraId="5631FBFD" w14:textId="77777777" w:rsidR="00FC7BD9" w:rsidRPr="00FC7BD9" w:rsidRDefault="00FC7BD9" w:rsidP="00FC7BD9">
      <w:pPr>
        <w:spacing w:before="100" w:beforeAutospacing="1" w:after="100" w:afterAutospacing="1"/>
        <w:outlineLvl w:val="3"/>
        <w:rPr>
          <w:b/>
          <w:bCs/>
        </w:rPr>
      </w:pPr>
      <w:r w:rsidRPr="00FC7BD9">
        <w:rPr>
          <w:b/>
          <w:bCs/>
        </w:rPr>
        <w:t>Homology-Directed Repair (HDR)</w:t>
      </w:r>
    </w:p>
    <w:p w14:paraId="569D075A" w14:textId="77777777" w:rsidR="00FC7BD9" w:rsidRPr="00FC7BD9" w:rsidRDefault="00FC7BD9" w:rsidP="00FC7BD9">
      <w:pPr>
        <w:numPr>
          <w:ilvl w:val="0"/>
          <w:numId w:val="21"/>
        </w:numPr>
        <w:spacing w:before="100" w:beforeAutospacing="1" w:after="100" w:afterAutospacing="1"/>
      </w:pPr>
      <w:r w:rsidRPr="00FC7BD9">
        <w:t>Active primarily in S/G2 phases</w:t>
      </w:r>
    </w:p>
    <w:p w14:paraId="612FFDDB" w14:textId="77777777" w:rsidR="00FC7BD9" w:rsidRPr="00FC7BD9" w:rsidRDefault="00FC7BD9" w:rsidP="00FC7BD9">
      <w:pPr>
        <w:numPr>
          <w:ilvl w:val="0"/>
          <w:numId w:val="21"/>
        </w:numPr>
        <w:spacing w:before="100" w:beforeAutospacing="1" w:after="100" w:afterAutospacing="1"/>
      </w:pPr>
      <w:r w:rsidRPr="00FC7BD9">
        <w:t>Requires donor DNA template</w:t>
      </w:r>
    </w:p>
    <w:p w14:paraId="092AA58F" w14:textId="77777777" w:rsidR="00FC7BD9" w:rsidRPr="00FC7BD9" w:rsidRDefault="00FC7BD9" w:rsidP="00FC7BD9">
      <w:pPr>
        <w:numPr>
          <w:ilvl w:val="0"/>
          <w:numId w:val="21"/>
        </w:numPr>
        <w:spacing w:before="100" w:beforeAutospacing="1" w:after="100" w:afterAutospacing="1"/>
      </w:pPr>
      <w:r w:rsidRPr="00FC7BD9">
        <w:t>Inefficient in quiescent HSCs</w:t>
      </w:r>
    </w:p>
    <w:p w14:paraId="441E211C" w14:textId="77777777" w:rsidR="00FC7BD9" w:rsidRPr="00FC7BD9" w:rsidRDefault="00FC7BD9" w:rsidP="00FC7BD9">
      <w:pPr>
        <w:numPr>
          <w:ilvl w:val="0"/>
          <w:numId w:val="21"/>
        </w:numPr>
        <w:spacing w:before="100" w:beforeAutospacing="1" w:after="100" w:afterAutospacing="1"/>
      </w:pPr>
      <w:r w:rsidRPr="00FC7BD9">
        <w:t xml:space="preserve">Limits feasibility of </w:t>
      </w:r>
      <w:r w:rsidRPr="00FC7BD9">
        <w:rPr>
          <w:b/>
          <w:bCs/>
        </w:rPr>
        <w:t>site-specific correction</w:t>
      </w:r>
      <w:r w:rsidRPr="00FC7BD9">
        <w:t xml:space="preserve"> via classic Cas9 HDR</w:t>
      </w:r>
    </w:p>
    <w:p w14:paraId="52E917EC" w14:textId="77777777" w:rsidR="00FC7BD9" w:rsidRPr="00FC7BD9" w:rsidRDefault="00FC7BD9" w:rsidP="00FC7BD9">
      <w:pPr>
        <w:spacing w:before="100" w:beforeAutospacing="1" w:after="100" w:afterAutospacing="1"/>
      </w:pPr>
      <w:r w:rsidRPr="00FC7BD9">
        <w:t xml:space="preserve">This biology explains why </w:t>
      </w:r>
      <w:r w:rsidRPr="00FC7BD9">
        <w:rPr>
          <w:b/>
          <w:bCs/>
        </w:rPr>
        <w:t>most clinical programs use NHEJ-based enhancer editing</w:t>
      </w:r>
      <w:r w:rsidRPr="00FC7BD9">
        <w:t>, while precise SNP correction remains more challenging.</w:t>
      </w:r>
    </w:p>
    <w:p w14:paraId="53479006" w14:textId="77777777" w:rsidR="00FC7BD9" w:rsidRPr="00FC7BD9" w:rsidRDefault="00F573BC" w:rsidP="00FC7BD9">
      <w:r w:rsidRPr="00F573BC">
        <w:rPr>
          <w:noProof/>
          <w14:ligatures w14:val="standardContextual"/>
        </w:rPr>
        <w:pict w14:anchorId="0D7DB851">
          <v:rect id="_x0000_i1056" alt="" style="width:468pt;height:.05pt;mso-width-percent:0;mso-height-percent:0;mso-width-percent:0;mso-height-percent:0" o:hralign="center" o:hrstd="t" o:hr="t" fillcolor="#a0a0a0" stroked="f"/>
        </w:pict>
      </w:r>
    </w:p>
    <w:p w14:paraId="7B6D2778"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t>3. Clinical Landscape: Hemoglobinopathies</w:t>
      </w:r>
    </w:p>
    <w:p w14:paraId="25901903"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3.1 Sickle Cell Disease (SCD)</w:t>
      </w:r>
    </w:p>
    <w:p w14:paraId="241C49A7" w14:textId="77777777" w:rsidR="00FC7BD9" w:rsidRPr="00FC7BD9" w:rsidRDefault="00FC7BD9" w:rsidP="00FC7BD9">
      <w:pPr>
        <w:spacing w:before="100" w:beforeAutospacing="1" w:after="100" w:afterAutospacing="1"/>
      </w:pPr>
      <w:r w:rsidRPr="00FC7BD9">
        <w:t>Landmark trials:</w:t>
      </w:r>
    </w:p>
    <w:p w14:paraId="6C426308"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CLIMB-121 (SCD; exa-cel)</w:t>
      </w:r>
    </w:p>
    <w:p w14:paraId="49DE222A" w14:textId="77777777" w:rsidR="00FC7BD9" w:rsidRPr="00FC7BD9" w:rsidRDefault="00FC7BD9" w:rsidP="00FC7BD9">
      <w:pPr>
        <w:numPr>
          <w:ilvl w:val="0"/>
          <w:numId w:val="22"/>
        </w:numPr>
        <w:spacing w:before="100" w:beforeAutospacing="1" w:after="100" w:afterAutospacing="1"/>
      </w:pPr>
      <w:r w:rsidRPr="00FC7BD9">
        <w:rPr>
          <w:b/>
          <w:bCs/>
        </w:rPr>
        <w:t>Primary endpoint:</w:t>
      </w:r>
      <w:r w:rsidRPr="00FC7BD9">
        <w:t xml:space="preserve"> Freedom from vaso-occlusive crises (VOCs) ≥12 months</w:t>
      </w:r>
    </w:p>
    <w:p w14:paraId="69D193A0" w14:textId="77777777" w:rsidR="00FC7BD9" w:rsidRPr="00FC7BD9" w:rsidRDefault="00FC7BD9" w:rsidP="00FC7BD9">
      <w:pPr>
        <w:numPr>
          <w:ilvl w:val="0"/>
          <w:numId w:val="22"/>
        </w:numPr>
        <w:spacing w:before="100" w:beforeAutospacing="1" w:after="100" w:afterAutospacing="1"/>
      </w:pPr>
      <w:r w:rsidRPr="00FC7BD9">
        <w:rPr>
          <w:b/>
          <w:bCs/>
        </w:rPr>
        <w:t>Results:</w:t>
      </w:r>
    </w:p>
    <w:p w14:paraId="28195052" w14:textId="77777777" w:rsidR="00FC7BD9" w:rsidRPr="00FC7BD9" w:rsidRDefault="00FC7BD9" w:rsidP="00FC7BD9">
      <w:pPr>
        <w:numPr>
          <w:ilvl w:val="1"/>
          <w:numId w:val="22"/>
        </w:numPr>
        <w:spacing w:before="100" w:beforeAutospacing="1" w:after="100" w:afterAutospacing="1"/>
      </w:pPr>
      <w:r w:rsidRPr="00FC7BD9">
        <w:t xml:space="preserve">97% of evaluable patients achieved </w:t>
      </w:r>
      <w:r w:rsidRPr="00FC7BD9">
        <w:rPr>
          <w:b/>
          <w:bCs/>
        </w:rPr>
        <w:t>VOCs elimination</w:t>
      </w:r>
    </w:p>
    <w:p w14:paraId="6E2B228B" w14:textId="77777777" w:rsidR="00FC7BD9" w:rsidRPr="00FC7BD9" w:rsidRDefault="00FC7BD9" w:rsidP="00FC7BD9">
      <w:pPr>
        <w:numPr>
          <w:ilvl w:val="1"/>
          <w:numId w:val="22"/>
        </w:numPr>
        <w:spacing w:before="100" w:beforeAutospacing="1" w:after="100" w:afterAutospacing="1"/>
      </w:pPr>
      <w:r w:rsidRPr="00FC7BD9">
        <w:t>HbF sustained &gt;40% in most patients</w:t>
      </w:r>
    </w:p>
    <w:p w14:paraId="07D916A6" w14:textId="77777777" w:rsidR="00FC7BD9" w:rsidRPr="00FC7BD9" w:rsidRDefault="00FC7BD9" w:rsidP="00FC7BD9">
      <w:pPr>
        <w:numPr>
          <w:ilvl w:val="1"/>
          <w:numId w:val="22"/>
        </w:numPr>
        <w:spacing w:before="100" w:beforeAutospacing="1" w:after="100" w:afterAutospacing="1"/>
      </w:pPr>
      <w:r w:rsidRPr="00FC7BD9">
        <w:t>Total hemoglobin increased to 11–13 g/dL range</w:t>
      </w:r>
    </w:p>
    <w:p w14:paraId="2E46A45D"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3.2 Transfusion-Dependent β-Thalassemia (TDT)</w:t>
      </w:r>
    </w:p>
    <w:p w14:paraId="671C5741"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CLIMB-111 (TDT; exa-cel)</w:t>
      </w:r>
    </w:p>
    <w:p w14:paraId="454C3FCA" w14:textId="77777777" w:rsidR="00FC7BD9" w:rsidRPr="00FC7BD9" w:rsidRDefault="00FC7BD9" w:rsidP="00FC7BD9">
      <w:pPr>
        <w:numPr>
          <w:ilvl w:val="0"/>
          <w:numId w:val="23"/>
        </w:numPr>
        <w:spacing w:before="100" w:beforeAutospacing="1" w:after="100" w:afterAutospacing="1"/>
      </w:pPr>
      <w:r w:rsidRPr="00FC7BD9">
        <w:rPr>
          <w:b/>
          <w:bCs/>
        </w:rPr>
        <w:t>Primary endpoint:</w:t>
      </w:r>
      <w:r w:rsidRPr="00FC7BD9">
        <w:t xml:space="preserve"> Transfusion independence (TI ≥12 months)</w:t>
      </w:r>
    </w:p>
    <w:p w14:paraId="193806CC" w14:textId="77777777" w:rsidR="00FC7BD9" w:rsidRPr="00FC7BD9" w:rsidRDefault="00FC7BD9" w:rsidP="00FC7BD9">
      <w:pPr>
        <w:numPr>
          <w:ilvl w:val="0"/>
          <w:numId w:val="23"/>
        </w:numPr>
        <w:spacing w:before="100" w:beforeAutospacing="1" w:after="100" w:afterAutospacing="1"/>
      </w:pPr>
      <w:r w:rsidRPr="00FC7BD9">
        <w:rPr>
          <w:b/>
          <w:bCs/>
        </w:rPr>
        <w:lastRenderedPageBreak/>
        <w:t>Results:</w:t>
      </w:r>
    </w:p>
    <w:p w14:paraId="15696E7E" w14:textId="77777777" w:rsidR="00FC7BD9" w:rsidRPr="00FC7BD9" w:rsidRDefault="00FC7BD9" w:rsidP="00FC7BD9">
      <w:pPr>
        <w:numPr>
          <w:ilvl w:val="1"/>
          <w:numId w:val="23"/>
        </w:numPr>
        <w:spacing w:before="100" w:beforeAutospacing="1" w:after="100" w:afterAutospacing="1"/>
      </w:pPr>
      <w:r w:rsidRPr="00FC7BD9">
        <w:t>~90% achieved transfusion independence</w:t>
      </w:r>
    </w:p>
    <w:p w14:paraId="08C09BF6" w14:textId="77777777" w:rsidR="00FC7BD9" w:rsidRPr="00FC7BD9" w:rsidRDefault="00FC7BD9" w:rsidP="00FC7BD9">
      <w:pPr>
        <w:numPr>
          <w:ilvl w:val="1"/>
          <w:numId w:val="23"/>
        </w:numPr>
        <w:spacing w:before="100" w:beforeAutospacing="1" w:after="100" w:afterAutospacing="1"/>
      </w:pPr>
      <w:r w:rsidRPr="00FC7BD9">
        <w:t>Marked rise in HbF which functionally compensates for absent β-globin</w:t>
      </w:r>
    </w:p>
    <w:p w14:paraId="602BEB15" w14:textId="77777777" w:rsidR="00FC7BD9" w:rsidRPr="00FC7BD9" w:rsidRDefault="00FC7BD9" w:rsidP="00FC7BD9">
      <w:pPr>
        <w:numPr>
          <w:ilvl w:val="1"/>
          <w:numId w:val="23"/>
        </w:numPr>
        <w:spacing w:before="100" w:beforeAutospacing="1" w:after="100" w:afterAutospacing="1"/>
      </w:pPr>
      <w:r w:rsidRPr="00FC7BD9">
        <w:t>Some genotypes (β0/β0) show lower—but still clinically meaningful—response rates</w:t>
      </w:r>
    </w:p>
    <w:p w14:paraId="0FE65FBF" w14:textId="77777777" w:rsidR="00FC7BD9" w:rsidRPr="00FC7BD9" w:rsidRDefault="00FC7BD9" w:rsidP="00FC7BD9">
      <w:pPr>
        <w:spacing w:before="100" w:beforeAutospacing="1" w:after="100" w:afterAutospacing="1"/>
      </w:pPr>
      <w:r w:rsidRPr="00FC7BD9">
        <w:t xml:space="preserve">Both trials demonstrate </w:t>
      </w:r>
      <w:r w:rsidRPr="00FC7BD9">
        <w:rPr>
          <w:b/>
          <w:bCs/>
        </w:rPr>
        <w:t>durable engraftment of edited HSCs</w:t>
      </w:r>
      <w:r w:rsidRPr="00FC7BD9">
        <w:t xml:space="preserve"> and robust functional correction.</w:t>
      </w:r>
    </w:p>
    <w:p w14:paraId="13F3D112" w14:textId="77777777" w:rsidR="00FC7BD9" w:rsidRPr="00FC7BD9" w:rsidRDefault="00F573BC" w:rsidP="00FC7BD9">
      <w:r w:rsidRPr="00F573BC">
        <w:rPr>
          <w:noProof/>
          <w14:ligatures w14:val="standardContextual"/>
        </w:rPr>
        <w:pict w14:anchorId="2E63F9A9">
          <v:rect id="_x0000_i1055" alt="" style="width:468pt;height:.05pt;mso-width-percent:0;mso-height-percent:0;mso-width-percent:0;mso-height-percent:0" o:hralign="center" o:hrstd="t" o:hr="t" fillcolor="#a0a0a0" stroked="f"/>
        </w:pict>
      </w:r>
    </w:p>
    <w:p w14:paraId="0BA8593D"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3.3 Other Gene Editing Applications</w:t>
      </w:r>
    </w:p>
    <w:p w14:paraId="54742764" w14:textId="77777777" w:rsidR="00FC7BD9" w:rsidRPr="00FC7BD9" w:rsidRDefault="00FC7BD9" w:rsidP="00FC7BD9">
      <w:pPr>
        <w:spacing w:before="100" w:beforeAutospacing="1" w:after="100" w:afterAutospacing="1"/>
      </w:pPr>
      <w:r w:rsidRPr="00FC7BD9">
        <w:t>While not yet in late-stage clinical development, HSC editing strategies are being explored for:</w:t>
      </w:r>
    </w:p>
    <w:p w14:paraId="071803F1" w14:textId="77777777" w:rsidR="00FC7BD9" w:rsidRPr="00FC7BD9" w:rsidRDefault="00FC7BD9" w:rsidP="00FC7BD9">
      <w:pPr>
        <w:numPr>
          <w:ilvl w:val="0"/>
          <w:numId w:val="24"/>
        </w:numPr>
        <w:spacing w:before="100" w:beforeAutospacing="1" w:after="100" w:afterAutospacing="1"/>
      </w:pPr>
      <w:r w:rsidRPr="00FC7BD9">
        <w:rPr>
          <w:b/>
          <w:bCs/>
        </w:rPr>
        <w:t>Hemophilia A/B:</w:t>
      </w:r>
      <w:r w:rsidRPr="00FC7BD9">
        <w:br/>
        <w:t>In vivo editing of FVIII/FIX loci to achieve stable transgene expression (primarily AAV-mediated; CRISPR is being studied pre-clinically).</w:t>
      </w:r>
    </w:p>
    <w:p w14:paraId="3F5BFB82" w14:textId="77777777" w:rsidR="00FC7BD9" w:rsidRPr="00FC7BD9" w:rsidRDefault="00FC7BD9" w:rsidP="00FC7BD9">
      <w:pPr>
        <w:numPr>
          <w:ilvl w:val="0"/>
          <w:numId w:val="24"/>
        </w:numPr>
        <w:spacing w:before="100" w:beforeAutospacing="1" w:after="100" w:afterAutospacing="1"/>
      </w:pPr>
      <w:r w:rsidRPr="00FC7BD9">
        <w:rPr>
          <w:b/>
          <w:bCs/>
        </w:rPr>
        <w:t>Fanconi Anemia (FA):</w:t>
      </w:r>
      <w:r w:rsidRPr="00FC7BD9">
        <w:br/>
        <w:t>Base editing avoids DSBs, crucial because FA cells exhibit defective interstrand crosslink repair and extreme sensitivity to DSBs.</w:t>
      </w:r>
    </w:p>
    <w:p w14:paraId="46CC8497" w14:textId="77777777" w:rsidR="00FC7BD9" w:rsidRPr="00FC7BD9" w:rsidRDefault="00FC7BD9" w:rsidP="00FC7BD9">
      <w:pPr>
        <w:spacing w:before="100" w:beforeAutospacing="1" w:after="100" w:afterAutospacing="1"/>
      </w:pPr>
      <w:r w:rsidRPr="00FC7BD9">
        <w:t>These represent high-value pipelines for next-generation editors.</w:t>
      </w:r>
    </w:p>
    <w:p w14:paraId="2F0770F2" w14:textId="77777777" w:rsidR="00FC7BD9" w:rsidRPr="00FC7BD9" w:rsidRDefault="00F573BC" w:rsidP="00FC7BD9">
      <w:r w:rsidRPr="00F573BC">
        <w:rPr>
          <w:noProof/>
          <w14:ligatures w14:val="standardContextual"/>
        </w:rPr>
        <w:pict w14:anchorId="36D408C0">
          <v:rect id="_x0000_i1054" alt="" style="width:468pt;height:.05pt;mso-width-percent:0;mso-height-percent:0;mso-width-percent:0;mso-height-percent:0" o:hralign="center" o:hrstd="t" o:hr="t" fillcolor="#a0a0a0" stroked="f"/>
        </w:pict>
      </w:r>
    </w:p>
    <w:p w14:paraId="4B84B075"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t>4. The Ex Vivo Protocol &amp; Technical Challenges</w:t>
      </w:r>
    </w:p>
    <w:p w14:paraId="3C72495A"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4.1 Standard Autologous HSCT Workflow for CRISPR Editing</w:t>
      </w:r>
    </w:p>
    <w:p w14:paraId="0774DB2A" w14:textId="77777777" w:rsidR="00FC7BD9" w:rsidRPr="00FC7BD9" w:rsidRDefault="00FC7BD9" w:rsidP="00FC7BD9">
      <w:pPr>
        <w:numPr>
          <w:ilvl w:val="0"/>
          <w:numId w:val="25"/>
        </w:numPr>
        <w:spacing w:before="100" w:beforeAutospacing="1" w:after="100" w:afterAutospacing="1"/>
      </w:pPr>
      <w:r w:rsidRPr="00FC7BD9">
        <w:rPr>
          <w:b/>
          <w:bCs/>
        </w:rPr>
        <w:t>CD34⁺ Mobilization</w:t>
      </w:r>
    </w:p>
    <w:p w14:paraId="29088917" w14:textId="77777777" w:rsidR="00FC7BD9" w:rsidRPr="00FC7BD9" w:rsidRDefault="00FC7BD9" w:rsidP="00FC7BD9">
      <w:pPr>
        <w:numPr>
          <w:ilvl w:val="1"/>
          <w:numId w:val="25"/>
        </w:numPr>
        <w:spacing w:before="100" w:beforeAutospacing="1" w:after="100" w:afterAutospacing="1"/>
      </w:pPr>
      <w:r w:rsidRPr="00FC7BD9">
        <w:t>Agents: Plerixafor (CXCR4 antagonist) preferred in SCD to avoid VOC triggers seen with G-CSF.</w:t>
      </w:r>
    </w:p>
    <w:p w14:paraId="477FFEFD" w14:textId="77777777" w:rsidR="00FC7BD9" w:rsidRPr="00FC7BD9" w:rsidRDefault="00FC7BD9" w:rsidP="00FC7BD9">
      <w:pPr>
        <w:numPr>
          <w:ilvl w:val="0"/>
          <w:numId w:val="25"/>
        </w:numPr>
        <w:spacing w:before="100" w:beforeAutospacing="1" w:after="100" w:afterAutospacing="1"/>
      </w:pPr>
      <w:r w:rsidRPr="00FC7BD9">
        <w:rPr>
          <w:b/>
          <w:bCs/>
        </w:rPr>
        <w:t>Apheresis</w:t>
      </w:r>
    </w:p>
    <w:p w14:paraId="1465FC44" w14:textId="77777777" w:rsidR="00FC7BD9" w:rsidRPr="00FC7BD9" w:rsidRDefault="00FC7BD9" w:rsidP="00FC7BD9">
      <w:pPr>
        <w:numPr>
          <w:ilvl w:val="1"/>
          <w:numId w:val="25"/>
        </w:numPr>
        <w:spacing w:before="100" w:beforeAutospacing="1" w:after="100" w:afterAutospacing="1"/>
      </w:pPr>
      <w:r w:rsidRPr="00FC7BD9">
        <w:t>Collects ~5–10×10⁶ CD34⁺ cells/kg.</w:t>
      </w:r>
    </w:p>
    <w:p w14:paraId="278B73B4" w14:textId="77777777" w:rsidR="00FC7BD9" w:rsidRPr="00FC7BD9" w:rsidRDefault="00FC7BD9" w:rsidP="00FC7BD9">
      <w:pPr>
        <w:numPr>
          <w:ilvl w:val="0"/>
          <w:numId w:val="25"/>
        </w:numPr>
        <w:spacing w:before="100" w:beforeAutospacing="1" w:after="100" w:afterAutospacing="1"/>
      </w:pPr>
      <w:r w:rsidRPr="00FC7BD9">
        <w:rPr>
          <w:b/>
          <w:bCs/>
        </w:rPr>
        <w:t>Ex Vivo Editing</w:t>
      </w:r>
    </w:p>
    <w:p w14:paraId="2BE2804E" w14:textId="77777777" w:rsidR="00FC7BD9" w:rsidRPr="00FC7BD9" w:rsidRDefault="00FC7BD9" w:rsidP="00FC7BD9">
      <w:pPr>
        <w:numPr>
          <w:ilvl w:val="1"/>
          <w:numId w:val="25"/>
        </w:numPr>
        <w:spacing w:before="100" w:beforeAutospacing="1" w:after="100" w:afterAutospacing="1"/>
      </w:pPr>
      <w:r w:rsidRPr="00FC7BD9">
        <w:t>Electroporation of Cas9 RNP + sgRNA into HSPCs</w:t>
      </w:r>
    </w:p>
    <w:p w14:paraId="2B6107DB" w14:textId="77777777" w:rsidR="00FC7BD9" w:rsidRPr="00FC7BD9" w:rsidRDefault="00FC7BD9" w:rsidP="00FC7BD9">
      <w:pPr>
        <w:numPr>
          <w:ilvl w:val="1"/>
          <w:numId w:val="25"/>
        </w:numPr>
        <w:spacing w:before="100" w:beforeAutospacing="1" w:after="100" w:afterAutospacing="1"/>
      </w:pPr>
      <w:r w:rsidRPr="00FC7BD9">
        <w:t>Culture → quality control → potency testing</w:t>
      </w:r>
    </w:p>
    <w:p w14:paraId="44771607" w14:textId="77777777" w:rsidR="00FC7BD9" w:rsidRPr="00FC7BD9" w:rsidRDefault="00FC7BD9" w:rsidP="00FC7BD9">
      <w:pPr>
        <w:numPr>
          <w:ilvl w:val="0"/>
          <w:numId w:val="25"/>
        </w:numPr>
        <w:spacing w:before="100" w:beforeAutospacing="1" w:after="100" w:afterAutospacing="1"/>
      </w:pPr>
      <w:r w:rsidRPr="00FC7BD9">
        <w:rPr>
          <w:b/>
          <w:bCs/>
        </w:rPr>
        <w:t>Myeloablative Conditioning</w:t>
      </w:r>
    </w:p>
    <w:p w14:paraId="2794F099" w14:textId="77777777" w:rsidR="00FC7BD9" w:rsidRPr="00FC7BD9" w:rsidRDefault="00FC7BD9" w:rsidP="00FC7BD9">
      <w:pPr>
        <w:numPr>
          <w:ilvl w:val="1"/>
          <w:numId w:val="25"/>
        </w:numPr>
        <w:spacing w:before="100" w:beforeAutospacing="1" w:after="100" w:afterAutospacing="1"/>
      </w:pPr>
      <w:r w:rsidRPr="00FC7BD9">
        <w:rPr>
          <w:b/>
          <w:bCs/>
        </w:rPr>
        <w:t>Busulfan</w:t>
      </w:r>
      <w:r w:rsidRPr="00FC7BD9">
        <w:t xml:space="preserve"> standard; high toxicity profile: sinusoidal obstruction syndrome, infertility, mucositis, pulmonary fibrosis.</w:t>
      </w:r>
    </w:p>
    <w:p w14:paraId="17DEE032" w14:textId="77777777" w:rsidR="00FC7BD9" w:rsidRPr="00FC7BD9" w:rsidRDefault="00FC7BD9" w:rsidP="00FC7BD9">
      <w:pPr>
        <w:numPr>
          <w:ilvl w:val="0"/>
          <w:numId w:val="25"/>
        </w:numPr>
        <w:spacing w:before="100" w:beforeAutospacing="1" w:after="100" w:afterAutospacing="1"/>
      </w:pPr>
      <w:r w:rsidRPr="00FC7BD9">
        <w:rPr>
          <w:b/>
          <w:bCs/>
        </w:rPr>
        <w:t>Reinfusion of Edited Autologous HSCs</w:t>
      </w:r>
    </w:p>
    <w:p w14:paraId="5C4BA3FF" w14:textId="77777777" w:rsidR="00FC7BD9" w:rsidRPr="00FC7BD9" w:rsidRDefault="00FC7BD9" w:rsidP="00FC7BD9">
      <w:pPr>
        <w:numPr>
          <w:ilvl w:val="1"/>
          <w:numId w:val="25"/>
        </w:numPr>
        <w:spacing w:before="100" w:beforeAutospacing="1" w:after="100" w:afterAutospacing="1"/>
      </w:pPr>
      <w:r w:rsidRPr="00FC7BD9">
        <w:t>Engraftment window ~3–4 weeks.</w:t>
      </w:r>
    </w:p>
    <w:p w14:paraId="5CDF5290" w14:textId="77777777" w:rsidR="00FC7BD9" w:rsidRPr="00FC7BD9" w:rsidRDefault="00FC7BD9" w:rsidP="00FC7BD9">
      <w:pPr>
        <w:numPr>
          <w:ilvl w:val="0"/>
          <w:numId w:val="25"/>
        </w:numPr>
        <w:spacing w:before="100" w:beforeAutospacing="1" w:after="100" w:afterAutospacing="1"/>
      </w:pPr>
      <w:r w:rsidRPr="00FC7BD9">
        <w:rPr>
          <w:b/>
          <w:bCs/>
        </w:rPr>
        <w:t>Post-transplant Monitoring</w:t>
      </w:r>
    </w:p>
    <w:p w14:paraId="7E6F51D9" w14:textId="77777777" w:rsidR="00FC7BD9" w:rsidRPr="00FC7BD9" w:rsidRDefault="00FC7BD9" w:rsidP="00FC7BD9">
      <w:pPr>
        <w:numPr>
          <w:ilvl w:val="1"/>
          <w:numId w:val="25"/>
        </w:numPr>
        <w:spacing w:before="100" w:beforeAutospacing="1" w:after="100" w:afterAutospacing="1"/>
      </w:pPr>
      <w:r w:rsidRPr="00FC7BD9">
        <w:t>Vector copy number (VCN not relevant for RNP editing)</w:t>
      </w:r>
    </w:p>
    <w:p w14:paraId="0FA3F57C" w14:textId="77777777" w:rsidR="00FC7BD9" w:rsidRPr="00FC7BD9" w:rsidRDefault="00FC7BD9" w:rsidP="00FC7BD9">
      <w:pPr>
        <w:numPr>
          <w:ilvl w:val="1"/>
          <w:numId w:val="25"/>
        </w:numPr>
        <w:spacing w:before="100" w:beforeAutospacing="1" w:after="100" w:afterAutospacing="1"/>
      </w:pPr>
      <w:r w:rsidRPr="00FC7BD9">
        <w:t>Clonal dynamics</w:t>
      </w:r>
    </w:p>
    <w:p w14:paraId="200D4F12" w14:textId="77777777" w:rsidR="00FC7BD9" w:rsidRPr="00FC7BD9" w:rsidRDefault="00FC7BD9" w:rsidP="00FC7BD9">
      <w:pPr>
        <w:numPr>
          <w:ilvl w:val="1"/>
          <w:numId w:val="25"/>
        </w:numPr>
        <w:spacing w:before="100" w:beforeAutospacing="1" w:after="100" w:afterAutospacing="1"/>
      </w:pPr>
      <w:r w:rsidRPr="00FC7BD9">
        <w:t>Off-target surveillance (GUIDE-seq, CIRCLE-seq, whole-genome sequencing)</w:t>
      </w:r>
    </w:p>
    <w:p w14:paraId="399F21C8" w14:textId="77777777" w:rsidR="00FC7BD9" w:rsidRPr="00FC7BD9" w:rsidRDefault="00F573BC" w:rsidP="00FC7BD9">
      <w:r w:rsidRPr="00F573BC">
        <w:rPr>
          <w:noProof/>
          <w14:ligatures w14:val="standardContextual"/>
        </w:rPr>
        <w:lastRenderedPageBreak/>
        <w:pict w14:anchorId="00156195">
          <v:rect id="_x0000_i1053" alt="" style="width:468pt;height:.05pt;mso-width-percent:0;mso-height-percent:0;mso-width-percent:0;mso-height-percent:0" o:hralign="center" o:hrstd="t" o:hr="t" fillcolor="#a0a0a0" stroked="f"/>
        </w:pict>
      </w:r>
    </w:p>
    <w:p w14:paraId="28DFD0FF"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4.2 Risks and Limitations</w:t>
      </w:r>
    </w:p>
    <w:p w14:paraId="2D618A39" w14:textId="77777777" w:rsidR="00FC7BD9" w:rsidRPr="00FC7BD9" w:rsidRDefault="00FC7BD9" w:rsidP="00FC7BD9">
      <w:pPr>
        <w:spacing w:before="100" w:beforeAutospacing="1" w:after="100" w:afterAutospacing="1"/>
        <w:outlineLvl w:val="3"/>
        <w:rPr>
          <w:b/>
          <w:bCs/>
        </w:rPr>
      </w:pPr>
      <w:r w:rsidRPr="00FC7BD9">
        <w:rPr>
          <w:b/>
          <w:bCs/>
        </w:rPr>
        <w:t>Off-Target Effects</w:t>
      </w:r>
    </w:p>
    <w:p w14:paraId="12008068" w14:textId="77777777" w:rsidR="00FC7BD9" w:rsidRPr="00FC7BD9" w:rsidRDefault="00FC7BD9" w:rsidP="00FC7BD9">
      <w:pPr>
        <w:numPr>
          <w:ilvl w:val="0"/>
          <w:numId w:val="26"/>
        </w:numPr>
        <w:spacing w:before="100" w:beforeAutospacing="1" w:after="100" w:afterAutospacing="1"/>
      </w:pPr>
      <w:r w:rsidRPr="00FC7BD9">
        <w:t>Cas9 can generate unintended DSBs at partial-match sites.</w:t>
      </w:r>
    </w:p>
    <w:p w14:paraId="384AC523" w14:textId="77777777" w:rsidR="00FC7BD9" w:rsidRPr="00FC7BD9" w:rsidRDefault="00FC7BD9" w:rsidP="00FC7BD9">
      <w:pPr>
        <w:numPr>
          <w:ilvl w:val="0"/>
          <w:numId w:val="26"/>
        </w:numPr>
        <w:spacing w:before="100" w:beforeAutospacing="1" w:after="100" w:afterAutospacing="1"/>
      </w:pPr>
      <w:r w:rsidRPr="00FC7BD9">
        <w:t>Long-term risks include:</w:t>
      </w:r>
    </w:p>
    <w:p w14:paraId="2779A1C3" w14:textId="77777777" w:rsidR="00FC7BD9" w:rsidRPr="00FC7BD9" w:rsidRDefault="00FC7BD9" w:rsidP="00FC7BD9">
      <w:pPr>
        <w:numPr>
          <w:ilvl w:val="1"/>
          <w:numId w:val="26"/>
        </w:numPr>
        <w:spacing w:before="100" w:beforeAutospacing="1" w:after="100" w:afterAutospacing="1"/>
      </w:pPr>
      <w:r w:rsidRPr="00FC7BD9">
        <w:t>Disruption of tumor suppressors</w:t>
      </w:r>
    </w:p>
    <w:p w14:paraId="003F8BB6" w14:textId="77777777" w:rsidR="00FC7BD9" w:rsidRPr="00FC7BD9" w:rsidRDefault="00FC7BD9" w:rsidP="00FC7BD9">
      <w:pPr>
        <w:numPr>
          <w:ilvl w:val="1"/>
          <w:numId w:val="26"/>
        </w:numPr>
        <w:spacing w:before="100" w:beforeAutospacing="1" w:after="100" w:afterAutospacing="1"/>
      </w:pPr>
      <w:r w:rsidRPr="00FC7BD9">
        <w:t>Insertion/deletion events causing frameshifts</w:t>
      </w:r>
    </w:p>
    <w:p w14:paraId="20DF7EBD" w14:textId="77777777" w:rsidR="00FC7BD9" w:rsidRPr="00FC7BD9" w:rsidRDefault="00FC7BD9" w:rsidP="00FC7BD9">
      <w:pPr>
        <w:numPr>
          <w:ilvl w:val="1"/>
          <w:numId w:val="26"/>
        </w:numPr>
        <w:spacing w:before="100" w:beforeAutospacing="1" w:after="100" w:afterAutospacing="1"/>
      </w:pPr>
      <w:r w:rsidRPr="00FC7BD9">
        <w:t>Structural variants</w:t>
      </w:r>
    </w:p>
    <w:p w14:paraId="390DE64A" w14:textId="77777777" w:rsidR="00FC7BD9" w:rsidRPr="00FC7BD9" w:rsidRDefault="00FC7BD9" w:rsidP="00FC7BD9">
      <w:pPr>
        <w:spacing w:before="100" w:beforeAutospacing="1" w:after="100" w:afterAutospacing="1"/>
        <w:outlineLvl w:val="3"/>
        <w:rPr>
          <w:b/>
          <w:bCs/>
        </w:rPr>
      </w:pPr>
      <w:r w:rsidRPr="00FC7BD9">
        <w:rPr>
          <w:b/>
          <w:bCs/>
        </w:rPr>
        <w:t>Chromosomal Translocations</w:t>
      </w:r>
    </w:p>
    <w:p w14:paraId="65486DA3" w14:textId="77777777" w:rsidR="00FC7BD9" w:rsidRPr="00FC7BD9" w:rsidRDefault="00FC7BD9" w:rsidP="00FC7BD9">
      <w:pPr>
        <w:numPr>
          <w:ilvl w:val="0"/>
          <w:numId w:val="27"/>
        </w:numPr>
        <w:spacing w:before="100" w:beforeAutospacing="1" w:after="100" w:afterAutospacing="1"/>
      </w:pPr>
      <w:r w:rsidRPr="00FC7BD9">
        <w:t>Concurrent DSBs may recombine aberrantly.</w:t>
      </w:r>
    </w:p>
    <w:p w14:paraId="26A2EE5E" w14:textId="77777777" w:rsidR="00FC7BD9" w:rsidRPr="00FC7BD9" w:rsidRDefault="00FC7BD9" w:rsidP="00FC7BD9">
      <w:pPr>
        <w:numPr>
          <w:ilvl w:val="0"/>
          <w:numId w:val="27"/>
        </w:numPr>
        <w:spacing w:before="100" w:beforeAutospacing="1" w:after="100" w:afterAutospacing="1"/>
      </w:pPr>
      <w:r w:rsidRPr="00FC7BD9">
        <w:t>Cas9-induced translocations observed at low but measurable frequencies in HSPCs.</w:t>
      </w:r>
    </w:p>
    <w:p w14:paraId="539F520E" w14:textId="77777777" w:rsidR="00FC7BD9" w:rsidRPr="00FC7BD9" w:rsidRDefault="00FC7BD9" w:rsidP="00FC7BD9">
      <w:pPr>
        <w:spacing w:before="100" w:beforeAutospacing="1" w:after="100" w:afterAutospacing="1"/>
        <w:outlineLvl w:val="3"/>
        <w:rPr>
          <w:b/>
          <w:bCs/>
        </w:rPr>
      </w:pPr>
      <w:r w:rsidRPr="00FC7BD9">
        <w:rPr>
          <w:b/>
          <w:bCs/>
        </w:rPr>
        <w:t>p53-Mediated Toxicity</w:t>
      </w:r>
    </w:p>
    <w:p w14:paraId="221BCEFC" w14:textId="77777777" w:rsidR="00FC7BD9" w:rsidRPr="00FC7BD9" w:rsidRDefault="00FC7BD9" w:rsidP="00FC7BD9">
      <w:pPr>
        <w:numPr>
          <w:ilvl w:val="0"/>
          <w:numId w:val="28"/>
        </w:numPr>
        <w:spacing w:before="100" w:beforeAutospacing="1" w:after="100" w:afterAutospacing="1"/>
      </w:pPr>
      <w:r w:rsidRPr="00FC7BD9">
        <w:t>DSBs activate p53 checkpoint pathways.</w:t>
      </w:r>
    </w:p>
    <w:p w14:paraId="1FE0629B" w14:textId="77777777" w:rsidR="00FC7BD9" w:rsidRPr="00FC7BD9" w:rsidRDefault="00FC7BD9" w:rsidP="00FC7BD9">
      <w:pPr>
        <w:numPr>
          <w:ilvl w:val="0"/>
          <w:numId w:val="28"/>
        </w:numPr>
        <w:spacing w:before="100" w:beforeAutospacing="1" w:after="100" w:afterAutospacing="1"/>
      </w:pPr>
      <w:r w:rsidRPr="00FC7BD9">
        <w:t>May selectively disadvantage p53-competent stem cells, theoretically selecting for abnormal clones.</w:t>
      </w:r>
    </w:p>
    <w:p w14:paraId="7E338B9A" w14:textId="77777777" w:rsidR="00FC7BD9" w:rsidRPr="00FC7BD9" w:rsidRDefault="00FC7BD9" w:rsidP="00FC7BD9">
      <w:pPr>
        <w:spacing w:before="100" w:beforeAutospacing="1" w:after="100" w:afterAutospacing="1"/>
      </w:pPr>
      <w:r w:rsidRPr="00FC7BD9">
        <w:t xml:space="preserve">This is a major motivation for </w:t>
      </w:r>
      <w:r w:rsidRPr="00FC7BD9">
        <w:rPr>
          <w:b/>
          <w:bCs/>
        </w:rPr>
        <w:t>DSB-free editors</w:t>
      </w:r>
      <w:r w:rsidRPr="00FC7BD9">
        <w:t xml:space="preserve"> (Base &amp; Prime editing).</w:t>
      </w:r>
    </w:p>
    <w:p w14:paraId="1A7F9519" w14:textId="77777777" w:rsidR="00FC7BD9" w:rsidRPr="00FC7BD9" w:rsidRDefault="00F573BC" w:rsidP="00FC7BD9">
      <w:r w:rsidRPr="00F573BC">
        <w:rPr>
          <w:noProof/>
          <w14:ligatures w14:val="standardContextual"/>
        </w:rPr>
        <w:pict w14:anchorId="3B246B3F">
          <v:rect id="_x0000_i1052" alt="" style="width:468pt;height:.05pt;mso-width-percent:0;mso-height-percent:0;mso-width-percent:0;mso-height-percent:0" o:hralign="center" o:hrstd="t" o:hr="t" fillcolor="#a0a0a0" stroked="f"/>
        </w:pict>
      </w:r>
    </w:p>
    <w:p w14:paraId="2B87A731"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4.3 Conditioning Toxicity and Emerging Alternatives</w:t>
      </w:r>
    </w:p>
    <w:p w14:paraId="0E25C4BE" w14:textId="77777777" w:rsidR="00FC7BD9" w:rsidRPr="00FC7BD9" w:rsidRDefault="00FC7BD9" w:rsidP="00FC7BD9">
      <w:pPr>
        <w:spacing w:before="100" w:beforeAutospacing="1" w:after="100" w:afterAutospacing="1"/>
      </w:pPr>
      <w:r w:rsidRPr="00FC7BD9">
        <w:rPr>
          <w:b/>
          <w:bCs/>
        </w:rPr>
        <w:t>Busulfan</w:t>
      </w:r>
      <w:r w:rsidRPr="00FC7BD9">
        <w:t xml:space="preserve"> remains the major safety bottleneck.</w:t>
      </w:r>
    </w:p>
    <w:p w14:paraId="59F95A81" w14:textId="77777777" w:rsidR="00FC7BD9" w:rsidRPr="00FC7BD9" w:rsidRDefault="00FC7BD9" w:rsidP="00FC7BD9">
      <w:pPr>
        <w:numPr>
          <w:ilvl w:val="0"/>
          <w:numId w:val="29"/>
        </w:numPr>
        <w:spacing w:before="100" w:beforeAutospacing="1" w:after="100" w:afterAutospacing="1"/>
      </w:pPr>
      <w:r w:rsidRPr="00FC7BD9">
        <w:t>High morbidity</w:t>
      </w:r>
    </w:p>
    <w:p w14:paraId="4E11EA84" w14:textId="77777777" w:rsidR="00FC7BD9" w:rsidRPr="00FC7BD9" w:rsidRDefault="00FC7BD9" w:rsidP="00FC7BD9">
      <w:pPr>
        <w:numPr>
          <w:ilvl w:val="0"/>
          <w:numId w:val="29"/>
        </w:numPr>
        <w:spacing w:before="100" w:beforeAutospacing="1" w:after="100" w:afterAutospacing="1"/>
      </w:pPr>
      <w:r w:rsidRPr="00FC7BD9">
        <w:t>Requires pharmacokinetic monitoring</w:t>
      </w:r>
    </w:p>
    <w:p w14:paraId="205EBA1F" w14:textId="77777777" w:rsidR="00FC7BD9" w:rsidRPr="00FC7BD9" w:rsidRDefault="00FC7BD9" w:rsidP="00FC7BD9">
      <w:pPr>
        <w:numPr>
          <w:ilvl w:val="0"/>
          <w:numId w:val="29"/>
        </w:numPr>
        <w:spacing w:before="100" w:beforeAutospacing="1" w:after="100" w:afterAutospacing="1"/>
      </w:pPr>
      <w:r w:rsidRPr="00FC7BD9">
        <w:t>Long-term infertility concerns</w:t>
      </w:r>
    </w:p>
    <w:p w14:paraId="6D170DE0" w14:textId="77777777" w:rsidR="00FC7BD9" w:rsidRPr="00FC7BD9" w:rsidRDefault="00FC7BD9" w:rsidP="00FC7BD9">
      <w:pPr>
        <w:spacing w:before="100" w:beforeAutospacing="1" w:after="100" w:afterAutospacing="1"/>
      </w:pPr>
      <w:r w:rsidRPr="00FC7BD9">
        <w:rPr>
          <w:b/>
          <w:bCs/>
        </w:rPr>
        <w:t>Non-genotoxic conditioning (NGC)</w:t>
      </w:r>
      <w:r w:rsidRPr="00FC7BD9">
        <w:t xml:space="preserve"> approaches in development:</w:t>
      </w:r>
    </w:p>
    <w:p w14:paraId="287C49AE" w14:textId="77777777" w:rsidR="00FC7BD9" w:rsidRPr="00FC7BD9" w:rsidRDefault="00FC7BD9" w:rsidP="00FC7BD9">
      <w:pPr>
        <w:numPr>
          <w:ilvl w:val="0"/>
          <w:numId w:val="30"/>
        </w:numPr>
        <w:spacing w:before="100" w:beforeAutospacing="1" w:after="100" w:afterAutospacing="1"/>
      </w:pPr>
      <w:r w:rsidRPr="00FC7BD9">
        <w:rPr>
          <w:b/>
          <w:bCs/>
        </w:rPr>
        <w:t>Anti-CD117 (c-Kit) antibody–drug conjugates</w:t>
      </w:r>
    </w:p>
    <w:p w14:paraId="43236310" w14:textId="77777777" w:rsidR="00FC7BD9" w:rsidRPr="00FC7BD9" w:rsidRDefault="00FC7BD9" w:rsidP="00FC7BD9">
      <w:pPr>
        <w:numPr>
          <w:ilvl w:val="1"/>
          <w:numId w:val="30"/>
        </w:numPr>
        <w:spacing w:before="100" w:beforeAutospacing="1" w:after="100" w:afterAutospacing="1"/>
      </w:pPr>
      <w:r w:rsidRPr="00FC7BD9">
        <w:t>Deplete HSCs without DNA damage</w:t>
      </w:r>
    </w:p>
    <w:p w14:paraId="3F9C4843" w14:textId="77777777" w:rsidR="00FC7BD9" w:rsidRPr="00FC7BD9" w:rsidRDefault="00FC7BD9" w:rsidP="00FC7BD9">
      <w:pPr>
        <w:numPr>
          <w:ilvl w:val="1"/>
          <w:numId w:val="30"/>
        </w:numPr>
        <w:spacing w:before="100" w:beforeAutospacing="1" w:after="100" w:afterAutospacing="1"/>
      </w:pPr>
      <w:r w:rsidRPr="00FC7BD9">
        <w:t>Examples: JSP191 (Magenta Therapeutics)</w:t>
      </w:r>
    </w:p>
    <w:p w14:paraId="698CF7F2" w14:textId="77777777" w:rsidR="00FC7BD9" w:rsidRPr="00FC7BD9" w:rsidRDefault="00FC7BD9" w:rsidP="00FC7BD9">
      <w:pPr>
        <w:numPr>
          <w:ilvl w:val="0"/>
          <w:numId w:val="30"/>
        </w:numPr>
        <w:spacing w:before="100" w:beforeAutospacing="1" w:after="100" w:afterAutospacing="1"/>
      </w:pPr>
      <w:r w:rsidRPr="00FC7BD9">
        <w:rPr>
          <w:b/>
          <w:bCs/>
        </w:rPr>
        <w:t>Anti-CD45 ADCs</w:t>
      </w:r>
    </w:p>
    <w:p w14:paraId="6010F54D" w14:textId="77777777" w:rsidR="00FC7BD9" w:rsidRPr="00FC7BD9" w:rsidRDefault="00FC7BD9" w:rsidP="00FC7BD9">
      <w:pPr>
        <w:numPr>
          <w:ilvl w:val="0"/>
          <w:numId w:val="30"/>
        </w:numPr>
        <w:spacing w:before="100" w:beforeAutospacing="1" w:after="100" w:afterAutospacing="1"/>
      </w:pPr>
      <w:r w:rsidRPr="00FC7BD9">
        <w:t>Small-molecule conditioning (e.g., c-Kit inhibitors)</w:t>
      </w:r>
    </w:p>
    <w:p w14:paraId="059F6484" w14:textId="77777777" w:rsidR="00FC7BD9" w:rsidRPr="00FC7BD9" w:rsidRDefault="00FC7BD9" w:rsidP="00FC7BD9">
      <w:pPr>
        <w:spacing w:before="100" w:beforeAutospacing="1" w:after="100" w:afterAutospacing="1"/>
      </w:pPr>
      <w:r w:rsidRPr="00FC7BD9">
        <w:t xml:space="preserve">NGC is considered essential to enabling </w:t>
      </w:r>
      <w:r w:rsidRPr="00FC7BD9">
        <w:rPr>
          <w:b/>
          <w:bCs/>
        </w:rPr>
        <w:t>in vivo HSC editing</w:t>
      </w:r>
      <w:r w:rsidRPr="00FC7BD9">
        <w:t>.</w:t>
      </w:r>
    </w:p>
    <w:p w14:paraId="4EDFD1C0" w14:textId="77777777" w:rsidR="00FC7BD9" w:rsidRPr="00FC7BD9" w:rsidRDefault="00F573BC" w:rsidP="00FC7BD9">
      <w:r w:rsidRPr="00F573BC">
        <w:rPr>
          <w:noProof/>
          <w14:ligatures w14:val="standardContextual"/>
        </w:rPr>
        <w:pict w14:anchorId="3FF2FA49">
          <v:rect id="_x0000_i1051" alt="" style="width:468pt;height:.05pt;mso-width-percent:0;mso-height-percent:0;mso-width-percent:0;mso-height-percent:0" o:hralign="center" o:hrstd="t" o:hr="t" fillcolor="#a0a0a0" stroked="f"/>
        </w:pict>
      </w:r>
    </w:p>
    <w:p w14:paraId="7B7E9C9F"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lastRenderedPageBreak/>
        <w:t>5. Future Horizons: In Vivo Gene Editing</w:t>
      </w:r>
    </w:p>
    <w:p w14:paraId="434B72DA"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5.1 Barriers to In Vivo HSC Editing</w:t>
      </w:r>
    </w:p>
    <w:p w14:paraId="4081EF09" w14:textId="77777777" w:rsidR="00FC7BD9" w:rsidRPr="00FC7BD9" w:rsidRDefault="00FC7BD9" w:rsidP="00FC7BD9">
      <w:pPr>
        <w:spacing w:before="100" w:beforeAutospacing="1" w:after="100" w:afterAutospacing="1"/>
      </w:pPr>
      <w:r w:rsidRPr="00FC7BD9">
        <w:t>Delivering editors directly to bone marrow–resident HSCs is challenging because:</w:t>
      </w:r>
    </w:p>
    <w:p w14:paraId="53BBFDF1" w14:textId="77777777" w:rsidR="00FC7BD9" w:rsidRPr="00FC7BD9" w:rsidRDefault="00FC7BD9" w:rsidP="00FC7BD9">
      <w:pPr>
        <w:numPr>
          <w:ilvl w:val="0"/>
          <w:numId w:val="31"/>
        </w:numPr>
        <w:spacing w:before="100" w:beforeAutospacing="1" w:after="100" w:afterAutospacing="1"/>
      </w:pPr>
      <w:r w:rsidRPr="00FC7BD9">
        <w:t>HSCs are sparse (0.01% of marrow cellularity)</w:t>
      </w:r>
    </w:p>
    <w:p w14:paraId="6E09DFF0" w14:textId="77777777" w:rsidR="00FC7BD9" w:rsidRPr="00FC7BD9" w:rsidRDefault="00FC7BD9" w:rsidP="00FC7BD9">
      <w:pPr>
        <w:numPr>
          <w:ilvl w:val="0"/>
          <w:numId w:val="31"/>
        </w:numPr>
        <w:spacing w:before="100" w:beforeAutospacing="1" w:after="100" w:afterAutospacing="1"/>
      </w:pPr>
      <w:r w:rsidRPr="00FC7BD9">
        <w:t>They reside in protected niches</w:t>
      </w:r>
    </w:p>
    <w:p w14:paraId="0BE0EEC8" w14:textId="77777777" w:rsidR="00FC7BD9" w:rsidRPr="00FC7BD9" w:rsidRDefault="00FC7BD9" w:rsidP="00FC7BD9">
      <w:pPr>
        <w:numPr>
          <w:ilvl w:val="0"/>
          <w:numId w:val="31"/>
        </w:numPr>
        <w:spacing w:before="100" w:beforeAutospacing="1" w:after="100" w:afterAutospacing="1"/>
      </w:pPr>
      <w:r w:rsidRPr="00FC7BD9">
        <w:t>Delivery vehicles often target hepatocytes or splenic macrophages instead</w:t>
      </w:r>
    </w:p>
    <w:p w14:paraId="4F35140B" w14:textId="77777777" w:rsidR="00FC7BD9" w:rsidRPr="00FC7BD9" w:rsidRDefault="00FC7BD9" w:rsidP="00FC7BD9">
      <w:pPr>
        <w:numPr>
          <w:ilvl w:val="0"/>
          <w:numId w:val="31"/>
        </w:numPr>
        <w:spacing w:before="100" w:beforeAutospacing="1" w:after="100" w:afterAutospacing="1"/>
      </w:pPr>
      <w:r w:rsidRPr="00FC7BD9">
        <w:t>Risk of uncontrolled in vivo off-target editing is higher</w:t>
      </w:r>
    </w:p>
    <w:p w14:paraId="424EDC56"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5.2 Lipid Nanoparticles (LNPs)</w:t>
      </w:r>
    </w:p>
    <w:p w14:paraId="6667B01F" w14:textId="77777777" w:rsidR="00FC7BD9" w:rsidRPr="00FC7BD9" w:rsidRDefault="00FC7BD9" w:rsidP="00FC7BD9">
      <w:pPr>
        <w:spacing w:before="100" w:beforeAutospacing="1" w:after="100" w:afterAutospacing="1"/>
      </w:pPr>
      <w:r w:rsidRPr="00FC7BD9">
        <w:t>Standard LNPs target the liver due to ApoE-mediated uptake.</w:t>
      </w:r>
      <w:r w:rsidRPr="00FC7BD9">
        <w:br/>
        <w:t>Engineering is focused on modifying:</w:t>
      </w:r>
    </w:p>
    <w:p w14:paraId="32DC9025" w14:textId="77777777" w:rsidR="00FC7BD9" w:rsidRPr="00FC7BD9" w:rsidRDefault="00FC7BD9" w:rsidP="00FC7BD9">
      <w:pPr>
        <w:numPr>
          <w:ilvl w:val="0"/>
          <w:numId w:val="32"/>
        </w:numPr>
        <w:spacing w:before="100" w:beforeAutospacing="1" w:after="100" w:afterAutospacing="1"/>
      </w:pPr>
      <w:r w:rsidRPr="00FC7BD9">
        <w:rPr>
          <w:b/>
          <w:bCs/>
        </w:rPr>
        <w:t>Surface ligands</w:t>
      </w:r>
      <w:r w:rsidRPr="00FC7BD9">
        <w:t xml:space="preserve"> (e.g., anti-CD117 scFv)</w:t>
      </w:r>
    </w:p>
    <w:p w14:paraId="5292B115" w14:textId="77777777" w:rsidR="00FC7BD9" w:rsidRPr="00FC7BD9" w:rsidRDefault="00FC7BD9" w:rsidP="00FC7BD9">
      <w:pPr>
        <w:numPr>
          <w:ilvl w:val="0"/>
          <w:numId w:val="32"/>
        </w:numPr>
        <w:spacing w:before="100" w:beforeAutospacing="1" w:after="100" w:afterAutospacing="1"/>
      </w:pPr>
      <w:r w:rsidRPr="00FC7BD9">
        <w:rPr>
          <w:b/>
          <w:bCs/>
        </w:rPr>
        <w:t>Ionizable lipids</w:t>
      </w:r>
      <w:r w:rsidRPr="00FC7BD9">
        <w:t xml:space="preserve"> that favor marrow biodistribution</w:t>
      </w:r>
    </w:p>
    <w:p w14:paraId="60A06412" w14:textId="77777777" w:rsidR="00FC7BD9" w:rsidRPr="00FC7BD9" w:rsidRDefault="00FC7BD9" w:rsidP="00FC7BD9">
      <w:pPr>
        <w:numPr>
          <w:ilvl w:val="0"/>
          <w:numId w:val="32"/>
        </w:numPr>
        <w:spacing w:before="100" w:beforeAutospacing="1" w:after="100" w:afterAutospacing="1"/>
      </w:pPr>
      <w:r w:rsidRPr="00FC7BD9">
        <w:rPr>
          <w:b/>
          <w:bCs/>
        </w:rPr>
        <w:t>Charge-masking polymers</w:t>
      </w:r>
      <w:r w:rsidRPr="00FC7BD9">
        <w:t xml:space="preserve"> improving circulation time</w:t>
      </w:r>
    </w:p>
    <w:p w14:paraId="042BE088"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5.3 Viral 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490"/>
        <w:gridCol w:w="4768"/>
      </w:tblGrid>
      <w:tr w:rsidR="00FC7BD9" w:rsidRPr="00FC7BD9" w14:paraId="114F33A1" w14:textId="77777777">
        <w:trPr>
          <w:tblHeader/>
          <w:tblCellSpacing w:w="15" w:type="dxa"/>
        </w:trPr>
        <w:tc>
          <w:tcPr>
            <w:tcW w:w="0" w:type="auto"/>
            <w:vAlign w:val="center"/>
            <w:hideMark/>
          </w:tcPr>
          <w:p w14:paraId="22517AA7" w14:textId="77777777" w:rsidR="00FC7BD9" w:rsidRPr="00FC7BD9" w:rsidRDefault="00FC7BD9" w:rsidP="00FC7BD9">
            <w:pPr>
              <w:jc w:val="center"/>
              <w:rPr>
                <w:b/>
                <w:bCs/>
              </w:rPr>
            </w:pPr>
            <w:r w:rsidRPr="00FC7BD9">
              <w:rPr>
                <w:b/>
                <w:bCs/>
              </w:rPr>
              <w:t>Vector</w:t>
            </w:r>
          </w:p>
        </w:tc>
        <w:tc>
          <w:tcPr>
            <w:tcW w:w="0" w:type="auto"/>
            <w:vAlign w:val="center"/>
            <w:hideMark/>
          </w:tcPr>
          <w:p w14:paraId="2ADB29D1" w14:textId="77777777" w:rsidR="00FC7BD9" w:rsidRPr="00FC7BD9" w:rsidRDefault="00FC7BD9" w:rsidP="00FC7BD9">
            <w:pPr>
              <w:jc w:val="center"/>
              <w:rPr>
                <w:b/>
                <w:bCs/>
              </w:rPr>
            </w:pPr>
            <w:r w:rsidRPr="00FC7BD9">
              <w:rPr>
                <w:b/>
                <w:bCs/>
              </w:rPr>
              <w:t>Pros</w:t>
            </w:r>
          </w:p>
        </w:tc>
        <w:tc>
          <w:tcPr>
            <w:tcW w:w="0" w:type="auto"/>
            <w:vAlign w:val="center"/>
            <w:hideMark/>
          </w:tcPr>
          <w:p w14:paraId="34E005E7" w14:textId="77777777" w:rsidR="00FC7BD9" w:rsidRPr="00FC7BD9" w:rsidRDefault="00FC7BD9" w:rsidP="00FC7BD9">
            <w:pPr>
              <w:jc w:val="center"/>
              <w:rPr>
                <w:b/>
                <w:bCs/>
              </w:rPr>
            </w:pPr>
            <w:r w:rsidRPr="00FC7BD9">
              <w:rPr>
                <w:b/>
                <w:bCs/>
              </w:rPr>
              <w:t>Cons</w:t>
            </w:r>
          </w:p>
        </w:tc>
      </w:tr>
      <w:tr w:rsidR="00FC7BD9" w:rsidRPr="00FC7BD9" w14:paraId="04678507" w14:textId="77777777">
        <w:trPr>
          <w:tblCellSpacing w:w="15" w:type="dxa"/>
        </w:trPr>
        <w:tc>
          <w:tcPr>
            <w:tcW w:w="0" w:type="auto"/>
            <w:vAlign w:val="center"/>
            <w:hideMark/>
          </w:tcPr>
          <w:p w14:paraId="267C709F" w14:textId="77777777" w:rsidR="00FC7BD9" w:rsidRPr="00FC7BD9" w:rsidRDefault="00FC7BD9" w:rsidP="00FC7BD9">
            <w:r w:rsidRPr="00FC7BD9">
              <w:rPr>
                <w:b/>
                <w:bCs/>
              </w:rPr>
              <w:t>AAV</w:t>
            </w:r>
          </w:p>
        </w:tc>
        <w:tc>
          <w:tcPr>
            <w:tcW w:w="0" w:type="auto"/>
            <w:vAlign w:val="center"/>
            <w:hideMark/>
          </w:tcPr>
          <w:p w14:paraId="0EF94208" w14:textId="77777777" w:rsidR="00FC7BD9" w:rsidRPr="00FC7BD9" w:rsidRDefault="00FC7BD9" w:rsidP="00FC7BD9">
            <w:r w:rsidRPr="00FC7BD9">
              <w:t>High transduction efficiency; tissue specificity</w:t>
            </w:r>
          </w:p>
        </w:tc>
        <w:tc>
          <w:tcPr>
            <w:tcW w:w="0" w:type="auto"/>
            <w:vAlign w:val="center"/>
            <w:hideMark/>
          </w:tcPr>
          <w:p w14:paraId="0B66DE36" w14:textId="77777777" w:rsidR="00FC7BD9" w:rsidRPr="00FC7BD9" w:rsidRDefault="00FC7BD9" w:rsidP="00FC7BD9">
            <w:r w:rsidRPr="00FC7BD9">
              <w:t>Limited cargo size (&lt;5 kb); preexisting immunity; integration risk</w:t>
            </w:r>
          </w:p>
        </w:tc>
      </w:tr>
      <w:tr w:rsidR="00FC7BD9" w:rsidRPr="00FC7BD9" w14:paraId="29681372" w14:textId="77777777">
        <w:trPr>
          <w:tblCellSpacing w:w="15" w:type="dxa"/>
        </w:trPr>
        <w:tc>
          <w:tcPr>
            <w:tcW w:w="0" w:type="auto"/>
            <w:vAlign w:val="center"/>
            <w:hideMark/>
          </w:tcPr>
          <w:p w14:paraId="126714FE" w14:textId="77777777" w:rsidR="00FC7BD9" w:rsidRPr="00FC7BD9" w:rsidRDefault="00FC7BD9" w:rsidP="00FC7BD9">
            <w:r w:rsidRPr="00FC7BD9">
              <w:rPr>
                <w:b/>
                <w:bCs/>
              </w:rPr>
              <w:t>Lentiviral</w:t>
            </w:r>
          </w:p>
        </w:tc>
        <w:tc>
          <w:tcPr>
            <w:tcW w:w="0" w:type="auto"/>
            <w:vAlign w:val="center"/>
            <w:hideMark/>
          </w:tcPr>
          <w:p w14:paraId="179D17A3" w14:textId="77777777" w:rsidR="00FC7BD9" w:rsidRPr="00FC7BD9" w:rsidRDefault="00FC7BD9" w:rsidP="00FC7BD9">
            <w:r w:rsidRPr="00FC7BD9">
              <w:t>Large cargo, stable integration</w:t>
            </w:r>
          </w:p>
        </w:tc>
        <w:tc>
          <w:tcPr>
            <w:tcW w:w="0" w:type="auto"/>
            <w:vAlign w:val="center"/>
            <w:hideMark/>
          </w:tcPr>
          <w:p w14:paraId="00A08702" w14:textId="77777777" w:rsidR="00FC7BD9" w:rsidRPr="00FC7BD9" w:rsidRDefault="00FC7BD9" w:rsidP="00FC7BD9">
            <w:r w:rsidRPr="00FC7BD9">
              <w:t>Insertional mutagenesis concerns; primarily ex vivo use</w:t>
            </w:r>
          </w:p>
        </w:tc>
      </w:tr>
    </w:tbl>
    <w:p w14:paraId="18BECD57" w14:textId="77777777" w:rsidR="00FC7BD9" w:rsidRPr="00FC7BD9" w:rsidRDefault="00FC7BD9" w:rsidP="00FC7BD9">
      <w:pPr>
        <w:spacing w:before="100" w:beforeAutospacing="1" w:after="100" w:afterAutospacing="1"/>
      </w:pPr>
      <w:r w:rsidRPr="00FC7BD9">
        <w:t xml:space="preserve">Current in vivo HSC editing efforts use </w:t>
      </w:r>
      <w:r w:rsidRPr="00FC7BD9">
        <w:rPr>
          <w:b/>
          <w:bCs/>
        </w:rPr>
        <w:t>AAV for donor template</w:t>
      </w:r>
      <w:r w:rsidRPr="00FC7BD9">
        <w:t xml:space="preserve"> and </w:t>
      </w:r>
      <w:r w:rsidRPr="00FC7BD9">
        <w:rPr>
          <w:b/>
          <w:bCs/>
        </w:rPr>
        <w:t>LNP for Cas9 RNP</w:t>
      </w:r>
      <w:r w:rsidRPr="00FC7BD9">
        <w:t>, but fully non-viral systems are advancing rapidly.</w:t>
      </w:r>
    </w:p>
    <w:p w14:paraId="6AD8482D" w14:textId="77777777" w:rsidR="00FC7BD9" w:rsidRPr="00FC7BD9" w:rsidRDefault="00F573BC" w:rsidP="00FC7BD9">
      <w:r w:rsidRPr="00F573BC">
        <w:rPr>
          <w:noProof/>
          <w14:ligatures w14:val="standardContextual"/>
        </w:rPr>
        <w:pict w14:anchorId="6F1CB1A5">
          <v:rect id="_x0000_i1050" alt="" style="width:468pt;height:.05pt;mso-width-percent:0;mso-height-percent:0;mso-width-percent:0;mso-height-percent:0" o:hralign="center" o:hrstd="t" o:hr="t" fillcolor="#a0a0a0" stroked="f"/>
        </w:pict>
      </w:r>
    </w:p>
    <w:p w14:paraId="0655C613" w14:textId="77777777" w:rsidR="00FC7BD9" w:rsidRPr="00FC7BD9" w:rsidRDefault="00FC7BD9" w:rsidP="00FC7BD9">
      <w:pPr>
        <w:spacing w:before="100" w:beforeAutospacing="1" w:after="100" w:afterAutospacing="1"/>
        <w:outlineLvl w:val="1"/>
        <w:rPr>
          <w:b/>
          <w:bCs/>
          <w:sz w:val="36"/>
          <w:szCs w:val="36"/>
        </w:rPr>
      </w:pPr>
      <w:r w:rsidRPr="00FC7BD9">
        <w:rPr>
          <w:b/>
          <w:bCs/>
          <w:sz w:val="36"/>
          <w:szCs w:val="36"/>
        </w:rPr>
        <w:t>6. Commercial &amp; Ethical Analysis</w:t>
      </w:r>
    </w:p>
    <w:p w14:paraId="239C68FF"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t>6.1 Cost Dynamics</w:t>
      </w:r>
    </w:p>
    <w:p w14:paraId="4274CAEA" w14:textId="77777777" w:rsidR="00FC7BD9" w:rsidRPr="00FC7BD9" w:rsidRDefault="00FC7BD9" w:rsidP="00FC7BD9">
      <w:pPr>
        <w:numPr>
          <w:ilvl w:val="0"/>
          <w:numId w:val="33"/>
        </w:numPr>
        <w:spacing w:before="100" w:beforeAutospacing="1" w:after="100" w:afterAutospacing="1"/>
      </w:pPr>
      <w:r w:rsidRPr="00FC7BD9">
        <w:rPr>
          <w:b/>
          <w:bCs/>
        </w:rPr>
        <w:t>Exa-cel/Casgevy pricing:</w:t>
      </w:r>
      <w:r w:rsidRPr="00FC7BD9">
        <w:t xml:space="preserve"> ~$2.2M per treatment (varies by country)</w:t>
      </w:r>
    </w:p>
    <w:p w14:paraId="15994967" w14:textId="77777777" w:rsidR="00FC7BD9" w:rsidRPr="00FC7BD9" w:rsidRDefault="00FC7BD9" w:rsidP="00FC7BD9">
      <w:pPr>
        <w:numPr>
          <w:ilvl w:val="0"/>
          <w:numId w:val="33"/>
        </w:numPr>
        <w:spacing w:before="100" w:beforeAutospacing="1" w:after="100" w:afterAutospacing="1"/>
      </w:pPr>
      <w:r w:rsidRPr="00FC7BD9">
        <w:t>Manufacturing:</w:t>
      </w:r>
    </w:p>
    <w:p w14:paraId="34A1B874" w14:textId="77777777" w:rsidR="00FC7BD9" w:rsidRPr="00FC7BD9" w:rsidRDefault="00FC7BD9" w:rsidP="00FC7BD9">
      <w:pPr>
        <w:numPr>
          <w:ilvl w:val="1"/>
          <w:numId w:val="33"/>
        </w:numPr>
        <w:spacing w:before="100" w:beforeAutospacing="1" w:after="100" w:afterAutospacing="1"/>
      </w:pPr>
      <w:r w:rsidRPr="00FC7BD9">
        <w:t>Complex GMP workflows</w:t>
      </w:r>
    </w:p>
    <w:p w14:paraId="3B2E1148" w14:textId="77777777" w:rsidR="00FC7BD9" w:rsidRPr="00FC7BD9" w:rsidRDefault="00FC7BD9" w:rsidP="00FC7BD9">
      <w:pPr>
        <w:numPr>
          <w:ilvl w:val="1"/>
          <w:numId w:val="33"/>
        </w:numPr>
        <w:spacing w:before="100" w:beforeAutospacing="1" w:after="100" w:afterAutospacing="1"/>
      </w:pPr>
      <w:r w:rsidRPr="00FC7BD9">
        <w:t>Patient-specific (autologous) production</w:t>
      </w:r>
    </w:p>
    <w:p w14:paraId="7159DA82" w14:textId="77777777" w:rsidR="00FC7BD9" w:rsidRPr="00FC7BD9" w:rsidRDefault="00FC7BD9" w:rsidP="00FC7BD9">
      <w:pPr>
        <w:numPr>
          <w:ilvl w:val="0"/>
          <w:numId w:val="33"/>
        </w:numPr>
        <w:spacing w:before="100" w:beforeAutospacing="1" w:after="100" w:afterAutospacing="1"/>
      </w:pPr>
      <w:r w:rsidRPr="00FC7BD9">
        <w:t>High upfront costs may be offset by lifetime savings relative to chronic crisis care, transfusions, and complications.</w:t>
      </w:r>
    </w:p>
    <w:p w14:paraId="1F20A7E3" w14:textId="77777777" w:rsidR="00FC7BD9" w:rsidRPr="00FC7BD9" w:rsidRDefault="00FC7BD9" w:rsidP="00FC7BD9">
      <w:pPr>
        <w:spacing w:before="100" w:beforeAutospacing="1" w:after="100" w:afterAutospacing="1"/>
        <w:outlineLvl w:val="2"/>
        <w:rPr>
          <w:b/>
          <w:bCs/>
          <w:sz w:val="27"/>
          <w:szCs w:val="27"/>
        </w:rPr>
      </w:pPr>
      <w:r w:rsidRPr="00FC7BD9">
        <w:rPr>
          <w:b/>
          <w:bCs/>
          <w:sz w:val="27"/>
          <w:szCs w:val="27"/>
        </w:rPr>
        <w:lastRenderedPageBreak/>
        <w:t>6.2 Global Equity Challenges</w:t>
      </w:r>
    </w:p>
    <w:p w14:paraId="42D57047" w14:textId="77777777" w:rsidR="00FC7BD9" w:rsidRPr="00FC7BD9" w:rsidRDefault="00FC7BD9" w:rsidP="00FC7BD9">
      <w:pPr>
        <w:spacing w:before="100" w:beforeAutospacing="1" w:after="100" w:afterAutospacing="1"/>
      </w:pPr>
      <w:r w:rsidRPr="00FC7BD9">
        <w:t xml:space="preserve">SCD is most prevalent in </w:t>
      </w:r>
      <w:r w:rsidRPr="00FC7BD9">
        <w:rPr>
          <w:b/>
          <w:bCs/>
        </w:rPr>
        <w:t>sub-Saharan Africa</w:t>
      </w:r>
      <w:r w:rsidRPr="00FC7BD9">
        <w:t>, where &gt;70% of global cases occur, yet:</w:t>
      </w:r>
    </w:p>
    <w:p w14:paraId="11413235" w14:textId="77777777" w:rsidR="00FC7BD9" w:rsidRPr="00FC7BD9" w:rsidRDefault="00FC7BD9" w:rsidP="00FC7BD9">
      <w:pPr>
        <w:numPr>
          <w:ilvl w:val="0"/>
          <w:numId w:val="34"/>
        </w:numPr>
        <w:spacing w:before="100" w:beforeAutospacing="1" w:after="100" w:afterAutospacing="1"/>
      </w:pPr>
      <w:r w:rsidRPr="00FC7BD9">
        <w:t xml:space="preserve">Advanced HSC-based therapies are </w:t>
      </w:r>
      <w:r w:rsidRPr="00FC7BD9">
        <w:rPr>
          <w:b/>
          <w:bCs/>
        </w:rPr>
        <w:t>functionally inaccessible</w:t>
      </w:r>
      <w:r w:rsidRPr="00FC7BD9">
        <w:t xml:space="preserve"> due to infrastructure, cost, and donor scarcity.</w:t>
      </w:r>
    </w:p>
    <w:p w14:paraId="0D2FC9A3" w14:textId="77777777" w:rsidR="00FC7BD9" w:rsidRPr="00FC7BD9" w:rsidRDefault="00FC7BD9" w:rsidP="00FC7BD9">
      <w:pPr>
        <w:numPr>
          <w:ilvl w:val="0"/>
          <w:numId w:val="34"/>
        </w:numPr>
        <w:spacing w:before="100" w:beforeAutospacing="1" w:after="100" w:afterAutospacing="1"/>
      </w:pPr>
      <w:r w:rsidRPr="00FC7BD9">
        <w:t>Even curative allogeneic transplants remain rare.</w:t>
      </w:r>
    </w:p>
    <w:p w14:paraId="7D573665" w14:textId="77777777" w:rsidR="00FC7BD9" w:rsidRPr="00FC7BD9" w:rsidRDefault="00FC7BD9" w:rsidP="00FC7BD9">
      <w:pPr>
        <w:numPr>
          <w:ilvl w:val="0"/>
          <w:numId w:val="34"/>
        </w:numPr>
        <w:spacing w:before="100" w:beforeAutospacing="1" w:after="100" w:afterAutospacing="1"/>
      </w:pPr>
      <w:r w:rsidRPr="00FC7BD9">
        <w:t>Ethical considerations: avoiding creation of a “genetic therapy divide.”</w:t>
      </w:r>
    </w:p>
    <w:p w14:paraId="15CECC23" w14:textId="77777777" w:rsidR="00FC7BD9" w:rsidRPr="00FC7BD9" w:rsidRDefault="00FC7BD9" w:rsidP="00FC7BD9">
      <w:pPr>
        <w:spacing w:before="100" w:beforeAutospacing="1" w:after="100" w:afterAutospacing="1"/>
      </w:pPr>
      <w:r w:rsidRPr="00FC7BD9">
        <w:t xml:space="preserve">Efforts are underway to develop </w:t>
      </w:r>
      <w:r w:rsidRPr="00FC7BD9">
        <w:rPr>
          <w:b/>
          <w:bCs/>
        </w:rPr>
        <w:t>low-infrastructure in vivo therapies</w:t>
      </w:r>
      <w:r w:rsidRPr="00FC7BD9">
        <w:t xml:space="preserve"> that could be administered similarly to vaccines.</w:t>
      </w:r>
    </w:p>
    <w:p w14:paraId="575D1070" w14:textId="77777777" w:rsidR="00FC7BD9" w:rsidRDefault="00FC7BD9" w:rsidP="00FC7BD9">
      <w:pPr>
        <w:rPr>
          <w:rFonts w:eastAsiaTheme="majorEastAsia"/>
          <w:b/>
          <w:bCs/>
          <w:sz w:val="32"/>
          <w:szCs w:val="32"/>
        </w:rPr>
      </w:pPr>
      <w:r w:rsidRPr="00FC7BD9">
        <w:rPr>
          <w:rFonts w:eastAsiaTheme="majorEastAsia"/>
          <w:b/>
          <w:bCs/>
          <w:sz w:val="32"/>
          <w:szCs w:val="32"/>
        </w:rPr>
        <w:t>Key Terminology Glossary</w:t>
      </w:r>
    </w:p>
    <w:p w14:paraId="6561D611" w14:textId="77777777" w:rsidR="00FC7BD9" w:rsidRPr="00FC7BD9" w:rsidRDefault="00FC7BD9" w:rsidP="00FC7BD9">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7383"/>
      </w:tblGrid>
      <w:tr w:rsidR="00FC7BD9" w14:paraId="52CE2C03" w14:textId="77777777">
        <w:trPr>
          <w:tblHeader/>
          <w:tblCellSpacing w:w="15" w:type="dxa"/>
        </w:trPr>
        <w:tc>
          <w:tcPr>
            <w:tcW w:w="0" w:type="auto"/>
            <w:vAlign w:val="center"/>
            <w:hideMark/>
          </w:tcPr>
          <w:p w14:paraId="284C73CD" w14:textId="77777777" w:rsidR="00FC7BD9" w:rsidRDefault="00FC7BD9" w:rsidP="00FC7BD9">
            <w:pPr>
              <w:rPr>
                <w:b/>
                <w:bCs/>
              </w:rPr>
            </w:pPr>
            <w:r>
              <w:rPr>
                <w:b/>
                <w:bCs/>
              </w:rPr>
              <w:t>Term</w:t>
            </w:r>
          </w:p>
        </w:tc>
        <w:tc>
          <w:tcPr>
            <w:tcW w:w="0" w:type="auto"/>
            <w:vAlign w:val="center"/>
            <w:hideMark/>
          </w:tcPr>
          <w:p w14:paraId="18035485" w14:textId="77777777" w:rsidR="00FC7BD9" w:rsidRDefault="00FC7BD9" w:rsidP="00FC7BD9">
            <w:pPr>
              <w:rPr>
                <w:b/>
                <w:bCs/>
              </w:rPr>
            </w:pPr>
            <w:r>
              <w:rPr>
                <w:b/>
                <w:bCs/>
              </w:rPr>
              <w:t>Definition</w:t>
            </w:r>
          </w:p>
        </w:tc>
      </w:tr>
      <w:tr w:rsidR="00FC7BD9" w14:paraId="3DC99165" w14:textId="77777777">
        <w:trPr>
          <w:tblCellSpacing w:w="15" w:type="dxa"/>
        </w:trPr>
        <w:tc>
          <w:tcPr>
            <w:tcW w:w="0" w:type="auto"/>
            <w:vAlign w:val="center"/>
            <w:hideMark/>
          </w:tcPr>
          <w:p w14:paraId="4A7B43AF" w14:textId="77777777" w:rsidR="00FC7BD9" w:rsidRDefault="00FC7BD9">
            <w:r>
              <w:rPr>
                <w:rStyle w:val="Strong"/>
                <w:rFonts w:eastAsiaTheme="majorEastAsia"/>
              </w:rPr>
              <w:t>HSPC</w:t>
            </w:r>
          </w:p>
        </w:tc>
        <w:tc>
          <w:tcPr>
            <w:tcW w:w="0" w:type="auto"/>
            <w:vAlign w:val="center"/>
            <w:hideMark/>
          </w:tcPr>
          <w:p w14:paraId="75E06D2F" w14:textId="77777777" w:rsidR="00FC7BD9" w:rsidRDefault="00FC7BD9">
            <w:r>
              <w:t>Hematopoietic stem and progenitor cell</w:t>
            </w:r>
          </w:p>
        </w:tc>
      </w:tr>
      <w:tr w:rsidR="00FC7BD9" w14:paraId="7D215FED" w14:textId="77777777">
        <w:trPr>
          <w:tblCellSpacing w:w="15" w:type="dxa"/>
        </w:trPr>
        <w:tc>
          <w:tcPr>
            <w:tcW w:w="0" w:type="auto"/>
            <w:vAlign w:val="center"/>
            <w:hideMark/>
          </w:tcPr>
          <w:p w14:paraId="78DBAA20" w14:textId="77777777" w:rsidR="00FC7BD9" w:rsidRDefault="00FC7BD9">
            <w:r>
              <w:rPr>
                <w:rStyle w:val="Strong"/>
                <w:rFonts w:eastAsiaTheme="majorEastAsia"/>
              </w:rPr>
              <w:t>Cas9 RNP</w:t>
            </w:r>
          </w:p>
        </w:tc>
        <w:tc>
          <w:tcPr>
            <w:tcW w:w="0" w:type="auto"/>
            <w:vAlign w:val="center"/>
            <w:hideMark/>
          </w:tcPr>
          <w:p w14:paraId="1E1A970C" w14:textId="77777777" w:rsidR="00FC7BD9" w:rsidRDefault="00FC7BD9">
            <w:r>
              <w:t>Ribonucleoprotein complex of Cas9 protein + sgRNA</w:t>
            </w:r>
          </w:p>
        </w:tc>
      </w:tr>
      <w:tr w:rsidR="00FC7BD9" w14:paraId="1D783F50" w14:textId="77777777">
        <w:trPr>
          <w:tblCellSpacing w:w="15" w:type="dxa"/>
        </w:trPr>
        <w:tc>
          <w:tcPr>
            <w:tcW w:w="0" w:type="auto"/>
            <w:vAlign w:val="center"/>
            <w:hideMark/>
          </w:tcPr>
          <w:p w14:paraId="046A0CA0" w14:textId="77777777" w:rsidR="00FC7BD9" w:rsidRDefault="00FC7BD9">
            <w:r>
              <w:rPr>
                <w:rStyle w:val="Strong"/>
                <w:rFonts w:eastAsiaTheme="majorEastAsia"/>
              </w:rPr>
              <w:t>NHEJ</w:t>
            </w:r>
          </w:p>
        </w:tc>
        <w:tc>
          <w:tcPr>
            <w:tcW w:w="0" w:type="auto"/>
            <w:vAlign w:val="center"/>
            <w:hideMark/>
          </w:tcPr>
          <w:p w14:paraId="7372FD9C" w14:textId="77777777" w:rsidR="00FC7BD9" w:rsidRDefault="00FC7BD9">
            <w:r>
              <w:t>Non-Homologous End Joining; error-prone DSB repair pathway</w:t>
            </w:r>
          </w:p>
        </w:tc>
      </w:tr>
      <w:tr w:rsidR="00FC7BD9" w14:paraId="5262542A" w14:textId="77777777">
        <w:trPr>
          <w:tblCellSpacing w:w="15" w:type="dxa"/>
        </w:trPr>
        <w:tc>
          <w:tcPr>
            <w:tcW w:w="0" w:type="auto"/>
            <w:vAlign w:val="center"/>
            <w:hideMark/>
          </w:tcPr>
          <w:p w14:paraId="29219A6F" w14:textId="77777777" w:rsidR="00FC7BD9" w:rsidRDefault="00FC7BD9">
            <w:r>
              <w:rPr>
                <w:rStyle w:val="Strong"/>
                <w:rFonts w:eastAsiaTheme="majorEastAsia"/>
              </w:rPr>
              <w:t>HDR</w:t>
            </w:r>
          </w:p>
        </w:tc>
        <w:tc>
          <w:tcPr>
            <w:tcW w:w="0" w:type="auto"/>
            <w:vAlign w:val="center"/>
            <w:hideMark/>
          </w:tcPr>
          <w:p w14:paraId="092E5AE9" w14:textId="77777777" w:rsidR="00FC7BD9" w:rsidRDefault="00FC7BD9">
            <w:r>
              <w:t>Homology-Directed Repair; template-dependent repair</w:t>
            </w:r>
          </w:p>
        </w:tc>
      </w:tr>
      <w:tr w:rsidR="00FC7BD9" w14:paraId="7056EF27" w14:textId="77777777">
        <w:trPr>
          <w:tblCellSpacing w:w="15" w:type="dxa"/>
        </w:trPr>
        <w:tc>
          <w:tcPr>
            <w:tcW w:w="0" w:type="auto"/>
            <w:vAlign w:val="center"/>
            <w:hideMark/>
          </w:tcPr>
          <w:p w14:paraId="2143BFF4" w14:textId="77777777" w:rsidR="00FC7BD9" w:rsidRDefault="00FC7BD9">
            <w:r>
              <w:rPr>
                <w:rStyle w:val="Strong"/>
                <w:rFonts w:eastAsiaTheme="majorEastAsia"/>
              </w:rPr>
              <w:t>HbF</w:t>
            </w:r>
          </w:p>
        </w:tc>
        <w:tc>
          <w:tcPr>
            <w:tcW w:w="0" w:type="auto"/>
            <w:vAlign w:val="center"/>
            <w:hideMark/>
          </w:tcPr>
          <w:p w14:paraId="3F27AE4F" w14:textId="77777777" w:rsidR="00FC7BD9" w:rsidRDefault="00FC7BD9">
            <w:r>
              <w:t>Fetal hemoglobin (α₂γ₂)</w:t>
            </w:r>
          </w:p>
        </w:tc>
      </w:tr>
      <w:tr w:rsidR="00FC7BD9" w14:paraId="6304737C" w14:textId="77777777">
        <w:trPr>
          <w:tblCellSpacing w:w="15" w:type="dxa"/>
        </w:trPr>
        <w:tc>
          <w:tcPr>
            <w:tcW w:w="0" w:type="auto"/>
            <w:vAlign w:val="center"/>
            <w:hideMark/>
          </w:tcPr>
          <w:p w14:paraId="52219EEE" w14:textId="77777777" w:rsidR="00FC7BD9" w:rsidRDefault="00FC7BD9">
            <w:r>
              <w:rPr>
                <w:rStyle w:val="Strong"/>
                <w:rFonts w:eastAsiaTheme="majorEastAsia"/>
              </w:rPr>
              <w:t>BCL11A Enhancer</w:t>
            </w:r>
          </w:p>
        </w:tc>
        <w:tc>
          <w:tcPr>
            <w:tcW w:w="0" w:type="auto"/>
            <w:vAlign w:val="center"/>
            <w:hideMark/>
          </w:tcPr>
          <w:p w14:paraId="6EDB02B9" w14:textId="77777777" w:rsidR="00FC7BD9" w:rsidRDefault="00FC7BD9">
            <w:r>
              <w:t>Erythroid-specific regulatory region controlling BCL11A expression</w:t>
            </w:r>
          </w:p>
        </w:tc>
      </w:tr>
      <w:tr w:rsidR="00FC7BD9" w14:paraId="4E44D4DA" w14:textId="77777777">
        <w:trPr>
          <w:tblCellSpacing w:w="15" w:type="dxa"/>
        </w:trPr>
        <w:tc>
          <w:tcPr>
            <w:tcW w:w="0" w:type="auto"/>
            <w:vAlign w:val="center"/>
            <w:hideMark/>
          </w:tcPr>
          <w:p w14:paraId="3CCF34B0" w14:textId="77777777" w:rsidR="00FC7BD9" w:rsidRDefault="00FC7BD9">
            <w:r>
              <w:rPr>
                <w:rStyle w:val="Strong"/>
                <w:rFonts w:eastAsiaTheme="majorEastAsia"/>
              </w:rPr>
              <w:t>VOC</w:t>
            </w:r>
          </w:p>
        </w:tc>
        <w:tc>
          <w:tcPr>
            <w:tcW w:w="0" w:type="auto"/>
            <w:vAlign w:val="center"/>
            <w:hideMark/>
          </w:tcPr>
          <w:p w14:paraId="74251934" w14:textId="77777777" w:rsidR="00FC7BD9" w:rsidRDefault="00FC7BD9">
            <w:r>
              <w:t>Vaso-occlusive crisis</w:t>
            </w:r>
          </w:p>
        </w:tc>
      </w:tr>
      <w:tr w:rsidR="00FC7BD9" w14:paraId="7FEFC78A" w14:textId="77777777">
        <w:trPr>
          <w:tblCellSpacing w:w="15" w:type="dxa"/>
        </w:trPr>
        <w:tc>
          <w:tcPr>
            <w:tcW w:w="0" w:type="auto"/>
            <w:vAlign w:val="center"/>
            <w:hideMark/>
          </w:tcPr>
          <w:p w14:paraId="41A69DDD" w14:textId="77777777" w:rsidR="00FC7BD9" w:rsidRDefault="00FC7BD9">
            <w:r>
              <w:rPr>
                <w:rStyle w:val="Strong"/>
                <w:rFonts w:eastAsiaTheme="majorEastAsia"/>
              </w:rPr>
              <w:t>TDT</w:t>
            </w:r>
          </w:p>
        </w:tc>
        <w:tc>
          <w:tcPr>
            <w:tcW w:w="0" w:type="auto"/>
            <w:vAlign w:val="center"/>
            <w:hideMark/>
          </w:tcPr>
          <w:p w14:paraId="30030BFD" w14:textId="77777777" w:rsidR="00FC7BD9" w:rsidRDefault="00FC7BD9">
            <w:r>
              <w:t>Transfusion-dependent β-thalassemia</w:t>
            </w:r>
          </w:p>
        </w:tc>
      </w:tr>
      <w:tr w:rsidR="00FC7BD9" w14:paraId="7D5BD611" w14:textId="77777777">
        <w:trPr>
          <w:tblCellSpacing w:w="15" w:type="dxa"/>
        </w:trPr>
        <w:tc>
          <w:tcPr>
            <w:tcW w:w="0" w:type="auto"/>
            <w:vAlign w:val="center"/>
            <w:hideMark/>
          </w:tcPr>
          <w:p w14:paraId="2CC70926" w14:textId="77777777" w:rsidR="00FC7BD9" w:rsidRDefault="00FC7BD9">
            <w:r>
              <w:rPr>
                <w:rStyle w:val="Strong"/>
                <w:rFonts w:eastAsiaTheme="majorEastAsia"/>
              </w:rPr>
              <w:t>Prime Editing</w:t>
            </w:r>
          </w:p>
        </w:tc>
        <w:tc>
          <w:tcPr>
            <w:tcW w:w="0" w:type="auto"/>
            <w:vAlign w:val="center"/>
            <w:hideMark/>
          </w:tcPr>
          <w:p w14:paraId="6AB6AEC6" w14:textId="77777777" w:rsidR="00FC7BD9" w:rsidRDefault="00FC7BD9">
            <w:r>
              <w:t>Cas9 nickase fused to reverse transcriptase enabling template-programmed edits</w:t>
            </w:r>
          </w:p>
        </w:tc>
      </w:tr>
      <w:tr w:rsidR="00FC7BD9" w14:paraId="78ADA57D" w14:textId="77777777">
        <w:trPr>
          <w:tblCellSpacing w:w="15" w:type="dxa"/>
        </w:trPr>
        <w:tc>
          <w:tcPr>
            <w:tcW w:w="0" w:type="auto"/>
            <w:vAlign w:val="center"/>
            <w:hideMark/>
          </w:tcPr>
          <w:p w14:paraId="473038D8" w14:textId="77777777" w:rsidR="00FC7BD9" w:rsidRDefault="00FC7BD9">
            <w:r>
              <w:rPr>
                <w:rStyle w:val="Strong"/>
                <w:rFonts w:eastAsiaTheme="majorEastAsia"/>
              </w:rPr>
              <w:t>Base Editing</w:t>
            </w:r>
          </w:p>
        </w:tc>
        <w:tc>
          <w:tcPr>
            <w:tcW w:w="0" w:type="auto"/>
            <w:vAlign w:val="center"/>
            <w:hideMark/>
          </w:tcPr>
          <w:p w14:paraId="20019B40" w14:textId="77777777" w:rsidR="00FC7BD9" w:rsidRDefault="00FC7BD9">
            <w:r>
              <w:t>DSB-free nucleotide conversion via deaminases</w:t>
            </w:r>
          </w:p>
        </w:tc>
      </w:tr>
      <w:tr w:rsidR="00FC7BD9" w14:paraId="43C89BF0" w14:textId="77777777">
        <w:trPr>
          <w:tblCellSpacing w:w="15" w:type="dxa"/>
        </w:trPr>
        <w:tc>
          <w:tcPr>
            <w:tcW w:w="0" w:type="auto"/>
            <w:vAlign w:val="center"/>
            <w:hideMark/>
          </w:tcPr>
          <w:p w14:paraId="38B291F0" w14:textId="77777777" w:rsidR="00FC7BD9" w:rsidRDefault="00FC7BD9">
            <w:r>
              <w:rPr>
                <w:rStyle w:val="Strong"/>
                <w:rFonts w:eastAsiaTheme="majorEastAsia"/>
              </w:rPr>
              <w:t>NGC</w:t>
            </w:r>
          </w:p>
        </w:tc>
        <w:tc>
          <w:tcPr>
            <w:tcW w:w="0" w:type="auto"/>
            <w:vAlign w:val="center"/>
            <w:hideMark/>
          </w:tcPr>
          <w:p w14:paraId="359582D3" w14:textId="77777777" w:rsidR="00FC7BD9" w:rsidRDefault="00FC7BD9">
            <w:r>
              <w:t>Non-genotoxic conditioning</w:t>
            </w:r>
          </w:p>
        </w:tc>
      </w:tr>
      <w:tr w:rsidR="00FC7BD9" w14:paraId="19AADB09" w14:textId="77777777">
        <w:trPr>
          <w:tblCellSpacing w:w="15" w:type="dxa"/>
        </w:trPr>
        <w:tc>
          <w:tcPr>
            <w:tcW w:w="0" w:type="auto"/>
            <w:vAlign w:val="center"/>
            <w:hideMark/>
          </w:tcPr>
          <w:p w14:paraId="02132460" w14:textId="77777777" w:rsidR="00FC7BD9" w:rsidRDefault="00FC7BD9">
            <w:r>
              <w:rPr>
                <w:rStyle w:val="Strong"/>
                <w:rFonts w:eastAsiaTheme="majorEastAsia"/>
              </w:rPr>
              <w:t>CD117</w:t>
            </w:r>
          </w:p>
        </w:tc>
        <w:tc>
          <w:tcPr>
            <w:tcW w:w="0" w:type="auto"/>
            <w:vAlign w:val="center"/>
            <w:hideMark/>
          </w:tcPr>
          <w:p w14:paraId="336736B7" w14:textId="77777777" w:rsidR="00FC7BD9" w:rsidRDefault="00FC7BD9">
            <w:r>
              <w:t>c-Kit; HSC surface marker</w:t>
            </w:r>
          </w:p>
        </w:tc>
      </w:tr>
    </w:tbl>
    <w:p w14:paraId="4AA19680" w14:textId="77777777" w:rsidR="00FC7BD9" w:rsidRDefault="00F573BC" w:rsidP="00FC7BD9">
      <w:r w:rsidRPr="00F573BC">
        <w:rPr>
          <w:noProof/>
          <w14:ligatures w14:val="standardContextual"/>
        </w:rPr>
        <w:pict w14:anchorId="18DF2700">
          <v:rect id="_x0000_i1049" alt="" style="width:468pt;height:.05pt;mso-width-percent:0;mso-height-percent:0;mso-width-percent:0;mso-height-percent:0" o:hralign="center" o:hrstd="t" o:hr="t" fillcolor="#a0a0a0" stroked="f"/>
        </w:pict>
      </w:r>
    </w:p>
    <w:p w14:paraId="3417891D" w14:textId="77777777" w:rsidR="00FC7BD9" w:rsidRDefault="00FC7BD9" w:rsidP="00FC7BD9">
      <w:pPr>
        <w:pStyle w:val="NormalWeb"/>
      </w:pPr>
      <w:r>
        <w:t>If you'd like, I can also generate:</w:t>
      </w:r>
    </w:p>
    <w:p w14:paraId="05F3E47F" w14:textId="77777777" w:rsidR="00FC7BD9" w:rsidRDefault="00FC7BD9" w:rsidP="00FC7BD9">
      <w:pPr>
        <w:pStyle w:val="NormalWeb"/>
        <w:numPr>
          <w:ilvl w:val="0"/>
          <w:numId w:val="35"/>
        </w:numPr>
      </w:pPr>
      <w:r>
        <w:rPr>
          <w:rStyle w:val="Strong"/>
          <w:rFonts w:eastAsiaTheme="majorEastAsia"/>
        </w:rPr>
        <w:t>Figures/diagrams</w:t>
      </w:r>
      <w:r>
        <w:t xml:space="preserve"> (mechanisms, workflows, delivery strategies)</w:t>
      </w:r>
    </w:p>
    <w:p w14:paraId="78919022" w14:textId="77777777" w:rsidR="00FC7BD9" w:rsidRDefault="00FC7BD9" w:rsidP="00FC7BD9">
      <w:pPr>
        <w:pStyle w:val="NormalWeb"/>
        <w:numPr>
          <w:ilvl w:val="0"/>
          <w:numId w:val="35"/>
        </w:numPr>
      </w:pPr>
      <w:r>
        <w:t xml:space="preserve">A </w:t>
      </w:r>
      <w:r>
        <w:rPr>
          <w:rStyle w:val="Strong"/>
          <w:rFonts w:eastAsiaTheme="majorEastAsia"/>
        </w:rPr>
        <w:t>slide-deck version</w:t>
      </w:r>
      <w:r>
        <w:t xml:space="preserve"> for investors</w:t>
      </w:r>
    </w:p>
    <w:p w14:paraId="03536ACE" w14:textId="77777777" w:rsidR="00FC7BD9" w:rsidRDefault="00FC7BD9" w:rsidP="00FC7BD9">
      <w:pPr>
        <w:pStyle w:val="NormalWeb"/>
        <w:numPr>
          <w:ilvl w:val="0"/>
          <w:numId w:val="35"/>
        </w:numPr>
      </w:pPr>
      <w:r>
        <w:t xml:space="preserve">A </w:t>
      </w:r>
      <w:r>
        <w:rPr>
          <w:rStyle w:val="Strong"/>
          <w:rFonts w:eastAsiaTheme="majorEastAsia"/>
        </w:rPr>
        <w:t>shortened executive version</w:t>
      </w:r>
    </w:p>
    <w:p w14:paraId="32351D74" w14:textId="77777777" w:rsidR="00FC7BD9" w:rsidRDefault="00FC7BD9" w:rsidP="00FC7BD9">
      <w:pPr>
        <w:pStyle w:val="NormalWeb"/>
        <w:numPr>
          <w:ilvl w:val="0"/>
          <w:numId w:val="35"/>
        </w:numPr>
      </w:pPr>
      <w:r>
        <w:t xml:space="preserve">A </w:t>
      </w:r>
      <w:r>
        <w:rPr>
          <w:rStyle w:val="Strong"/>
          <w:rFonts w:eastAsiaTheme="majorEastAsia"/>
        </w:rPr>
        <w:t>competitive landscape analysis</w:t>
      </w:r>
      <w:r>
        <w:t xml:space="preserve"> of companies (Vertex/CRISPR, Bluebird, Beam, Editas, Prime Medicine)</w:t>
      </w:r>
    </w:p>
    <w:p w14:paraId="3AB7C2F6" w14:textId="77777777" w:rsidR="00FC7BD9" w:rsidRDefault="00FC7BD9" w:rsidP="00FC7BD9">
      <w:pPr>
        <w:pStyle w:val="NormalWeb"/>
      </w:pPr>
      <w:r>
        <w:t>Would you like supplementary diagrams or a PowerPoint-style summary?</w:t>
      </w:r>
    </w:p>
    <w:p w14:paraId="4AFE7990" w14:textId="0265C648" w:rsidR="00FC7BD9" w:rsidRDefault="00FC7BD9">
      <w:pPr>
        <w:spacing w:after="160" w:line="278" w:lineRule="auto"/>
      </w:pPr>
      <w:r>
        <w:br w:type="page"/>
      </w:r>
    </w:p>
    <w:p w14:paraId="5B186870" w14:textId="77777777" w:rsidR="00FC7BD9" w:rsidRDefault="00FC7BD9" w:rsidP="00FC7BD9">
      <w:pPr>
        <w:pStyle w:val="Heading1"/>
      </w:pPr>
      <w:r>
        <w:rPr>
          <w:rStyle w:val="Strong"/>
          <w:b w:val="0"/>
          <w:bCs w:val="0"/>
        </w:rPr>
        <w:lastRenderedPageBreak/>
        <w:t>Health Impacts of Per- and Polyfluoroalkyl Substances (PFASs): A Comprehensive Review</w:t>
      </w:r>
    </w:p>
    <w:p w14:paraId="526B7C49" w14:textId="77777777" w:rsidR="00FC7BD9" w:rsidRDefault="00F573BC" w:rsidP="00FC7BD9">
      <w:r w:rsidRPr="00F573BC">
        <w:rPr>
          <w:noProof/>
          <w14:ligatures w14:val="standardContextual"/>
        </w:rPr>
        <w:pict w14:anchorId="7CFB3B5F">
          <v:rect id="_x0000_i1048" alt="" style="width:468pt;height:.05pt;mso-width-percent:0;mso-height-percent:0;mso-width-percent:0;mso-height-percent:0" o:hralign="center" o:hrstd="t" o:hr="t" fillcolor="#a0a0a0" stroked="f"/>
        </w:pict>
      </w:r>
    </w:p>
    <w:p w14:paraId="008BD012" w14:textId="77777777" w:rsidR="00FC7BD9" w:rsidRDefault="00FC7BD9" w:rsidP="00FC7BD9">
      <w:pPr>
        <w:pStyle w:val="Heading2"/>
      </w:pPr>
      <w:r>
        <w:rPr>
          <w:rStyle w:val="Strong"/>
          <w:b w:val="0"/>
          <w:bCs w:val="0"/>
        </w:rPr>
        <w:t>Abstract</w:t>
      </w:r>
    </w:p>
    <w:p w14:paraId="0EB9E3F6" w14:textId="77777777" w:rsidR="00FC7BD9" w:rsidRDefault="00FC7BD9" w:rsidP="00FC7BD9">
      <w:pPr>
        <w:pStyle w:val="NormalWeb"/>
      </w:pPr>
      <w:r>
        <w:t>Per- and polyfluoroalkyl substances (PFASs) comprise a diverse class of synthetic fluorinated chemicals used extensively for their thermal stability, surfactant properties, and resistance to degradation. Their exceptional environmental persistence and widespread use have resulted in global human exposure through contaminated drinking water, food, dust, and consumer products. Epidemiological research—supported by toxicological evidence in animal models—has identified multiple potential health effects, particularly involving immunotoxicity, carcinogenicity, metabolic disruption, and developmental outcomes. Legacy PFAS compounds, such as perfluorooctanoic acid (PFOA) and perfluorooctane sulfonate (PFOS), are the best studied and consistently associated with adverse effects; emerging short-chain and replacement PFAS (e.g., GenX, PFBS) demonstrate similar toxicological profiles but remain insufficiently characterized. This review synthesizes current evidence across exposure pathways, toxicokinetics, system-specific outcomes, and mechanistic insights, highlighting regulatory progress and persistent knowledge gaps, particularly related to mixture toxicity and emerging substitutes.</w:t>
      </w:r>
    </w:p>
    <w:p w14:paraId="0C6B084C" w14:textId="77777777" w:rsidR="00FC7BD9" w:rsidRDefault="00F573BC" w:rsidP="00FC7BD9">
      <w:r w:rsidRPr="00F573BC">
        <w:rPr>
          <w:noProof/>
          <w14:ligatures w14:val="standardContextual"/>
        </w:rPr>
        <w:pict w14:anchorId="7D461822">
          <v:rect id="_x0000_i1047" alt="" style="width:468pt;height:.05pt;mso-width-percent:0;mso-height-percent:0;mso-width-percent:0;mso-height-percent:0" o:hralign="center" o:hrstd="t" o:hr="t" fillcolor="#a0a0a0" stroked="f"/>
        </w:pict>
      </w:r>
    </w:p>
    <w:p w14:paraId="012A05DF" w14:textId="77777777" w:rsidR="00FC7BD9" w:rsidRDefault="00FC7BD9" w:rsidP="00FC7BD9">
      <w:pPr>
        <w:pStyle w:val="Heading2"/>
      </w:pPr>
      <w:r>
        <w:rPr>
          <w:rStyle w:val="Strong"/>
          <w:b w:val="0"/>
          <w:bCs w:val="0"/>
        </w:rPr>
        <w:t>1. Introduction and Chemical Background</w:t>
      </w:r>
    </w:p>
    <w:p w14:paraId="442FE4F6" w14:textId="77777777" w:rsidR="00FC7BD9" w:rsidRDefault="00FC7BD9" w:rsidP="00FC7BD9">
      <w:pPr>
        <w:pStyle w:val="NormalWeb"/>
      </w:pPr>
      <w:r>
        <w:t xml:space="preserve">Per- and polyfluoroalkyl substances (PFASs) are a class of &gt;12,000 chemicals characterized by carbon chains in which hydrogen atoms are fully or partially replaced by fluorine. The </w:t>
      </w:r>
      <w:r>
        <w:rPr>
          <w:rStyle w:val="Strong"/>
          <w:rFonts w:eastAsiaTheme="majorEastAsia"/>
        </w:rPr>
        <w:t>carbon–fluorine (C–F) bond</w:t>
      </w:r>
      <w:r>
        <w:t>—one of the strongest in organic chemistry—confers thermal stability, hydrophobicity, and extreme chemical resistance, leading to environmental persistence and the term “forever chemicals.”</w:t>
      </w:r>
    </w:p>
    <w:p w14:paraId="7C6F8240" w14:textId="77777777" w:rsidR="00FC7BD9" w:rsidRDefault="00FC7BD9" w:rsidP="00FC7BD9">
      <w:pPr>
        <w:pStyle w:val="Heading3"/>
      </w:pPr>
      <w:r>
        <w:rPr>
          <w:rStyle w:val="Strong"/>
          <w:b w:val="0"/>
          <w:bCs w:val="0"/>
        </w:rPr>
        <w:t>Long-Chain vs. Short-Chain PFAS</w:t>
      </w:r>
    </w:p>
    <w:p w14:paraId="5CE4CCE1" w14:textId="77777777" w:rsidR="00FC7BD9" w:rsidRDefault="00FC7BD9" w:rsidP="00FC7BD9">
      <w:pPr>
        <w:pStyle w:val="NormalWeb"/>
      </w:pPr>
      <w:r>
        <w:t>PFASs are frequently categorized by carbon chain length:</w:t>
      </w:r>
    </w:p>
    <w:p w14:paraId="5094C8DA" w14:textId="77777777" w:rsidR="00FC7BD9" w:rsidRDefault="00FC7BD9" w:rsidP="00FC7BD9">
      <w:pPr>
        <w:pStyle w:val="NormalWeb"/>
        <w:numPr>
          <w:ilvl w:val="0"/>
          <w:numId w:val="36"/>
        </w:numPr>
      </w:pPr>
      <w:r>
        <w:rPr>
          <w:rStyle w:val="Strong"/>
          <w:rFonts w:eastAsiaTheme="majorEastAsia"/>
        </w:rPr>
        <w:t>Long-chain PFAS</w:t>
      </w:r>
    </w:p>
    <w:p w14:paraId="76EA295C" w14:textId="77777777" w:rsidR="00FC7BD9" w:rsidRDefault="00FC7BD9" w:rsidP="00FC7BD9">
      <w:pPr>
        <w:pStyle w:val="NormalWeb"/>
        <w:numPr>
          <w:ilvl w:val="1"/>
          <w:numId w:val="36"/>
        </w:numPr>
      </w:pPr>
      <w:r>
        <w:t xml:space="preserve">Perfluoroalkyl carboxylic acids (≥C8), e.g., </w:t>
      </w:r>
      <w:r>
        <w:rPr>
          <w:rStyle w:val="Strong"/>
          <w:rFonts w:eastAsiaTheme="majorEastAsia"/>
        </w:rPr>
        <w:t>PFOA</w:t>
      </w:r>
    </w:p>
    <w:p w14:paraId="1041AA48" w14:textId="77777777" w:rsidR="00FC7BD9" w:rsidRDefault="00FC7BD9" w:rsidP="00FC7BD9">
      <w:pPr>
        <w:pStyle w:val="NormalWeb"/>
        <w:numPr>
          <w:ilvl w:val="1"/>
          <w:numId w:val="36"/>
        </w:numPr>
      </w:pPr>
      <w:r>
        <w:t xml:space="preserve">Perfluoroalkane sulfonic acids (≥C6), e.g., </w:t>
      </w:r>
      <w:r>
        <w:rPr>
          <w:rStyle w:val="Strong"/>
          <w:rFonts w:eastAsiaTheme="majorEastAsia"/>
        </w:rPr>
        <w:t>PFOS</w:t>
      </w:r>
      <w:r>
        <w:br/>
        <w:t xml:space="preserve">These compounds </w:t>
      </w:r>
      <w:r>
        <w:rPr>
          <w:rStyle w:val="Strong"/>
          <w:rFonts w:eastAsiaTheme="majorEastAsia"/>
        </w:rPr>
        <w:t>bioaccumulate significantly</w:t>
      </w:r>
      <w:r>
        <w:t xml:space="preserve"> in humans.</w:t>
      </w:r>
    </w:p>
    <w:p w14:paraId="422E495F" w14:textId="77777777" w:rsidR="00FC7BD9" w:rsidRDefault="00FC7BD9" w:rsidP="00FC7BD9">
      <w:pPr>
        <w:pStyle w:val="NormalWeb"/>
        <w:numPr>
          <w:ilvl w:val="0"/>
          <w:numId w:val="36"/>
        </w:numPr>
      </w:pPr>
      <w:r>
        <w:rPr>
          <w:rStyle w:val="Strong"/>
          <w:rFonts w:eastAsiaTheme="majorEastAsia"/>
        </w:rPr>
        <w:t>Short-chain and replacement PFAS</w:t>
      </w:r>
    </w:p>
    <w:p w14:paraId="04C1AAB7" w14:textId="77777777" w:rsidR="00FC7BD9" w:rsidRDefault="00FC7BD9" w:rsidP="00FC7BD9">
      <w:pPr>
        <w:pStyle w:val="NormalWeb"/>
        <w:numPr>
          <w:ilvl w:val="1"/>
          <w:numId w:val="36"/>
        </w:numPr>
      </w:pPr>
      <w:r>
        <w:t xml:space="preserve">Examples: </w:t>
      </w:r>
      <w:r>
        <w:rPr>
          <w:rStyle w:val="Strong"/>
          <w:rFonts w:eastAsiaTheme="majorEastAsia"/>
        </w:rPr>
        <w:t>PFBS (C4 sulfonate)</w:t>
      </w:r>
      <w:r>
        <w:t xml:space="preserve">, </w:t>
      </w:r>
      <w:r>
        <w:rPr>
          <w:rStyle w:val="Strong"/>
          <w:rFonts w:eastAsiaTheme="majorEastAsia"/>
        </w:rPr>
        <w:t>GenX (HFPO-DA)</w:t>
      </w:r>
      <w:r>
        <w:br/>
        <w:t>These are marketed as safer but show increased mobility in water and uncertain toxicological profiles.</w:t>
      </w:r>
    </w:p>
    <w:p w14:paraId="14BEE2DC" w14:textId="77777777" w:rsidR="00FC7BD9" w:rsidRDefault="00F573BC" w:rsidP="00FC7BD9">
      <w:r w:rsidRPr="00F573BC">
        <w:rPr>
          <w:noProof/>
          <w14:ligatures w14:val="standardContextual"/>
        </w:rPr>
        <w:lastRenderedPageBreak/>
        <w:pict w14:anchorId="1DD51CCB">
          <v:rect id="_x0000_i1046" alt="" style="width:468pt;height:.05pt;mso-width-percent:0;mso-height-percent:0;mso-width-percent:0;mso-height-percent:0" o:hralign="center" o:hrstd="t" o:hr="t" fillcolor="#a0a0a0" stroked="f"/>
        </w:pict>
      </w:r>
    </w:p>
    <w:p w14:paraId="7A11C41F" w14:textId="77777777" w:rsidR="00FC7BD9" w:rsidRDefault="00FC7BD9" w:rsidP="00FC7BD9">
      <w:pPr>
        <w:pStyle w:val="Heading2"/>
      </w:pPr>
      <w:r>
        <w:rPr>
          <w:rStyle w:val="Strong"/>
          <w:b w:val="0"/>
          <w:bCs w:val="0"/>
        </w:rPr>
        <w:t>2. Exposure Pathways and Toxicokinetics</w:t>
      </w:r>
    </w:p>
    <w:p w14:paraId="169DCDEE" w14:textId="77777777" w:rsidR="00FC7BD9" w:rsidRDefault="00FC7BD9" w:rsidP="00FC7BD9">
      <w:pPr>
        <w:pStyle w:val="Heading3"/>
      </w:pPr>
      <w:r>
        <w:rPr>
          <w:rStyle w:val="Strong"/>
          <w:b w:val="0"/>
          <w:bCs w:val="0"/>
        </w:rPr>
        <w:t>Major Exposure Pathways</w:t>
      </w:r>
    </w:p>
    <w:p w14:paraId="3EF1CFE5" w14:textId="77777777" w:rsidR="00FC7BD9" w:rsidRDefault="00FC7BD9" w:rsidP="00FC7BD9">
      <w:pPr>
        <w:pStyle w:val="NormalWeb"/>
        <w:numPr>
          <w:ilvl w:val="0"/>
          <w:numId w:val="37"/>
        </w:numPr>
      </w:pPr>
      <w:r>
        <w:rPr>
          <w:rStyle w:val="Strong"/>
          <w:rFonts w:eastAsiaTheme="majorEastAsia"/>
        </w:rPr>
        <w:t>Drinking Water</w:t>
      </w:r>
      <w:r>
        <w:br/>
        <w:t>Primary exposure source in contaminated communities near industrial facilities, firefighting foam sites, and landfills. Long-term ingestion leads to measurable serum concentrations.</w:t>
      </w:r>
    </w:p>
    <w:p w14:paraId="5DC15304" w14:textId="77777777" w:rsidR="00FC7BD9" w:rsidRDefault="00FC7BD9" w:rsidP="00FC7BD9">
      <w:pPr>
        <w:pStyle w:val="NormalWeb"/>
        <w:numPr>
          <w:ilvl w:val="0"/>
          <w:numId w:val="37"/>
        </w:numPr>
      </w:pPr>
      <w:r>
        <w:rPr>
          <w:rStyle w:val="Strong"/>
          <w:rFonts w:eastAsiaTheme="majorEastAsia"/>
        </w:rPr>
        <w:t>Food and Food Packaging</w:t>
      </w:r>
      <w:r>
        <w:br/>
        <w:t>PFAS migrate from grease-resistant packaging, non-stick cookware, and contaminated agricultural soils into food.</w:t>
      </w:r>
    </w:p>
    <w:p w14:paraId="5C9A9D96" w14:textId="77777777" w:rsidR="00FC7BD9" w:rsidRDefault="00FC7BD9" w:rsidP="00FC7BD9">
      <w:pPr>
        <w:pStyle w:val="NormalWeb"/>
        <w:numPr>
          <w:ilvl w:val="0"/>
          <w:numId w:val="37"/>
        </w:numPr>
      </w:pPr>
      <w:r>
        <w:rPr>
          <w:rStyle w:val="Strong"/>
          <w:rFonts w:eastAsiaTheme="majorEastAsia"/>
        </w:rPr>
        <w:t>Indoor Dust and Consumer Products</w:t>
      </w:r>
      <w:r>
        <w:br/>
        <w:t>Indoor dust contains PFAS from upholstery, carpeting, waterproof fabrics, and cleaning products—particularly relevant for children.</w:t>
      </w:r>
    </w:p>
    <w:p w14:paraId="329C7B3B" w14:textId="77777777" w:rsidR="00FC7BD9" w:rsidRDefault="00FC7BD9" w:rsidP="00FC7BD9">
      <w:pPr>
        <w:pStyle w:val="NormalWeb"/>
        <w:numPr>
          <w:ilvl w:val="0"/>
          <w:numId w:val="37"/>
        </w:numPr>
      </w:pPr>
      <w:r>
        <w:rPr>
          <w:rStyle w:val="Strong"/>
          <w:rFonts w:eastAsiaTheme="majorEastAsia"/>
        </w:rPr>
        <w:t>Dermal and Inhalation Pathways</w:t>
      </w:r>
      <w:r>
        <w:br/>
        <w:t>Typically minor, though relevant for occupational settings and use of PFAS-containing cosmetics.</w:t>
      </w:r>
    </w:p>
    <w:p w14:paraId="383043F3" w14:textId="77777777" w:rsidR="00FC7BD9" w:rsidRDefault="00F573BC" w:rsidP="00FC7BD9">
      <w:r w:rsidRPr="00F573BC">
        <w:rPr>
          <w:noProof/>
          <w14:ligatures w14:val="standardContextual"/>
        </w:rPr>
        <w:pict w14:anchorId="69A43860">
          <v:rect id="_x0000_i1045" alt="" style="width:468pt;height:.05pt;mso-width-percent:0;mso-height-percent:0;mso-width-percent:0;mso-height-percent:0" o:hralign="center" o:hrstd="t" o:hr="t" fillcolor="#a0a0a0" stroked="f"/>
        </w:pict>
      </w:r>
    </w:p>
    <w:p w14:paraId="2EAB9FFD" w14:textId="77777777" w:rsidR="00FC7BD9" w:rsidRDefault="00FC7BD9" w:rsidP="00FC7BD9">
      <w:pPr>
        <w:pStyle w:val="Heading3"/>
      </w:pPr>
      <w:r>
        <w:rPr>
          <w:rStyle w:val="Strong"/>
          <w:b w:val="0"/>
          <w:bCs w:val="0"/>
        </w:rPr>
        <w:t>Toxicokinetics: Bioaccumulation and Half-Lives</w:t>
      </w:r>
    </w:p>
    <w:p w14:paraId="0925772B" w14:textId="77777777" w:rsidR="00FC7BD9" w:rsidRDefault="00FC7BD9" w:rsidP="00FC7BD9">
      <w:pPr>
        <w:pStyle w:val="NormalWeb"/>
      </w:pPr>
      <w:r>
        <w:t>PFASs bind to serum proteins (e.g., albumin) and distribute widely to the liver, kidneys, and blood compartment.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853"/>
        <w:gridCol w:w="1926"/>
        <w:gridCol w:w="3979"/>
      </w:tblGrid>
      <w:tr w:rsidR="00FC7BD9" w14:paraId="55BEC21B" w14:textId="77777777">
        <w:trPr>
          <w:tblHeader/>
          <w:tblCellSpacing w:w="15" w:type="dxa"/>
        </w:trPr>
        <w:tc>
          <w:tcPr>
            <w:tcW w:w="0" w:type="auto"/>
            <w:vAlign w:val="center"/>
            <w:hideMark/>
          </w:tcPr>
          <w:p w14:paraId="7D596051" w14:textId="77777777" w:rsidR="00FC7BD9" w:rsidRDefault="00FC7BD9">
            <w:pPr>
              <w:jc w:val="center"/>
              <w:rPr>
                <w:b/>
                <w:bCs/>
              </w:rPr>
            </w:pPr>
            <w:r>
              <w:rPr>
                <w:b/>
                <w:bCs/>
              </w:rPr>
              <w:t>Compound</w:t>
            </w:r>
          </w:p>
        </w:tc>
        <w:tc>
          <w:tcPr>
            <w:tcW w:w="0" w:type="auto"/>
            <w:vAlign w:val="center"/>
            <w:hideMark/>
          </w:tcPr>
          <w:p w14:paraId="68D1105D" w14:textId="77777777" w:rsidR="00FC7BD9" w:rsidRDefault="00FC7BD9">
            <w:pPr>
              <w:jc w:val="center"/>
              <w:rPr>
                <w:b/>
                <w:bCs/>
              </w:rPr>
            </w:pPr>
            <w:r>
              <w:rPr>
                <w:b/>
                <w:bCs/>
              </w:rPr>
              <w:t>Human Serum Half-Life</w:t>
            </w:r>
          </w:p>
        </w:tc>
        <w:tc>
          <w:tcPr>
            <w:tcW w:w="0" w:type="auto"/>
            <w:vAlign w:val="center"/>
            <w:hideMark/>
          </w:tcPr>
          <w:p w14:paraId="376DB340" w14:textId="77777777" w:rsidR="00FC7BD9" w:rsidRDefault="00FC7BD9">
            <w:pPr>
              <w:jc w:val="center"/>
              <w:rPr>
                <w:b/>
                <w:bCs/>
              </w:rPr>
            </w:pPr>
            <w:r>
              <w:rPr>
                <w:b/>
                <w:bCs/>
              </w:rPr>
              <w:t>Animal Half-Life</w:t>
            </w:r>
          </w:p>
        </w:tc>
        <w:tc>
          <w:tcPr>
            <w:tcW w:w="0" w:type="auto"/>
            <w:vAlign w:val="center"/>
            <w:hideMark/>
          </w:tcPr>
          <w:p w14:paraId="06827492" w14:textId="77777777" w:rsidR="00FC7BD9" w:rsidRDefault="00FC7BD9">
            <w:pPr>
              <w:jc w:val="center"/>
              <w:rPr>
                <w:b/>
                <w:bCs/>
              </w:rPr>
            </w:pPr>
            <w:r>
              <w:rPr>
                <w:b/>
                <w:bCs/>
              </w:rPr>
              <w:t>Notes</w:t>
            </w:r>
          </w:p>
        </w:tc>
      </w:tr>
      <w:tr w:rsidR="00FC7BD9" w14:paraId="6F472B4E" w14:textId="77777777">
        <w:trPr>
          <w:tblCellSpacing w:w="15" w:type="dxa"/>
        </w:trPr>
        <w:tc>
          <w:tcPr>
            <w:tcW w:w="0" w:type="auto"/>
            <w:vAlign w:val="center"/>
            <w:hideMark/>
          </w:tcPr>
          <w:p w14:paraId="12296113" w14:textId="77777777" w:rsidR="00FC7BD9" w:rsidRDefault="00FC7BD9">
            <w:r>
              <w:rPr>
                <w:rStyle w:val="Strong"/>
                <w:rFonts w:eastAsiaTheme="majorEastAsia"/>
              </w:rPr>
              <w:t>PFOA</w:t>
            </w:r>
          </w:p>
        </w:tc>
        <w:tc>
          <w:tcPr>
            <w:tcW w:w="0" w:type="auto"/>
            <w:vAlign w:val="center"/>
            <w:hideMark/>
          </w:tcPr>
          <w:p w14:paraId="587DD285" w14:textId="77777777" w:rsidR="00FC7BD9" w:rsidRDefault="00FC7BD9">
            <w:r>
              <w:t>~2–4 years</w:t>
            </w:r>
          </w:p>
        </w:tc>
        <w:tc>
          <w:tcPr>
            <w:tcW w:w="0" w:type="auto"/>
            <w:vAlign w:val="center"/>
            <w:hideMark/>
          </w:tcPr>
          <w:p w14:paraId="6E021021" w14:textId="77777777" w:rsidR="00FC7BD9" w:rsidRDefault="00FC7BD9">
            <w:r>
              <w:t>days–weeks (species-specific)</w:t>
            </w:r>
          </w:p>
        </w:tc>
        <w:tc>
          <w:tcPr>
            <w:tcW w:w="0" w:type="auto"/>
            <w:vAlign w:val="center"/>
            <w:hideMark/>
          </w:tcPr>
          <w:p w14:paraId="6031BDB1" w14:textId="77777777" w:rsidR="00FC7BD9" w:rsidRDefault="00FC7BD9">
            <w:r>
              <w:t>Strong bioaccumulation</w:t>
            </w:r>
          </w:p>
        </w:tc>
      </w:tr>
      <w:tr w:rsidR="00FC7BD9" w14:paraId="640DA913" w14:textId="77777777">
        <w:trPr>
          <w:tblCellSpacing w:w="15" w:type="dxa"/>
        </w:trPr>
        <w:tc>
          <w:tcPr>
            <w:tcW w:w="0" w:type="auto"/>
            <w:vAlign w:val="center"/>
            <w:hideMark/>
          </w:tcPr>
          <w:p w14:paraId="185540C8" w14:textId="77777777" w:rsidR="00FC7BD9" w:rsidRDefault="00FC7BD9">
            <w:r>
              <w:rPr>
                <w:rStyle w:val="Strong"/>
                <w:rFonts w:eastAsiaTheme="majorEastAsia"/>
              </w:rPr>
              <w:t>PFOS</w:t>
            </w:r>
          </w:p>
        </w:tc>
        <w:tc>
          <w:tcPr>
            <w:tcW w:w="0" w:type="auto"/>
            <w:vAlign w:val="center"/>
            <w:hideMark/>
          </w:tcPr>
          <w:p w14:paraId="19A2EC6F" w14:textId="77777777" w:rsidR="00FC7BD9" w:rsidRDefault="00FC7BD9">
            <w:r>
              <w:t>~5 years</w:t>
            </w:r>
          </w:p>
        </w:tc>
        <w:tc>
          <w:tcPr>
            <w:tcW w:w="0" w:type="auto"/>
            <w:vAlign w:val="center"/>
            <w:hideMark/>
          </w:tcPr>
          <w:p w14:paraId="1A552582" w14:textId="77777777" w:rsidR="00FC7BD9" w:rsidRDefault="00FC7BD9">
            <w:r>
              <w:t>longer in rodents</w:t>
            </w:r>
          </w:p>
        </w:tc>
        <w:tc>
          <w:tcPr>
            <w:tcW w:w="0" w:type="auto"/>
            <w:vAlign w:val="center"/>
            <w:hideMark/>
          </w:tcPr>
          <w:p w14:paraId="4F8CB522" w14:textId="77777777" w:rsidR="00FC7BD9" w:rsidRDefault="00FC7BD9">
            <w:r>
              <w:t>Extensive global prevalence</w:t>
            </w:r>
          </w:p>
        </w:tc>
      </w:tr>
      <w:tr w:rsidR="00FC7BD9" w14:paraId="78906C3E" w14:textId="77777777">
        <w:trPr>
          <w:tblCellSpacing w:w="15" w:type="dxa"/>
        </w:trPr>
        <w:tc>
          <w:tcPr>
            <w:tcW w:w="0" w:type="auto"/>
            <w:vAlign w:val="center"/>
            <w:hideMark/>
          </w:tcPr>
          <w:p w14:paraId="7B1C21EE" w14:textId="77777777" w:rsidR="00FC7BD9" w:rsidRDefault="00FC7BD9">
            <w:r>
              <w:rPr>
                <w:rStyle w:val="Strong"/>
                <w:rFonts w:eastAsiaTheme="majorEastAsia"/>
              </w:rPr>
              <w:t>PFBS</w:t>
            </w:r>
          </w:p>
        </w:tc>
        <w:tc>
          <w:tcPr>
            <w:tcW w:w="0" w:type="auto"/>
            <w:vAlign w:val="center"/>
            <w:hideMark/>
          </w:tcPr>
          <w:p w14:paraId="014E941C" w14:textId="77777777" w:rsidR="00FC7BD9" w:rsidRDefault="00FC7BD9">
            <w:r>
              <w:t>~1 month</w:t>
            </w:r>
          </w:p>
        </w:tc>
        <w:tc>
          <w:tcPr>
            <w:tcW w:w="0" w:type="auto"/>
            <w:vAlign w:val="center"/>
            <w:hideMark/>
          </w:tcPr>
          <w:p w14:paraId="3E94B855" w14:textId="77777777" w:rsidR="00FC7BD9" w:rsidRDefault="00FC7BD9">
            <w:r>
              <w:t>short</w:t>
            </w:r>
          </w:p>
        </w:tc>
        <w:tc>
          <w:tcPr>
            <w:tcW w:w="0" w:type="auto"/>
            <w:vAlign w:val="center"/>
            <w:hideMark/>
          </w:tcPr>
          <w:p w14:paraId="6A707DA1" w14:textId="77777777" w:rsidR="00FC7BD9" w:rsidRDefault="00FC7BD9">
            <w:r>
              <w:t>Lower bioaccumulation but high mobility</w:t>
            </w:r>
          </w:p>
        </w:tc>
      </w:tr>
      <w:tr w:rsidR="00FC7BD9" w14:paraId="05E703D8" w14:textId="77777777">
        <w:trPr>
          <w:tblCellSpacing w:w="15" w:type="dxa"/>
        </w:trPr>
        <w:tc>
          <w:tcPr>
            <w:tcW w:w="0" w:type="auto"/>
            <w:vAlign w:val="center"/>
            <w:hideMark/>
          </w:tcPr>
          <w:p w14:paraId="57956FCC" w14:textId="77777777" w:rsidR="00FC7BD9" w:rsidRDefault="00FC7BD9">
            <w:r>
              <w:rPr>
                <w:rStyle w:val="Strong"/>
                <w:rFonts w:eastAsiaTheme="majorEastAsia"/>
              </w:rPr>
              <w:t>GenX (HFPO-DA)</w:t>
            </w:r>
          </w:p>
        </w:tc>
        <w:tc>
          <w:tcPr>
            <w:tcW w:w="0" w:type="auto"/>
            <w:vAlign w:val="center"/>
            <w:hideMark/>
          </w:tcPr>
          <w:p w14:paraId="1AEEC6E5" w14:textId="77777777" w:rsidR="00FC7BD9" w:rsidRDefault="00FC7BD9">
            <w:r>
              <w:t>~1–3 days (estimated)</w:t>
            </w:r>
          </w:p>
        </w:tc>
        <w:tc>
          <w:tcPr>
            <w:tcW w:w="0" w:type="auto"/>
            <w:vAlign w:val="center"/>
            <w:hideMark/>
          </w:tcPr>
          <w:p w14:paraId="5550F43D" w14:textId="77777777" w:rsidR="00FC7BD9" w:rsidRDefault="00FC7BD9">
            <w:r>
              <w:t>hours–days</w:t>
            </w:r>
          </w:p>
        </w:tc>
        <w:tc>
          <w:tcPr>
            <w:tcW w:w="0" w:type="auto"/>
            <w:vAlign w:val="center"/>
            <w:hideMark/>
          </w:tcPr>
          <w:p w14:paraId="1DB6B914" w14:textId="77777777" w:rsidR="00FC7BD9" w:rsidRDefault="00FC7BD9">
            <w:r>
              <w:t>Limited human data; rapid elimination does not preclude toxicity</w:t>
            </w:r>
          </w:p>
        </w:tc>
      </w:tr>
    </w:tbl>
    <w:p w14:paraId="0A8B2534" w14:textId="77777777" w:rsidR="00FC7BD9" w:rsidRDefault="00FC7BD9" w:rsidP="00FC7BD9">
      <w:pPr>
        <w:pStyle w:val="NormalWeb"/>
      </w:pPr>
      <w:r>
        <w:t>Humans eliminate PFAS far more slowly than rodents, complicating cross-species risk assessment and dose–response extrapolation.</w:t>
      </w:r>
    </w:p>
    <w:p w14:paraId="171EE40E" w14:textId="77777777" w:rsidR="00FC7BD9" w:rsidRDefault="00F573BC" w:rsidP="00FC7BD9">
      <w:r w:rsidRPr="00F573BC">
        <w:rPr>
          <w:noProof/>
          <w14:ligatures w14:val="standardContextual"/>
        </w:rPr>
        <w:pict w14:anchorId="2E2F0109">
          <v:rect id="_x0000_i1044" alt="" style="width:468pt;height:.05pt;mso-width-percent:0;mso-height-percent:0;mso-width-percent:0;mso-height-percent:0" o:hralign="center" o:hrstd="t" o:hr="t" fillcolor="#a0a0a0" stroked="f"/>
        </w:pict>
      </w:r>
    </w:p>
    <w:p w14:paraId="171FAE5A" w14:textId="77777777" w:rsidR="00FC7BD9" w:rsidRDefault="00FC7BD9" w:rsidP="00FC7BD9">
      <w:pPr>
        <w:pStyle w:val="Heading2"/>
      </w:pPr>
      <w:r>
        <w:rPr>
          <w:rStyle w:val="Strong"/>
          <w:b w:val="0"/>
          <w:bCs w:val="0"/>
        </w:rPr>
        <w:t>3. System-Specific Health Impacts</w:t>
      </w:r>
    </w:p>
    <w:p w14:paraId="35706E30" w14:textId="77777777" w:rsidR="00FC7BD9" w:rsidRDefault="00FC7BD9" w:rsidP="00FC7BD9">
      <w:pPr>
        <w:pStyle w:val="NormalWeb"/>
      </w:pPr>
      <w:r>
        <w:t>Evidence categories are aligned with major regulatory bodies (EPA, IARC, EFSA):</w:t>
      </w:r>
    </w:p>
    <w:p w14:paraId="354009D2" w14:textId="77777777" w:rsidR="00FC7BD9" w:rsidRDefault="00FC7BD9" w:rsidP="00FC7BD9">
      <w:pPr>
        <w:pStyle w:val="NormalWeb"/>
        <w:numPr>
          <w:ilvl w:val="0"/>
          <w:numId w:val="38"/>
        </w:numPr>
      </w:pPr>
      <w:r>
        <w:rPr>
          <w:rStyle w:val="Strong"/>
          <w:rFonts w:eastAsiaTheme="majorEastAsia"/>
        </w:rPr>
        <w:lastRenderedPageBreak/>
        <w:t>Sufficient evidence</w:t>
      </w:r>
      <w:r>
        <w:t>: consistent findings across high-quality epidemiologic and animal studies</w:t>
      </w:r>
    </w:p>
    <w:p w14:paraId="74C583B8" w14:textId="77777777" w:rsidR="00FC7BD9" w:rsidRDefault="00FC7BD9" w:rsidP="00FC7BD9">
      <w:pPr>
        <w:pStyle w:val="NormalWeb"/>
        <w:numPr>
          <w:ilvl w:val="0"/>
          <w:numId w:val="38"/>
        </w:numPr>
      </w:pPr>
      <w:r>
        <w:rPr>
          <w:rStyle w:val="Strong"/>
          <w:rFonts w:eastAsiaTheme="majorEastAsia"/>
        </w:rPr>
        <w:t>Limited/suggestive evidence</w:t>
      </w:r>
      <w:r>
        <w:t>: some positive associations, but uncertainties remain</w:t>
      </w:r>
    </w:p>
    <w:p w14:paraId="585B2028" w14:textId="77777777" w:rsidR="00FC7BD9" w:rsidRDefault="00FC7BD9" w:rsidP="00FC7BD9">
      <w:pPr>
        <w:pStyle w:val="NormalWeb"/>
        <w:numPr>
          <w:ilvl w:val="0"/>
          <w:numId w:val="38"/>
        </w:numPr>
      </w:pPr>
      <w:r>
        <w:rPr>
          <w:rStyle w:val="Strong"/>
          <w:rFonts w:eastAsiaTheme="majorEastAsia"/>
        </w:rPr>
        <w:t>Inadequate evidence</w:t>
      </w:r>
      <w:r>
        <w:t>: inconsistent, sparse, or non-generalizable data</w:t>
      </w:r>
    </w:p>
    <w:p w14:paraId="3AED712E" w14:textId="77777777" w:rsidR="00FC7BD9" w:rsidRDefault="00F573BC" w:rsidP="00FC7BD9">
      <w:r w:rsidRPr="00F573BC">
        <w:rPr>
          <w:noProof/>
          <w14:ligatures w14:val="standardContextual"/>
        </w:rPr>
        <w:pict w14:anchorId="4005E254">
          <v:rect id="_x0000_i1043" alt="" style="width:468pt;height:.05pt;mso-width-percent:0;mso-height-percent:0;mso-width-percent:0;mso-height-percent:0" o:hralign="center" o:hrstd="t" o:hr="t" fillcolor="#a0a0a0" stroked="f"/>
        </w:pict>
      </w:r>
    </w:p>
    <w:p w14:paraId="421BB299" w14:textId="77777777" w:rsidR="00FC7BD9" w:rsidRDefault="00FC7BD9" w:rsidP="00FC7BD9">
      <w:pPr>
        <w:pStyle w:val="Heading3"/>
      </w:pPr>
      <w:r>
        <w:rPr>
          <w:rStyle w:val="Strong"/>
          <w:b w:val="0"/>
          <w:bCs w:val="0"/>
        </w:rPr>
        <w:t>3.1 Immunotoxicity</w:t>
      </w:r>
    </w:p>
    <w:p w14:paraId="3B9F7CF6" w14:textId="77777777" w:rsidR="00FC7BD9" w:rsidRDefault="00FC7BD9" w:rsidP="00FC7BD9">
      <w:pPr>
        <w:pStyle w:val="NormalWeb"/>
      </w:pPr>
      <w:r>
        <w:t>PFASs—particularly PFOA and PFOS—are well-documented immunotoxicants.</w:t>
      </w:r>
    </w:p>
    <w:p w14:paraId="7089B9FD" w14:textId="77777777" w:rsidR="00FC7BD9" w:rsidRDefault="00FC7BD9" w:rsidP="00FC7BD9">
      <w:pPr>
        <w:pStyle w:val="Heading4"/>
      </w:pPr>
      <w:r>
        <w:rPr>
          <w:rStyle w:val="Strong"/>
          <w:b w:val="0"/>
          <w:bCs w:val="0"/>
        </w:rPr>
        <w:t>Human Epidemiologic Evidence</w:t>
      </w:r>
    </w:p>
    <w:p w14:paraId="6EB109D5" w14:textId="77777777" w:rsidR="00FC7BD9" w:rsidRDefault="00FC7BD9" w:rsidP="00FC7BD9">
      <w:pPr>
        <w:pStyle w:val="NormalWeb"/>
        <w:numPr>
          <w:ilvl w:val="0"/>
          <w:numId w:val="39"/>
        </w:numPr>
      </w:pPr>
      <w:r>
        <w:t xml:space="preserve">Reduced </w:t>
      </w:r>
      <w:r>
        <w:rPr>
          <w:rStyle w:val="Strong"/>
          <w:rFonts w:eastAsiaTheme="majorEastAsia"/>
        </w:rPr>
        <w:t>antibody responses to routine vaccinations</w:t>
      </w:r>
      <w:r>
        <w:t xml:space="preserve"> (e.g., tetanus, diphtheria) observed in children in birth cohort studies.</w:t>
      </w:r>
    </w:p>
    <w:p w14:paraId="18D31203" w14:textId="77777777" w:rsidR="00FC7BD9" w:rsidRDefault="00FC7BD9" w:rsidP="00FC7BD9">
      <w:pPr>
        <w:pStyle w:val="NormalWeb"/>
        <w:numPr>
          <w:ilvl w:val="0"/>
          <w:numId w:val="39"/>
        </w:numPr>
      </w:pPr>
      <w:r>
        <w:t>Associations between PFAS exposure and increased risk of infections, lower vaccine titers, and potentially altered immune cell profiles.</w:t>
      </w:r>
    </w:p>
    <w:p w14:paraId="7466CAA3" w14:textId="77777777" w:rsidR="00FC7BD9" w:rsidRDefault="00FC7BD9" w:rsidP="00FC7BD9">
      <w:pPr>
        <w:pStyle w:val="Heading4"/>
      </w:pPr>
      <w:r>
        <w:rPr>
          <w:rStyle w:val="Strong"/>
          <w:b w:val="0"/>
          <w:bCs w:val="0"/>
        </w:rPr>
        <w:t>Animal Toxicology</w:t>
      </w:r>
    </w:p>
    <w:p w14:paraId="2678CF58" w14:textId="77777777" w:rsidR="00FC7BD9" w:rsidRDefault="00FC7BD9" w:rsidP="00FC7BD9">
      <w:pPr>
        <w:pStyle w:val="NormalWeb"/>
        <w:numPr>
          <w:ilvl w:val="0"/>
          <w:numId w:val="40"/>
        </w:numPr>
      </w:pPr>
      <w:r>
        <w:t>Rodents exhibit suppressed T-cell–dependent antibody responses, thymic atrophy, and cytokine dysregulation following PFAS exposure.</w:t>
      </w:r>
    </w:p>
    <w:p w14:paraId="03B72DD3" w14:textId="77777777" w:rsidR="00FC7BD9" w:rsidRDefault="00FC7BD9" w:rsidP="00FC7BD9">
      <w:pPr>
        <w:pStyle w:val="Heading4"/>
      </w:pPr>
      <w:r>
        <w:rPr>
          <w:rStyle w:val="Strong"/>
          <w:b w:val="0"/>
          <w:bCs w:val="0"/>
        </w:rPr>
        <w:t>Strength of Evidence</w:t>
      </w:r>
    </w:p>
    <w:p w14:paraId="2565BCBD" w14:textId="77777777" w:rsidR="00FC7BD9" w:rsidRDefault="00FC7BD9" w:rsidP="00FC7BD9">
      <w:pPr>
        <w:pStyle w:val="NormalWeb"/>
        <w:numPr>
          <w:ilvl w:val="0"/>
          <w:numId w:val="41"/>
        </w:numPr>
      </w:pPr>
      <w:r>
        <w:rPr>
          <w:rStyle w:val="Strong"/>
          <w:rFonts w:eastAsiaTheme="majorEastAsia"/>
        </w:rPr>
        <w:t>Sufficient evidence</w:t>
      </w:r>
      <w:r>
        <w:t xml:space="preserve"> (EPA, EFSA) for PFOA and PFOS immunotoxicity.</w:t>
      </w:r>
    </w:p>
    <w:p w14:paraId="4B066445" w14:textId="77777777" w:rsidR="00FC7BD9" w:rsidRDefault="00FC7BD9" w:rsidP="00FC7BD9">
      <w:pPr>
        <w:pStyle w:val="NormalWeb"/>
        <w:numPr>
          <w:ilvl w:val="0"/>
          <w:numId w:val="41"/>
        </w:numPr>
      </w:pPr>
      <w:r>
        <w:rPr>
          <w:rStyle w:val="Strong"/>
          <w:rFonts w:eastAsiaTheme="majorEastAsia"/>
        </w:rPr>
        <w:t>Limited evidence</w:t>
      </w:r>
      <w:r>
        <w:t xml:space="preserve"> for short-chain PFAS and replacements due to sparse data.</w:t>
      </w:r>
    </w:p>
    <w:p w14:paraId="4F417B17" w14:textId="77777777" w:rsidR="00FC7BD9" w:rsidRDefault="00F573BC" w:rsidP="00FC7BD9">
      <w:r w:rsidRPr="00F573BC">
        <w:rPr>
          <w:noProof/>
          <w14:ligatures w14:val="standardContextual"/>
        </w:rPr>
        <w:pict w14:anchorId="6B9BB11F">
          <v:rect id="_x0000_i1042" alt="" style="width:468pt;height:.05pt;mso-width-percent:0;mso-height-percent:0;mso-width-percent:0;mso-height-percent:0" o:hralign="center" o:hrstd="t" o:hr="t" fillcolor="#a0a0a0" stroked="f"/>
        </w:pict>
      </w:r>
    </w:p>
    <w:p w14:paraId="1E1BFAE6" w14:textId="77777777" w:rsidR="00FC7BD9" w:rsidRDefault="00FC7BD9" w:rsidP="00FC7BD9">
      <w:pPr>
        <w:pStyle w:val="Heading3"/>
      </w:pPr>
      <w:r>
        <w:rPr>
          <w:rStyle w:val="Strong"/>
          <w:b w:val="0"/>
          <w:bCs w:val="0"/>
        </w:rPr>
        <w:t>3.2 Carcinogenicity</w:t>
      </w:r>
    </w:p>
    <w:p w14:paraId="3274FF5B" w14:textId="77777777" w:rsidR="00FC7BD9" w:rsidRDefault="00FC7BD9" w:rsidP="00FC7BD9">
      <w:pPr>
        <w:pStyle w:val="Heading4"/>
      </w:pPr>
      <w:r>
        <w:rPr>
          <w:rStyle w:val="Strong"/>
          <w:b w:val="0"/>
          <w:bCs w:val="0"/>
        </w:rPr>
        <w:t>Human Evidence</w:t>
      </w:r>
    </w:p>
    <w:p w14:paraId="4D750992" w14:textId="77777777" w:rsidR="00FC7BD9" w:rsidRDefault="00FC7BD9" w:rsidP="00FC7BD9">
      <w:pPr>
        <w:pStyle w:val="NormalWeb"/>
      </w:pPr>
      <w:r>
        <w:t>The strongest associations occur with:</w:t>
      </w:r>
    </w:p>
    <w:p w14:paraId="1DFCF2C5" w14:textId="77777777" w:rsidR="00FC7BD9" w:rsidRDefault="00FC7BD9" w:rsidP="00FC7BD9">
      <w:pPr>
        <w:pStyle w:val="NormalWeb"/>
        <w:numPr>
          <w:ilvl w:val="0"/>
          <w:numId w:val="42"/>
        </w:numPr>
      </w:pPr>
      <w:r>
        <w:rPr>
          <w:rStyle w:val="Strong"/>
          <w:rFonts w:eastAsiaTheme="majorEastAsia"/>
        </w:rPr>
        <w:t>Kidney cancer</w:t>
      </w:r>
      <w:r>
        <w:t>: consistent elevated risks observed in occupational cohorts and highly exposed communities.</w:t>
      </w:r>
    </w:p>
    <w:p w14:paraId="0BFA230C" w14:textId="77777777" w:rsidR="00FC7BD9" w:rsidRDefault="00FC7BD9" w:rsidP="00FC7BD9">
      <w:pPr>
        <w:pStyle w:val="NormalWeb"/>
        <w:numPr>
          <w:ilvl w:val="0"/>
          <w:numId w:val="42"/>
        </w:numPr>
      </w:pPr>
      <w:r>
        <w:rPr>
          <w:rStyle w:val="Strong"/>
          <w:rFonts w:eastAsiaTheme="majorEastAsia"/>
        </w:rPr>
        <w:t>Testicular cancer</w:t>
      </w:r>
      <w:r>
        <w:t>: positive associations with PFOA in large epidemiologic datasets.</w:t>
      </w:r>
    </w:p>
    <w:p w14:paraId="161F2EAC" w14:textId="77777777" w:rsidR="00FC7BD9" w:rsidRDefault="00FC7BD9" w:rsidP="00FC7BD9">
      <w:pPr>
        <w:pStyle w:val="NormalWeb"/>
      </w:pPr>
      <w:r>
        <w:rPr>
          <w:rStyle w:val="Strong"/>
          <w:rFonts w:eastAsiaTheme="majorEastAsia"/>
        </w:rPr>
        <w:t>IARC Classification:</w:t>
      </w:r>
    </w:p>
    <w:p w14:paraId="454E2F83" w14:textId="77777777" w:rsidR="00FC7BD9" w:rsidRDefault="00FC7BD9" w:rsidP="00FC7BD9">
      <w:pPr>
        <w:pStyle w:val="NormalWeb"/>
        <w:numPr>
          <w:ilvl w:val="0"/>
          <w:numId w:val="43"/>
        </w:numPr>
      </w:pPr>
      <w:r>
        <w:rPr>
          <w:rStyle w:val="Strong"/>
          <w:rFonts w:eastAsiaTheme="majorEastAsia"/>
        </w:rPr>
        <w:t>PFOA = Group 2B (possibly carcinogenic to humans)</w:t>
      </w:r>
      <w:r>
        <w:t>.</w:t>
      </w:r>
    </w:p>
    <w:p w14:paraId="638182D0" w14:textId="77777777" w:rsidR="00FC7BD9" w:rsidRDefault="00FC7BD9" w:rsidP="00FC7BD9">
      <w:pPr>
        <w:pStyle w:val="Heading4"/>
      </w:pPr>
      <w:r>
        <w:rPr>
          <w:rStyle w:val="Strong"/>
          <w:b w:val="0"/>
          <w:bCs w:val="0"/>
        </w:rPr>
        <w:lastRenderedPageBreak/>
        <w:t>Animal Evidence</w:t>
      </w:r>
    </w:p>
    <w:p w14:paraId="7A8457AD" w14:textId="77777777" w:rsidR="00FC7BD9" w:rsidRDefault="00FC7BD9" w:rsidP="00FC7BD9">
      <w:pPr>
        <w:pStyle w:val="NormalWeb"/>
      </w:pPr>
      <w:r>
        <w:t>Rodent studies show increased incidence of liver, pancreatic, and testicular tumors, often mediated through PPAR-α activation.</w:t>
      </w:r>
    </w:p>
    <w:p w14:paraId="42247A30" w14:textId="77777777" w:rsidR="00FC7BD9" w:rsidRDefault="00FC7BD9" w:rsidP="00FC7BD9">
      <w:pPr>
        <w:pStyle w:val="Heading4"/>
      </w:pPr>
      <w:r>
        <w:rPr>
          <w:rStyle w:val="Strong"/>
          <w:b w:val="0"/>
          <w:bCs w:val="0"/>
        </w:rPr>
        <w:t>Strength of Evidence</w:t>
      </w:r>
    </w:p>
    <w:p w14:paraId="0C706479" w14:textId="77777777" w:rsidR="00FC7BD9" w:rsidRDefault="00FC7BD9" w:rsidP="00FC7BD9">
      <w:pPr>
        <w:pStyle w:val="NormalWeb"/>
        <w:numPr>
          <w:ilvl w:val="0"/>
          <w:numId w:val="44"/>
        </w:numPr>
      </w:pPr>
      <w:r>
        <w:rPr>
          <w:rStyle w:val="Strong"/>
          <w:rFonts w:eastAsiaTheme="majorEastAsia"/>
        </w:rPr>
        <w:t>Sufficient evidence</w:t>
      </w:r>
      <w:r>
        <w:t xml:space="preserve"> in animals and </w:t>
      </w:r>
      <w:r>
        <w:rPr>
          <w:rStyle w:val="Strong"/>
          <w:rFonts w:eastAsiaTheme="majorEastAsia"/>
        </w:rPr>
        <w:t>limited evidence</w:t>
      </w:r>
      <w:r>
        <w:t xml:space="preserve"> in humans for carcinogenicity of long-chain PFAS.</w:t>
      </w:r>
    </w:p>
    <w:p w14:paraId="4ECB320D" w14:textId="77777777" w:rsidR="00FC7BD9" w:rsidRDefault="00FC7BD9" w:rsidP="00FC7BD9">
      <w:pPr>
        <w:pStyle w:val="NormalWeb"/>
        <w:numPr>
          <w:ilvl w:val="0"/>
          <w:numId w:val="44"/>
        </w:numPr>
      </w:pPr>
      <w:r>
        <w:rPr>
          <w:rStyle w:val="Strong"/>
          <w:rFonts w:eastAsiaTheme="majorEastAsia"/>
        </w:rPr>
        <w:t>Inadequate evidence</w:t>
      </w:r>
      <w:r>
        <w:t xml:space="preserve"> for GenX and others due to insufficient long-term studies.</w:t>
      </w:r>
    </w:p>
    <w:p w14:paraId="644BEA1F" w14:textId="77777777" w:rsidR="00FC7BD9" w:rsidRDefault="00F573BC" w:rsidP="00FC7BD9">
      <w:r w:rsidRPr="00F573BC">
        <w:rPr>
          <w:noProof/>
          <w14:ligatures w14:val="standardContextual"/>
        </w:rPr>
        <w:pict w14:anchorId="76EA8C57">
          <v:rect id="_x0000_i1041" alt="" style="width:468pt;height:.05pt;mso-width-percent:0;mso-height-percent:0;mso-width-percent:0;mso-height-percent:0" o:hralign="center" o:hrstd="t" o:hr="t" fillcolor="#a0a0a0" stroked="f"/>
        </w:pict>
      </w:r>
    </w:p>
    <w:p w14:paraId="4F619974" w14:textId="77777777" w:rsidR="00FC7BD9" w:rsidRDefault="00FC7BD9" w:rsidP="00FC7BD9">
      <w:pPr>
        <w:pStyle w:val="Heading3"/>
      </w:pPr>
      <w:r>
        <w:rPr>
          <w:rStyle w:val="Strong"/>
          <w:b w:val="0"/>
          <w:bCs w:val="0"/>
        </w:rPr>
        <w:t>3.3 Developmental &amp; Reproductive Toxicity</w:t>
      </w:r>
    </w:p>
    <w:p w14:paraId="6E48CA15" w14:textId="77777777" w:rsidR="00FC7BD9" w:rsidRDefault="00FC7BD9" w:rsidP="00FC7BD9">
      <w:pPr>
        <w:pStyle w:val="Heading4"/>
      </w:pPr>
      <w:r>
        <w:rPr>
          <w:rStyle w:val="Strong"/>
          <w:b w:val="0"/>
          <w:bCs w:val="0"/>
        </w:rPr>
        <w:t>Human Evidence</w:t>
      </w:r>
    </w:p>
    <w:p w14:paraId="797D8AC0" w14:textId="77777777" w:rsidR="00FC7BD9" w:rsidRDefault="00FC7BD9" w:rsidP="00FC7BD9">
      <w:pPr>
        <w:pStyle w:val="NormalWeb"/>
      </w:pPr>
      <w:r>
        <w:t>Associations include:</w:t>
      </w:r>
    </w:p>
    <w:p w14:paraId="6040E328" w14:textId="77777777" w:rsidR="00FC7BD9" w:rsidRDefault="00FC7BD9" w:rsidP="00FC7BD9">
      <w:pPr>
        <w:pStyle w:val="NormalWeb"/>
        <w:numPr>
          <w:ilvl w:val="0"/>
          <w:numId w:val="45"/>
        </w:numPr>
      </w:pPr>
      <w:r>
        <w:rPr>
          <w:rStyle w:val="Strong"/>
          <w:rFonts w:eastAsiaTheme="majorEastAsia"/>
        </w:rPr>
        <w:t>Low birth weight</w:t>
      </w:r>
      <w:r>
        <w:t xml:space="preserve"> (consistent inverse relationship with maternal serum PFAS levels).</w:t>
      </w:r>
    </w:p>
    <w:p w14:paraId="345755AA" w14:textId="77777777" w:rsidR="00FC7BD9" w:rsidRDefault="00FC7BD9" w:rsidP="00FC7BD9">
      <w:pPr>
        <w:pStyle w:val="NormalWeb"/>
        <w:numPr>
          <w:ilvl w:val="0"/>
          <w:numId w:val="45"/>
        </w:numPr>
      </w:pPr>
      <w:r>
        <w:rPr>
          <w:rStyle w:val="Strong"/>
          <w:rFonts w:eastAsiaTheme="majorEastAsia"/>
        </w:rPr>
        <w:t>Pregnancy-induced hypertension and pre-eclampsia</w:t>
      </w:r>
      <w:r>
        <w:t>, particularly with PFOA exposure.</w:t>
      </w:r>
    </w:p>
    <w:p w14:paraId="157E3653" w14:textId="77777777" w:rsidR="00FC7BD9" w:rsidRDefault="00FC7BD9" w:rsidP="00FC7BD9">
      <w:pPr>
        <w:pStyle w:val="NormalWeb"/>
        <w:numPr>
          <w:ilvl w:val="0"/>
          <w:numId w:val="45"/>
        </w:numPr>
      </w:pPr>
      <w:r>
        <w:t xml:space="preserve">Potential effects on </w:t>
      </w:r>
      <w:r>
        <w:rPr>
          <w:rStyle w:val="Strong"/>
          <w:rFonts w:eastAsiaTheme="majorEastAsia"/>
        </w:rPr>
        <w:t>fecundity</w:t>
      </w:r>
      <w:r>
        <w:t>, including longer time to pregnancy and altered sex hormone levels.</w:t>
      </w:r>
    </w:p>
    <w:p w14:paraId="25F6C048" w14:textId="77777777" w:rsidR="00FC7BD9" w:rsidRDefault="00FC7BD9" w:rsidP="00FC7BD9">
      <w:pPr>
        <w:pStyle w:val="Heading4"/>
      </w:pPr>
      <w:r>
        <w:rPr>
          <w:rStyle w:val="Strong"/>
          <w:b w:val="0"/>
          <w:bCs w:val="0"/>
        </w:rPr>
        <w:t>Animal Evidence</w:t>
      </w:r>
    </w:p>
    <w:p w14:paraId="063B517E" w14:textId="77777777" w:rsidR="00FC7BD9" w:rsidRDefault="00FC7BD9" w:rsidP="00FC7BD9">
      <w:pPr>
        <w:pStyle w:val="NormalWeb"/>
      </w:pPr>
      <w:r>
        <w:t>Common findings include:</w:t>
      </w:r>
    </w:p>
    <w:p w14:paraId="2CB1FF41" w14:textId="77777777" w:rsidR="00FC7BD9" w:rsidRDefault="00FC7BD9" w:rsidP="00FC7BD9">
      <w:pPr>
        <w:pStyle w:val="NormalWeb"/>
        <w:numPr>
          <w:ilvl w:val="0"/>
          <w:numId w:val="46"/>
        </w:numPr>
      </w:pPr>
      <w:r>
        <w:t>Reduced fetal growth</w:t>
      </w:r>
    </w:p>
    <w:p w14:paraId="439A2818" w14:textId="77777777" w:rsidR="00FC7BD9" w:rsidRDefault="00FC7BD9" w:rsidP="00FC7BD9">
      <w:pPr>
        <w:pStyle w:val="NormalWeb"/>
        <w:numPr>
          <w:ilvl w:val="0"/>
          <w:numId w:val="46"/>
        </w:numPr>
      </w:pPr>
      <w:r>
        <w:t>Neonatal mortality</w:t>
      </w:r>
    </w:p>
    <w:p w14:paraId="0C010580" w14:textId="77777777" w:rsidR="00FC7BD9" w:rsidRDefault="00FC7BD9" w:rsidP="00FC7BD9">
      <w:pPr>
        <w:pStyle w:val="NormalWeb"/>
        <w:numPr>
          <w:ilvl w:val="0"/>
          <w:numId w:val="46"/>
        </w:numPr>
      </w:pPr>
      <w:r>
        <w:t>Delayed developmental milestones</w:t>
      </w:r>
    </w:p>
    <w:p w14:paraId="1E3CBEBE" w14:textId="77777777" w:rsidR="00FC7BD9" w:rsidRDefault="00FC7BD9" w:rsidP="00FC7BD9">
      <w:pPr>
        <w:pStyle w:val="NormalWeb"/>
        <w:numPr>
          <w:ilvl w:val="0"/>
          <w:numId w:val="46"/>
        </w:numPr>
      </w:pPr>
      <w:r>
        <w:t>Altered estrous cyclicity and sperm quality</w:t>
      </w:r>
    </w:p>
    <w:p w14:paraId="1B6E3E31" w14:textId="77777777" w:rsidR="00FC7BD9" w:rsidRDefault="00FC7BD9" w:rsidP="00FC7BD9">
      <w:pPr>
        <w:pStyle w:val="Heading4"/>
      </w:pPr>
      <w:r>
        <w:rPr>
          <w:rStyle w:val="Strong"/>
          <w:b w:val="0"/>
          <w:bCs w:val="0"/>
        </w:rPr>
        <w:t>Strength of Evidence</w:t>
      </w:r>
    </w:p>
    <w:p w14:paraId="6F5495FF" w14:textId="77777777" w:rsidR="00FC7BD9" w:rsidRDefault="00FC7BD9" w:rsidP="00FC7BD9">
      <w:pPr>
        <w:pStyle w:val="NormalWeb"/>
        <w:numPr>
          <w:ilvl w:val="0"/>
          <w:numId w:val="47"/>
        </w:numPr>
      </w:pPr>
      <w:r>
        <w:rPr>
          <w:rStyle w:val="Strong"/>
          <w:rFonts w:eastAsiaTheme="majorEastAsia"/>
        </w:rPr>
        <w:t>Sufficient evidence</w:t>
      </w:r>
      <w:r>
        <w:t xml:space="preserve"> for developmental toxicity of PFOA/PFOS.</w:t>
      </w:r>
    </w:p>
    <w:p w14:paraId="1B0B3A52" w14:textId="77777777" w:rsidR="00FC7BD9" w:rsidRDefault="00FC7BD9" w:rsidP="00FC7BD9">
      <w:pPr>
        <w:pStyle w:val="NormalWeb"/>
        <w:numPr>
          <w:ilvl w:val="0"/>
          <w:numId w:val="47"/>
        </w:numPr>
      </w:pPr>
      <w:r>
        <w:rPr>
          <w:rStyle w:val="Strong"/>
          <w:rFonts w:eastAsiaTheme="majorEastAsia"/>
        </w:rPr>
        <w:t>Limited evidence</w:t>
      </w:r>
      <w:r>
        <w:t xml:space="preserve"> for reproductive toxicity in humans.</w:t>
      </w:r>
    </w:p>
    <w:p w14:paraId="18C917CF" w14:textId="77777777" w:rsidR="00FC7BD9" w:rsidRDefault="00FC7BD9" w:rsidP="00FC7BD9">
      <w:pPr>
        <w:pStyle w:val="NormalWeb"/>
        <w:numPr>
          <w:ilvl w:val="0"/>
          <w:numId w:val="47"/>
        </w:numPr>
      </w:pPr>
      <w:r>
        <w:rPr>
          <w:rStyle w:val="Strong"/>
          <w:rFonts w:eastAsiaTheme="majorEastAsia"/>
        </w:rPr>
        <w:t>Inadequate evidence</w:t>
      </w:r>
      <w:r>
        <w:t xml:space="preserve"> for most replacement PFAS.</w:t>
      </w:r>
    </w:p>
    <w:p w14:paraId="75A326A1" w14:textId="77777777" w:rsidR="00FC7BD9" w:rsidRDefault="00F573BC" w:rsidP="00FC7BD9">
      <w:r w:rsidRPr="00F573BC">
        <w:rPr>
          <w:noProof/>
          <w14:ligatures w14:val="standardContextual"/>
        </w:rPr>
        <w:pict w14:anchorId="59AB4199">
          <v:rect id="_x0000_i1040" alt="" style="width:468pt;height:.05pt;mso-width-percent:0;mso-height-percent:0;mso-width-percent:0;mso-height-percent:0" o:hralign="center" o:hrstd="t" o:hr="t" fillcolor="#a0a0a0" stroked="f"/>
        </w:pict>
      </w:r>
    </w:p>
    <w:p w14:paraId="0F0DE4CE" w14:textId="77777777" w:rsidR="00FC7BD9" w:rsidRDefault="00FC7BD9" w:rsidP="00FC7BD9">
      <w:pPr>
        <w:pStyle w:val="Heading3"/>
      </w:pPr>
      <w:r>
        <w:rPr>
          <w:rStyle w:val="Strong"/>
          <w:b w:val="0"/>
          <w:bCs w:val="0"/>
        </w:rPr>
        <w:t>3.4 Metabolic &amp; Endocrine Disruption</w:t>
      </w:r>
    </w:p>
    <w:p w14:paraId="230F5F1F" w14:textId="77777777" w:rsidR="00FC7BD9" w:rsidRDefault="00FC7BD9" w:rsidP="00FC7BD9">
      <w:pPr>
        <w:pStyle w:val="Heading4"/>
      </w:pPr>
      <w:r>
        <w:rPr>
          <w:rStyle w:val="Strong"/>
          <w:b w:val="0"/>
          <w:bCs w:val="0"/>
        </w:rPr>
        <w:t>Lipid Metabolism</w:t>
      </w:r>
    </w:p>
    <w:p w14:paraId="1FC0E927" w14:textId="77777777" w:rsidR="00FC7BD9" w:rsidRDefault="00FC7BD9" w:rsidP="00FC7BD9">
      <w:pPr>
        <w:pStyle w:val="NormalWeb"/>
        <w:numPr>
          <w:ilvl w:val="0"/>
          <w:numId w:val="48"/>
        </w:numPr>
      </w:pPr>
      <w:r>
        <w:t xml:space="preserve">Strong, reproducible associations between </w:t>
      </w:r>
      <w:r>
        <w:rPr>
          <w:rStyle w:val="Strong"/>
          <w:rFonts w:eastAsiaTheme="majorEastAsia"/>
        </w:rPr>
        <w:t>PFAS exposure and elevated serum cholesterol</w:t>
      </w:r>
      <w:r>
        <w:t>, especially LDL.</w:t>
      </w:r>
    </w:p>
    <w:p w14:paraId="46BD3C2F" w14:textId="77777777" w:rsidR="00FC7BD9" w:rsidRDefault="00FC7BD9" w:rsidP="00FC7BD9">
      <w:pPr>
        <w:pStyle w:val="NormalWeb"/>
        <w:numPr>
          <w:ilvl w:val="0"/>
          <w:numId w:val="48"/>
        </w:numPr>
      </w:pPr>
      <w:r>
        <w:lastRenderedPageBreak/>
        <w:t>Observed across multiple populations, including general population cohorts.</w:t>
      </w:r>
    </w:p>
    <w:p w14:paraId="64BAA7B2" w14:textId="77777777" w:rsidR="00FC7BD9" w:rsidRDefault="00FC7BD9" w:rsidP="00FC7BD9">
      <w:pPr>
        <w:pStyle w:val="Heading4"/>
      </w:pPr>
      <w:r>
        <w:rPr>
          <w:rStyle w:val="Strong"/>
          <w:b w:val="0"/>
          <w:bCs w:val="0"/>
        </w:rPr>
        <w:t>Thyroid Dysfunction</w:t>
      </w:r>
    </w:p>
    <w:p w14:paraId="67C04296" w14:textId="77777777" w:rsidR="00FC7BD9" w:rsidRDefault="00FC7BD9" w:rsidP="00FC7BD9">
      <w:pPr>
        <w:pStyle w:val="NormalWeb"/>
        <w:numPr>
          <w:ilvl w:val="0"/>
          <w:numId w:val="49"/>
        </w:numPr>
      </w:pPr>
      <w:r>
        <w:t>Mixed evidence linking PFAS to altered thyroid hormone levels and increased odds of hypothyroidism, especially among women and pregnant individuals.</w:t>
      </w:r>
    </w:p>
    <w:p w14:paraId="55C7560C" w14:textId="77777777" w:rsidR="00FC7BD9" w:rsidRDefault="00FC7BD9" w:rsidP="00FC7BD9">
      <w:pPr>
        <w:pStyle w:val="Heading4"/>
      </w:pPr>
      <w:r>
        <w:rPr>
          <w:rStyle w:val="Strong"/>
          <w:b w:val="0"/>
          <w:bCs w:val="0"/>
        </w:rPr>
        <w:t>Liver Function</w:t>
      </w:r>
    </w:p>
    <w:p w14:paraId="5B3CF73B" w14:textId="77777777" w:rsidR="00FC7BD9" w:rsidRDefault="00FC7BD9" w:rsidP="00FC7BD9">
      <w:pPr>
        <w:pStyle w:val="NormalWeb"/>
        <w:numPr>
          <w:ilvl w:val="0"/>
          <w:numId w:val="50"/>
        </w:numPr>
      </w:pPr>
      <w:r>
        <w:t xml:space="preserve">Both human and animal studies show </w:t>
      </w:r>
      <w:r>
        <w:rPr>
          <w:rStyle w:val="Strong"/>
          <w:rFonts w:eastAsiaTheme="majorEastAsia"/>
        </w:rPr>
        <w:t>elevated ALT</w:t>
      </w:r>
      <w:r>
        <w:t xml:space="preserve"> and liver hypertrophy.</w:t>
      </w:r>
    </w:p>
    <w:p w14:paraId="4CE5695A" w14:textId="77777777" w:rsidR="00FC7BD9" w:rsidRDefault="00FC7BD9" w:rsidP="00FC7BD9">
      <w:pPr>
        <w:pStyle w:val="NormalWeb"/>
        <w:numPr>
          <w:ilvl w:val="0"/>
          <w:numId w:val="50"/>
        </w:numPr>
      </w:pPr>
      <w:r>
        <w:t xml:space="preserve">GenX demonstrates </w:t>
      </w:r>
      <w:r>
        <w:rPr>
          <w:rStyle w:val="Strong"/>
          <w:rFonts w:eastAsiaTheme="majorEastAsia"/>
        </w:rPr>
        <w:t>hepatotoxicity in rodents</w:t>
      </w:r>
      <w:r>
        <w:t xml:space="preserve"> at lower doses than some legacy PFAS.</w:t>
      </w:r>
    </w:p>
    <w:p w14:paraId="18077026" w14:textId="77777777" w:rsidR="00FC7BD9" w:rsidRDefault="00FC7BD9" w:rsidP="00FC7BD9">
      <w:pPr>
        <w:pStyle w:val="Heading4"/>
      </w:pPr>
      <w:r>
        <w:rPr>
          <w:rStyle w:val="Strong"/>
          <w:b w:val="0"/>
          <w:bCs w:val="0"/>
        </w:rPr>
        <w:t>Strength of Evidence</w:t>
      </w:r>
    </w:p>
    <w:p w14:paraId="70661C19" w14:textId="77777777" w:rsidR="00FC7BD9" w:rsidRDefault="00FC7BD9" w:rsidP="00FC7BD9">
      <w:pPr>
        <w:pStyle w:val="NormalWeb"/>
        <w:numPr>
          <w:ilvl w:val="0"/>
          <w:numId w:val="51"/>
        </w:numPr>
      </w:pPr>
      <w:r>
        <w:rPr>
          <w:rStyle w:val="Strong"/>
          <w:rFonts w:eastAsiaTheme="majorEastAsia"/>
        </w:rPr>
        <w:t>Sufficient evidence</w:t>
      </w:r>
      <w:r>
        <w:t xml:space="preserve"> for lipid metabolism disruption.</w:t>
      </w:r>
    </w:p>
    <w:p w14:paraId="1850D110" w14:textId="77777777" w:rsidR="00FC7BD9" w:rsidRDefault="00FC7BD9" w:rsidP="00FC7BD9">
      <w:pPr>
        <w:pStyle w:val="NormalWeb"/>
        <w:numPr>
          <w:ilvl w:val="0"/>
          <w:numId w:val="51"/>
        </w:numPr>
      </w:pPr>
      <w:r>
        <w:rPr>
          <w:rStyle w:val="Strong"/>
          <w:rFonts w:eastAsiaTheme="majorEastAsia"/>
        </w:rPr>
        <w:t>Limited/suggestive evidence</w:t>
      </w:r>
      <w:r>
        <w:t xml:space="preserve"> for thyroid disease.</w:t>
      </w:r>
    </w:p>
    <w:p w14:paraId="6F710E87" w14:textId="77777777" w:rsidR="00FC7BD9" w:rsidRDefault="00FC7BD9" w:rsidP="00FC7BD9">
      <w:pPr>
        <w:pStyle w:val="NormalWeb"/>
        <w:numPr>
          <w:ilvl w:val="0"/>
          <w:numId w:val="51"/>
        </w:numPr>
      </w:pPr>
      <w:r>
        <w:rPr>
          <w:rStyle w:val="Strong"/>
          <w:rFonts w:eastAsiaTheme="majorEastAsia"/>
        </w:rPr>
        <w:t>Sufficient (animals) / Limited (humans)</w:t>
      </w:r>
      <w:r>
        <w:t xml:space="preserve"> for hepatotoxicity.</w:t>
      </w:r>
    </w:p>
    <w:p w14:paraId="5F474854" w14:textId="77777777" w:rsidR="00FC7BD9" w:rsidRDefault="00F573BC" w:rsidP="00FC7BD9">
      <w:r w:rsidRPr="00F573BC">
        <w:rPr>
          <w:noProof/>
          <w14:ligatures w14:val="standardContextual"/>
        </w:rPr>
        <w:pict w14:anchorId="4A3A0EE9">
          <v:rect id="_x0000_i1039" alt="" style="width:468pt;height:.05pt;mso-width-percent:0;mso-height-percent:0;mso-width-percent:0;mso-height-percent:0" o:hralign="center" o:hrstd="t" o:hr="t" fillcolor="#a0a0a0" stroked="f"/>
        </w:pict>
      </w:r>
    </w:p>
    <w:p w14:paraId="4CAE9EF3" w14:textId="77777777" w:rsidR="00FC7BD9" w:rsidRDefault="00FC7BD9" w:rsidP="00FC7BD9">
      <w:pPr>
        <w:pStyle w:val="Heading2"/>
      </w:pPr>
      <w:r>
        <w:rPr>
          <w:rStyle w:val="Strong"/>
          <w:b w:val="0"/>
          <w:bCs w:val="0"/>
        </w:rPr>
        <w:t>4. Mechanisms of Action</w:t>
      </w:r>
    </w:p>
    <w:p w14:paraId="6214A159" w14:textId="77777777" w:rsidR="00FC7BD9" w:rsidRDefault="00FC7BD9" w:rsidP="00FC7BD9">
      <w:pPr>
        <w:pStyle w:val="NormalWeb"/>
      </w:pPr>
      <w:r>
        <w:t>Multiple mechanisms likely contribute to PFAS toxicity:</w:t>
      </w:r>
    </w:p>
    <w:p w14:paraId="4C7EC1B3" w14:textId="77777777" w:rsidR="00FC7BD9" w:rsidRDefault="00FC7BD9" w:rsidP="00FC7BD9">
      <w:pPr>
        <w:pStyle w:val="Heading3"/>
      </w:pPr>
      <w:r>
        <w:rPr>
          <w:rStyle w:val="Strong"/>
          <w:b w:val="0"/>
          <w:bCs w:val="0"/>
        </w:rPr>
        <w:t>PPAR-α Activation</w:t>
      </w:r>
    </w:p>
    <w:p w14:paraId="35D9DF39" w14:textId="77777777" w:rsidR="00FC7BD9" w:rsidRDefault="00FC7BD9" w:rsidP="00FC7BD9">
      <w:pPr>
        <w:pStyle w:val="NormalWeb"/>
        <w:numPr>
          <w:ilvl w:val="0"/>
          <w:numId w:val="52"/>
        </w:numPr>
      </w:pPr>
      <w:r>
        <w:t>Key regulator of lipid metabolism.</w:t>
      </w:r>
    </w:p>
    <w:p w14:paraId="02555677" w14:textId="77777777" w:rsidR="00FC7BD9" w:rsidRDefault="00FC7BD9" w:rsidP="00FC7BD9">
      <w:pPr>
        <w:pStyle w:val="NormalWeb"/>
        <w:numPr>
          <w:ilvl w:val="0"/>
          <w:numId w:val="52"/>
        </w:numPr>
      </w:pPr>
      <w:r>
        <w:t>Drives hepatic hypertrophy, altered lipid profiles, and in rodents, tumorigenesis.</w:t>
      </w:r>
    </w:p>
    <w:p w14:paraId="1EE2D505" w14:textId="77777777" w:rsidR="00FC7BD9" w:rsidRDefault="00FC7BD9" w:rsidP="00FC7BD9">
      <w:pPr>
        <w:pStyle w:val="NormalWeb"/>
        <w:numPr>
          <w:ilvl w:val="0"/>
          <w:numId w:val="52"/>
        </w:numPr>
      </w:pPr>
      <w:r>
        <w:t>Humans express PPAR-α but exhibit different sensitivity compared to rodents.</w:t>
      </w:r>
    </w:p>
    <w:p w14:paraId="7F12E6B9" w14:textId="77777777" w:rsidR="00FC7BD9" w:rsidRDefault="00FC7BD9" w:rsidP="00FC7BD9">
      <w:pPr>
        <w:pStyle w:val="Heading3"/>
      </w:pPr>
      <w:r>
        <w:rPr>
          <w:rStyle w:val="Strong"/>
          <w:b w:val="0"/>
          <w:bCs w:val="0"/>
        </w:rPr>
        <w:t>Oxidative Stress</w:t>
      </w:r>
    </w:p>
    <w:p w14:paraId="132A4A1C" w14:textId="77777777" w:rsidR="00FC7BD9" w:rsidRDefault="00FC7BD9" w:rsidP="00FC7BD9">
      <w:pPr>
        <w:pStyle w:val="NormalWeb"/>
        <w:numPr>
          <w:ilvl w:val="0"/>
          <w:numId w:val="53"/>
        </w:numPr>
      </w:pPr>
      <w:r>
        <w:t>PFAS exposure induces ROS, mitochondrial dysfunction, and antioxidant depletion.</w:t>
      </w:r>
    </w:p>
    <w:p w14:paraId="5869D43C" w14:textId="77777777" w:rsidR="00FC7BD9" w:rsidRDefault="00FC7BD9" w:rsidP="00FC7BD9">
      <w:pPr>
        <w:pStyle w:val="Heading3"/>
      </w:pPr>
      <w:r>
        <w:rPr>
          <w:rStyle w:val="Strong"/>
          <w:b w:val="0"/>
          <w:bCs w:val="0"/>
        </w:rPr>
        <w:t>Endocrine Disruption</w:t>
      </w:r>
    </w:p>
    <w:p w14:paraId="6EFFE73F" w14:textId="77777777" w:rsidR="00FC7BD9" w:rsidRDefault="00FC7BD9" w:rsidP="00FC7BD9">
      <w:pPr>
        <w:pStyle w:val="NormalWeb"/>
        <w:numPr>
          <w:ilvl w:val="0"/>
          <w:numId w:val="54"/>
        </w:numPr>
      </w:pPr>
      <w:r>
        <w:t>Interference with thyroid hormone transport proteins.</w:t>
      </w:r>
    </w:p>
    <w:p w14:paraId="6A5759D7" w14:textId="77777777" w:rsidR="00FC7BD9" w:rsidRDefault="00FC7BD9" w:rsidP="00FC7BD9">
      <w:pPr>
        <w:pStyle w:val="NormalWeb"/>
        <w:numPr>
          <w:ilvl w:val="0"/>
          <w:numId w:val="54"/>
        </w:numPr>
      </w:pPr>
      <w:r>
        <w:t>Altered steroidogenesis and reproductive hormone signaling.</w:t>
      </w:r>
    </w:p>
    <w:p w14:paraId="341E73FC" w14:textId="77777777" w:rsidR="00FC7BD9" w:rsidRDefault="00FC7BD9" w:rsidP="00FC7BD9">
      <w:pPr>
        <w:pStyle w:val="Heading3"/>
      </w:pPr>
      <w:r>
        <w:rPr>
          <w:rStyle w:val="Strong"/>
          <w:b w:val="0"/>
          <w:bCs w:val="0"/>
        </w:rPr>
        <w:t>Epigenetic Modifications</w:t>
      </w:r>
    </w:p>
    <w:p w14:paraId="0F544D16" w14:textId="77777777" w:rsidR="00FC7BD9" w:rsidRDefault="00FC7BD9" w:rsidP="00FC7BD9">
      <w:pPr>
        <w:pStyle w:val="NormalWeb"/>
        <w:numPr>
          <w:ilvl w:val="0"/>
          <w:numId w:val="55"/>
        </w:numPr>
      </w:pPr>
      <w:r>
        <w:t>DNA methylation changes observed in umbilical cord blood suggest potential developmental origins of disease.</w:t>
      </w:r>
    </w:p>
    <w:p w14:paraId="301E03DC" w14:textId="77777777" w:rsidR="00FC7BD9" w:rsidRDefault="00FC7BD9" w:rsidP="00FC7BD9">
      <w:pPr>
        <w:pStyle w:val="Heading3"/>
      </w:pPr>
      <w:r>
        <w:rPr>
          <w:rStyle w:val="Strong"/>
          <w:b w:val="0"/>
          <w:bCs w:val="0"/>
        </w:rPr>
        <w:lastRenderedPageBreak/>
        <w:t>Immune Modulation</w:t>
      </w:r>
    </w:p>
    <w:p w14:paraId="0A86D19D" w14:textId="77777777" w:rsidR="00FC7BD9" w:rsidRDefault="00FC7BD9" w:rsidP="00FC7BD9">
      <w:pPr>
        <w:pStyle w:val="NormalWeb"/>
        <w:numPr>
          <w:ilvl w:val="0"/>
          <w:numId w:val="56"/>
        </w:numPr>
      </w:pPr>
      <w:r>
        <w:t>Effects on B-cell maturation, cytokine production, and immunoglobulin synthesis.</w:t>
      </w:r>
    </w:p>
    <w:p w14:paraId="71241A78" w14:textId="77777777" w:rsidR="00FC7BD9" w:rsidRDefault="00F573BC" w:rsidP="00FC7BD9">
      <w:r w:rsidRPr="00F573BC">
        <w:rPr>
          <w:noProof/>
          <w14:ligatures w14:val="standardContextual"/>
        </w:rPr>
        <w:pict w14:anchorId="71DCB23E">
          <v:rect id="_x0000_i1038" alt="" style="width:468pt;height:.05pt;mso-width-percent:0;mso-height-percent:0;mso-width-percent:0;mso-height-percent:0" o:hralign="center" o:hrstd="t" o:hr="t" fillcolor="#a0a0a0" stroked="f"/>
        </w:pict>
      </w:r>
    </w:p>
    <w:p w14:paraId="111874C4" w14:textId="77777777" w:rsidR="00FC7BD9" w:rsidRDefault="00FC7BD9" w:rsidP="00FC7BD9">
      <w:pPr>
        <w:pStyle w:val="Heading2"/>
      </w:pPr>
      <w:r>
        <w:rPr>
          <w:rStyle w:val="Strong"/>
          <w:b w:val="0"/>
          <w:bCs w:val="0"/>
        </w:rPr>
        <w:t>5. The “GenX Problem”: Are Replacements Safer?</w:t>
      </w:r>
    </w:p>
    <w:p w14:paraId="724450C0" w14:textId="77777777" w:rsidR="00FC7BD9" w:rsidRDefault="00FC7BD9" w:rsidP="00FC7BD9">
      <w:pPr>
        <w:pStyle w:val="NormalWeb"/>
      </w:pPr>
      <w:r>
        <w:rPr>
          <w:rStyle w:val="Strong"/>
          <w:rFonts w:eastAsiaTheme="majorEastAsia"/>
        </w:rPr>
        <w:t>GenX (HFPO-DA)</w:t>
      </w:r>
      <w:r>
        <w:t xml:space="preserve"> and other replacements were introduced to reduce persistence and bioaccumulation.</w:t>
      </w:r>
    </w:p>
    <w:p w14:paraId="41DAD5E1" w14:textId="77777777" w:rsidR="00FC7BD9" w:rsidRDefault="00FC7BD9" w:rsidP="00FC7BD9">
      <w:pPr>
        <w:pStyle w:val="Heading3"/>
      </w:pPr>
      <w:r>
        <w:rPr>
          <w:rStyle w:val="Strong"/>
          <w:b w:val="0"/>
          <w:bCs w:val="0"/>
        </w:rPr>
        <w:t>What the evidence shows:</w:t>
      </w:r>
    </w:p>
    <w:p w14:paraId="034BE398" w14:textId="77777777" w:rsidR="00FC7BD9" w:rsidRDefault="00FC7BD9" w:rsidP="00FC7BD9">
      <w:pPr>
        <w:pStyle w:val="NormalWeb"/>
        <w:numPr>
          <w:ilvl w:val="0"/>
          <w:numId w:val="57"/>
        </w:numPr>
      </w:pPr>
      <w:r>
        <w:rPr>
          <w:rStyle w:val="Strong"/>
          <w:rFonts w:eastAsiaTheme="majorEastAsia"/>
        </w:rPr>
        <w:t>High water solubility</w:t>
      </w:r>
      <w:r>
        <w:t xml:space="preserve"> → increased environmental mobility.</w:t>
      </w:r>
    </w:p>
    <w:p w14:paraId="1167034E" w14:textId="77777777" w:rsidR="00FC7BD9" w:rsidRDefault="00FC7BD9" w:rsidP="00FC7BD9">
      <w:pPr>
        <w:pStyle w:val="NormalWeb"/>
        <w:numPr>
          <w:ilvl w:val="0"/>
          <w:numId w:val="57"/>
        </w:numPr>
      </w:pPr>
      <w:r>
        <w:rPr>
          <w:rStyle w:val="Strong"/>
          <w:rFonts w:eastAsiaTheme="majorEastAsia"/>
        </w:rPr>
        <w:t>Shorter human half-life</w:t>
      </w:r>
      <w:r>
        <w:t xml:space="preserve"> but </w:t>
      </w:r>
      <w:r>
        <w:rPr>
          <w:rStyle w:val="Strong"/>
          <w:rFonts w:eastAsiaTheme="majorEastAsia"/>
        </w:rPr>
        <w:t>comparable toxicity</w:t>
      </w:r>
      <w:r>
        <w:t xml:space="preserve"> in animal studies.</w:t>
      </w:r>
    </w:p>
    <w:p w14:paraId="37F68CF3" w14:textId="77777777" w:rsidR="00FC7BD9" w:rsidRDefault="00FC7BD9" w:rsidP="00FC7BD9">
      <w:pPr>
        <w:pStyle w:val="NormalWeb"/>
        <w:numPr>
          <w:ilvl w:val="0"/>
          <w:numId w:val="57"/>
        </w:numPr>
      </w:pPr>
      <w:r>
        <w:t>Hepatotoxicity, kidney effects, and developmental toxicity observed at doses similar to or lower than those for PFOA.</w:t>
      </w:r>
    </w:p>
    <w:p w14:paraId="088A06F2" w14:textId="77777777" w:rsidR="00FC7BD9" w:rsidRDefault="00FC7BD9" w:rsidP="00FC7BD9">
      <w:pPr>
        <w:pStyle w:val="NormalWeb"/>
        <w:numPr>
          <w:ilvl w:val="0"/>
          <w:numId w:val="57"/>
        </w:numPr>
      </w:pPr>
      <w:r>
        <w:t>Biomonitoring data indicate increasing detection in exposed communities.</w:t>
      </w:r>
    </w:p>
    <w:p w14:paraId="32391C06" w14:textId="77777777" w:rsidR="00FC7BD9" w:rsidRDefault="00FC7BD9" w:rsidP="00FC7BD9">
      <w:pPr>
        <w:pStyle w:val="Heading3"/>
      </w:pPr>
      <w:r>
        <w:rPr>
          <w:rStyle w:val="Strong"/>
          <w:b w:val="0"/>
          <w:bCs w:val="0"/>
        </w:rPr>
        <w:t>Conclusion</w:t>
      </w:r>
    </w:p>
    <w:p w14:paraId="53F4EF2A" w14:textId="77777777" w:rsidR="00FC7BD9" w:rsidRDefault="00FC7BD9" w:rsidP="00FC7BD9">
      <w:pPr>
        <w:pStyle w:val="NormalWeb"/>
      </w:pPr>
      <w:r>
        <w:t xml:space="preserve">Current evidence suggests </w:t>
      </w:r>
      <w:r>
        <w:rPr>
          <w:rStyle w:val="Strong"/>
          <w:rFonts w:eastAsiaTheme="majorEastAsia"/>
        </w:rPr>
        <w:t>“regrettable substitution”</w:t>
      </w:r>
      <w:r>
        <w:t>: replacement PFAS may not be substantially safer and require further long-term evaluation.</w:t>
      </w:r>
    </w:p>
    <w:p w14:paraId="7688080E" w14:textId="77777777" w:rsidR="00FC7BD9" w:rsidRDefault="00F573BC" w:rsidP="00FC7BD9">
      <w:r w:rsidRPr="00F573BC">
        <w:rPr>
          <w:noProof/>
          <w14:ligatures w14:val="standardContextual"/>
        </w:rPr>
        <w:pict w14:anchorId="5CC89AB3">
          <v:rect id="_x0000_i1037" alt="" style="width:468pt;height:.05pt;mso-width-percent:0;mso-height-percent:0;mso-width-percent:0;mso-height-percent:0" o:hralign="center" o:hrstd="t" o:hr="t" fillcolor="#a0a0a0" stroked="f"/>
        </w:pict>
      </w:r>
    </w:p>
    <w:p w14:paraId="5BA9ED35" w14:textId="77777777" w:rsidR="00FC7BD9" w:rsidRDefault="00FC7BD9" w:rsidP="00FC7BD9">
      <w:pPr>
        <w:pStyle w:val="Heading2"/>
      </w:pPr>
      <w:r>
        <w:rPr>
          <w:rStyle w:val="Strong"/>
          <w:b w:val="0"/>
          <w:bCs w:val="0"/>
        </w:rPr>
        <w:t>6. Regulatory Context and Knowledge Gaps</w:t>
      </w:r>
    </w:p>
    <w:p w14:paraId="20FDE84B" w14:textId="77777777" w:rsidR="00FC7BD9" w:rsidRDefault="00FC7BD9" w:rsidP="00FC7BD9">
      <w:pPr>
        <w:pStyle w:val="Heading3"/>
      </w:pPr>
      <w:r>
        <w:rPr>
          <w:rStyle w:val="Strong"/>
          <w:b w:val="0"/>
          <w:bCs w:val="0"/>
        </w:rPr>
        <w:t>Regulatory Actions</w:t>
      </w:r>
    </w:p>
    <w:p w14:paraId="47C53726" w14:textId="77777777" w:rsidR="00FC7BD9" w:rsidRDefault="00FC7BD9" w:rsidP="00FC7BD9">
      <w:pPr>
        <w:pStyle w:val="NormalWeb"/>
        <w:numPr>
          <w:ilvl w:val="0"/>
          <w:numId w:val="58"/>
        </w:numPr>
      </w:pPr>
      <w:r>
        <w:rPr>
          <w:rStyle w:val="Strong"/>
          <w:rFonts w:eastAsiaTheme="majorEastAsia"/>
        </w:rPr>
        <w:t>U.S. EPA (2024 Proposed MCLs):</w:t>
      </w:r>
    </w:p>
    <w:p w14:paraId="73E18598" w14:textId="77777777" w:rsidR="00FC7BD9" w:rsidRDefault="00FC7BD9" w:rsidP="00FC7BD9">
      <w:pPr>
        <w:pStyle w:val="NormalWeb"/>
        <w:numPr>
          <w:ilvl w:val="1"/>
          <w:numId w:val="58"/>
        </w:numPr>
      </w:pPr>
      <w:r>
        <w:t xml:space="preserve">PFOA + PFOS: </w:t>
      </w:r>
      <w:r>
        <w:rPr>
          <w:rStyle w:val="Strong"/>
          <w:rFonts w:eastAsiaTheme="majorEastAsia"/>
        </w:rPr>
        <w:t>4 parts per trillion (ppt)</w:t>
      </w:r>
      <w:r>
        <w:t>—the lowest enforceable drinking water limits ever proposed.</w:t>
      </w:r>
    </w:p>
    <w:p w14:paraId="2DCEFB6D" w14:textId="77777777" w:rsidR="00FC7BD9" w:rsidRDefault="00FC7BD9" w:rsidP="00FC7BD9">
      <w:pPr>
        <w:pStyle w:val="NormalWeb"/>
        <w:numPr>
          <w:ilvl w:val="1"/>
          <w:numId w:val="58"/>
        </w:numPr>
      </w:pPr>
      <w:r>
        <w:t>Additional standards for PFHxS, PFNA, HFPO-DA (GenX), and mixtures.</w:t>
      </w:r>
    </w:p>
    <w:p w14:paraId="78904AF4" w14:textId="77777777" w:rsidR="00FC7BD9" w:rsidRDefault="00FC7BD9" w:rsidP="00FC7BD9">
      <w:pPr>
        <w:pStyle w:val="NormalWeb"/>
        <w:numPr>
          <w:ilvl w:val="0"/>
          <w:numId w:val="58"/>
        </w:numPr>
      </w:pPr>
      <w:r>
        <w:rPr>
          <w:rStyle w:val="Strong"/>
          <w:rFonts w:eastAsiaTheme="majorEastAsia"/>
        </w:rPr>
        <w:t>EU REACH:</w:t>
      </w:r>
    </w:p>
    <w:p w14:paraId="529861FC" w14:textId="77777777" w:rsidR="00FC7BD9" w:rsidRDefault="00FC7BD9" w:rsidP="00FC7BD9">
      <w:pPr>
        <w:pStyle w:val="NormalWeb"/>
        <w:numPr>
          <w:ilvl w:val="1"/>
          <w:numId w:val="58"/>
        </w:numPr>
      </w:pPr>
      <w:r>
        <w:t>Broad restrictions on PFAS in consumer products under consideration.</w:t>
      </w:r>
    </w:p>
    <w:p w14:paraId="3AF3D764" w14:textId="77777777" w:rsidR="00FC7BD9" w:rsidRDefault="00FC7BD9" w:rsidP="00FC7BD9">
      <w:pPr>
        <w:pStyle w:val="NormalWeb"/>
        <w:numPr>
          <w:ilvl w:val="1"/>
          <w:numId w:val="58"/>
        </w:numPr>
      </w:pPr>
      <w:r>
        <w:t>Several member states pursuing near-total bans with limited exemptions.</w:t>
      </w:r>
    </w:p>
    <w:p w14:paraId="379ADED0" w14:textId="77777777" w:rsidR="00FC7BD9" w:rsidRDefault="00FC7BD9" w:rsidP="00FC7BD9">
      <w:pPr>
        <w:pStyle w:val="Heading3"/>
      </w:pPr>
      <w:r>
        <w:rPr>
          <w:rStyle w:val="Strong"/>
          <w:b w:val="0"/>
          <w:bCs w:val="0"/>
        </w:rPr>
        <w:t>Critical Knowledge Gaps</w:t>
      </w:r>
    </w:p>
    <w:p w14:paraId="4B628FFA" w14:textId="77777777" w:rsidR="00FC7BD9" w:rsidRDefault="00FC7BD9" w:rsidP="00FC7BD9">
      <w:pPr>
        <w:pStyle w:val="NormalWeb"/>
        <w:numPr>
          <w:ilvl w:val="0"/>
          <w:numId w:val="59"/>
        </w:numPr>
      </w:pPr>
      <w:r>
        <w:rPr>
          <w:rStyle w:val="Strong"/>
          <w:rFonts w:eastAsiaTheme="majorEastAsia"/>
        </w:rPr>
        <w:t>Mixture Toxicity</w:t>
      </w:r>
      <w:r>
        <w:br/>
        <w:t>Humans are exposed to complex PFAS mixtures, yet regulatory limits are compound-specific.</w:t>
      </w:r>
    </w:p>
    <w:p w14:paraId="1F3A4F6D" w14:textId="77777777" w:rsidR="00FC7BD9" w:rsidRDefault="00FC7BD9" w:rsidP="00FC7BD9">
      <w:pPr>
        <w:pStyle w:val="NormalWeb"/>
        <w:numPr>
          <w:ilvl w:val="0"/>
          <w:numId w:val="59"/>
        </w:numPr>
      </w:pPr>
      <w:r>
        <w:rPr>
          <w:rStyle w:val="Strong"/>
          <w:rFonts w:eastAsiaTheme="majorEastAsia"/>
        </w:rPr>
        <w:t>Long-Term Health Impacts of Short-Chain PFAS</w:t>
      </w:r>
      <w:r>
        <w:br/>
        <w:t>Limited toxicokinetic and epidemiologic data.</w:t>
      </w:r>
    </w:p>
    <w:p w14:paraId="1B05C7C4" w14:textId="77777777" w:rsidR="00FC7BD9" w:rsidRDefault="00FC7BD9" w:rsidP="00FC7BD9">
      <w:pPr>
        <w:pStyle w:val="NormalWeb"/>
        <w:numPr>
          <w:ilvl w:val="0"/>
          <w:numId w:val="59"/>
        </w:numPr>
      </w:pPr>
      <w:r>
        <w:rPr>
          <w:rStyle w:val="Strong"/>
          <w:rFonts w:eastAsiaTheme="majorEastAsia"/>
        </w:rPr>
        <w:lastRenderedPageBreak/>
        <w:t>Transgenerational and Epigenetic Effects</w:t>
      </w:r>
      <w:r>
        <w:br/>
        <w:t>Emerging but insufficiently characterized.</w:t>
      </w:r>
    </w:p>
    <w:p w14:paraId="47CD6266" w14:textId="77777777" w:rsidR="00FC7BD9" w:rsidRDefault="00FC7BD9" w:rsidP="00FC7BD9">
      <w:pPr>
        <w:pStyle w:val="NormalWeb"/>
        <w:numPr>
          <w:ilvl w:val="0"/>
          <w:numId w:val="59"/>
        </w:numPr>
      </w:pPr>
      <w:r>
        <w:rPr>
          <w:rStyle w:val="Strong"/>
          <w:rFonts w:eastAsiaTheme="majorEastAsia"/>
        </w:rPr>
        <w:t>Effects at Low Exposure Levels</w:t>
      </w:r>
      <w:r>
        <w:br/>
        <w:t>Many adverse outcomes occur at concentrations previously considered safe.</w:t>
      </w:r>
    </w:p>
    <w:p w14:paraId="2D44C5BD" w14:textId="77777777" w:rsidR="00FC7BD9" w:rsidRDefault="00FC7BD9" w:rsidP="00FC7BD9">
      <w:pPr>
        <w:pStyle w:val="NormalWeb"/>
        <w:numPr>
          <w:ilvl w:val="0"/>
          <w:numId w:val="59"/>
        </w:numPr>
      </w:pPr>
      <w:r>
        <w:rPr>
          <w:rStyle w:val="Strong"/>
          <w:rFonts w:eastAsiaTheme="majorEastAsia"/>
        </w:rPr>
        <w:t>Environmental Transformation Products</w:t>
      </w:r>
      <w:r>
        <w:br/>
        <w:t>PFAS precursors degrade into persistent PFAS, complicating exposure assessment.</w:t>
      </w:r>
    </w:p>
    <w:p w14:paraId="42629F9A" w14:textId="77777777" w:rsidR="00FC7BD9" w:rsidRDefault="00F573BC" w:rsidP="00FC7BD9">
      <w:r w:rsidRPr="00F573BC">
        <w:rPr>
          <w:noProof/>
          <w14:ligatures w14:val="standardContextual"/>
        </w:rPr>
        <w:pict w14:anchorId="543CEA61">
          <v:rect id="_x0000_i1036" alt="" style="width:468pt;height:.05pt;mso-width-percent:0;mso-height-percent:0;mso-width-percent:0;mso-height-percent:0" o:hralign="center" o:hrstd="t" o:hr="t" fillcolor="#a0a0a0" stroked="f"/>
        </w:pict>
      </w:r>
    </w:p>
    <w:p w14:paraId="5C91BCC5" w14:textId="77777777" w:rsidR="00FC7BD9" w:rsidRDefault="00FC7BD9" w:rsidP="00FC7BD9">
      <w:pPr>
        <w:pStyle w:val="Heading2"/>
      </w:pPr>
      <w:r>
        <w:rPr>
          <w:rStyle w:val="Strong"/>
          <w:b w:val="0"/>
          <w:bCs w:val="0"/>
        </w:rPr>
        <w:t>7. Conclusion</w:t>
      </w:r>
    </w:p>
    <w:p w14:paraId="5E03CBFF" w14:textId="77777777" w:rsidR="00FC7BD9" w:rsidRDefault="00FC7BD9" w:rsidP="00FC7BD9">
      <w:pPr>
        <w:pStyle w:val="NormalWeb"/>
      </w:pPr>
      <w:r>
        <w:t>PFASs represent a major and ongoing public health challenge due to their persistence, ubiquity, and diverse biological effects. Strong evidence supports associations between long-chain PFAS—especially PFOA and PFOS—and immunotoxicity, metabolic disruption, developmental effects, and certain cancers. Although newer short-chain and replacement PFAS were designed to mitigate bioaccumulation, emerging data indicate that many exhibit similar modes of action and raise comparable toxicological concerns. Regulatory agencies have taken significant steps to limit exposure, yet substantial uncertainties remain, particularly regarding mixtures and long-term impacts of replacement chemicals. Continued epidemiologic surveillance, mechanistic research, and precautionary regulatory approaches will be essential to protecting public health.</w:t>
      </w:r>
    </w:p>
    <w:p w14:paraId="52B5EE32" w14:textId="77777777" w:rsidR="00FC7BD9" w:rsidRDefault="00F573BC" w:rsidP="00FC7BD9">
      <w:r w:rsidRPr="00F573BC">
        <w:rPr>
          <w:noProof/>
          <w14:ligatures w14:val="standardContextual"/>
        </w:rPr>
        <w:pict w14:anchorId="6EBEE448">
          <v:rect id="_x0000_i1035" alt="" style="width:468pt;height:.05pt;mso-width-percent:0;mso-height-percent:0;mso-width-percent:0;mso-height-percent:0" o:hralign="center" o:hrstd="t" o:hr="t" fillcolor="#a0a0a0" stroked="f"/>
        </w:pict>
      </w:r>
    </w:p>
    <w:p w14:paraId="287FD7F8" w14:textId="77777777" w:rsidR="00FC7BD9" w:rsidRDefault="00FC7BD9" w:rsidP="00FC7BD9">
      <w:pPr>
        <w:pStyle w:val="NormalWeb"/>
      </w:pPr>
      <w:r>
        <w:t>If you would like, I can also:</w:t>
      </w:r>
    </w:p>
    <w:p w14:paraId="4B8D1CD6" w14:textId="77777777" w:rsidR="00FC7BD9" w:rsidRDefault="00FC7BD9" w:rsidP="00FC7BD9">
      <w:pPr>
        <w:pStyle w:val="NormalWeb"/>
      </w:pPr>
      <w:r>
        <w:rPr>
          <w:rFonts w:ascii="Apple Color Emoji" w:hAnsi="Apple Color Emoji" w:cs="Apple Color Emoji"/>
        </w:rPr>
        <w:t>✔</w:t>
      </w:r>
      <w:r>
        <w:t xml:space="preserve"> Add in-text citations and a full reference list</w:t>
      </w:r>
      <w:r>
        <w:br/>
      </w:r>
      <w:r>
        <w:rPr>
          <w:rFonts w:ascii="Apple Color Emoji" w:hAnsi="Apple Color Emoji" w:cs="Apple Color Emoji"/>
        </w:rPr>
        <w:t>✔</w:t>
      </w:r>
      <w:r>
        <w:t xml:space="preserve"> Adapt the manuscript for journal submission formatting</w:t>
      </w:r>
      <w:r>
        <w:br/>
      </w:r>
      <w:r>
        <w:rPr>
          <w:rFonts w:ascii="Apple Color Emoji" w:hAnsi="Apple Color Emoji" w:cs="Apple Color Emoji"/>
        </w:rPr>
        <w:t>✔</w:t>
      </w:r>
      <w:r>
        <w:t xml:space="preserve"> Produce a graphical abstract or summary table</w:t>
      </w:r>
      <w:r>
        <w:br/>
      </w:r>
      <w:r>
        <w:rPr>
          <w:rFonts w:ascii="Apple Color Emoji" w:hAnsi="Apple Color Emoji" w:cs="Apple Color Emoji"/>
        </w:rPr>
        <w:t>✔</w:t>
      </w:r>
      <w:r>
        <w:t xml:space="preserve"> Convert the article into LaTeX format</w:t>
      </w:r>
    </w:p>
    <w:p w14:paraId="15746B56" w14:textId="39F112BF" w:rsidR="00FC7BD9" w:rsidRDefault="00FC7BD9">
      <w:pPr>
        <w:spacing w:after="160" w:line="278" w:lineRule="auto"/>
      </w:pPr>
      <w:r>
        <w:br w:type="page"/>
      </w:r>
    </w:p>
    <w:p w14:paraId="72A05A69" w14:textId="695DBEBA" w:rsidR="00FC7BD9" w:rsidRPr="00FC7BD9" w:rsidRDefault="00FC7BD9" w:rsidP="00FC7BD9">
      <w:pPr>
        <w:pStyle w:val="Heading2"/>
        <w:rPr>
          <w:sz w:val="40"/>
          <w:szCs w:val="40"/>
        </w:rPr>
      </w:pPr>
      <w:r w:rsidRPr="00FC7BD9">
        <w:rPr>
          <w:sz w:val="40"/>
          <w:szCs w:val="40"/>
        </w:rPr>
        <w:lastRenderedPageBreak/>
        <w:t>Phthalate Toxicity</w:t>
      </w:r>
    </w:p>
    <w:p w14:paraId="413B391C" w14:textId="46A559EF" w:rsidR="00FC7BD9" w:rsidRDefault="00F573BC" w:rsidP="00FC7BD9">
      <w:pPr>
        <w:pStyle w:val="Heading2"/>
      </w:pPr>
      <w:r w:rsidRPr="00F573BC">
        <w:rPr>
          <w:noProof/>
          <w14:ligatures w14:val="standardContextual"/>
        </w:rPr>
        <w:pict w14:anchorId="0EFC5F5E">
          <v:rect id="_x0000_i1034" alt="" style="width:468pt;height:.05pt;mso-width-percent:0;mso-height-percent:0;mso-width-percent:0;mso-height-percent:0" o:hralign="center" o:hrstd="t" o:hr="t" fillcolor="#a0a0a0" stroked="f"/>
        </w:pict>
      </w:r>
    </w:p>
    <w:p w14:paraId="19ACF6FB" w14:textId="77777777" w:rsidR="00C66758" w:rsidRPr="00C66758" w:rsidRDefault="00C66758" w:rsidP="00C66758"/>
    <w:p w14:paraId="3D5A093A" w14:textId="0CB97146" w:rsidR="00FC7BD9" w:rsidRPr="00FC7BD9" w:rsidRDefault="00FC7BD9" w:rsidP="00FC7BD9">
      <w:pPr>
        <w:pStyle w:val="Heading2"/>
      </w:pPr>
      <w:r w:rsidRPr="00FC7BD9">
        <w:t>1. Executive Summary</w:t>
      </w:r>
    </w:p>
    <w:p w14:paraId="4220DC46" w14:textId="77777777" w:rsidR="00FC7BD9" w:rsidRDefault="00FC7BD9" w:rsidP="00FC7BD9">
      <w:pPr>
        <w:pStyle w:val="NormalWeb"/>
        <w:numPr>
          <w:ilvl w:val="0"/>
          <w:numId w:val="60"/>
        </w:numPr>
      </w:pPr>
      <w:r>
        <w:rPr>
          <w:rStyle w:val="Strong"/>
          <w:rFonts w:eastAsiaTheme="majorEastAsia"/>
        </w:rPr>
        <w:t>Chemistry &amp; Uses</w:t>
      </w:r>
    </w:p>
    <w:p w14:paraId="01AF39FB" w14:textId="77777777" w:rsidR="00FC7BD9" w:rsidRDefault="00FC7BD9" w:rsidP="00FC7BD9">
      <w:pPr>
        <w:pStyle w:val="NormalWeb"/>
        <w:numPr>
          <w:ilvl w:val="1"/>
          <w:numId w:val="60"/>
        </w:numPr>
      </w:pPr>
      <w:r>
        <w:rPr>
          <w:rStyle w:val="Strong"/>
          <w:rFonts w:eastAsiaTheme="majorEastAsia"/>
        </w:rPr>
        <w:t>Ortho-phthalates</w:t>
      </w:r>
      <w:r>
        <w:t xml:space="preserve"> are diesters of </w:t>
      </w:r>
      <w:r>
        <w:rPr>
          <w:rStyle w:val="Strong"/>
          <w:rFonts w:eastAsiaTheme="majorEastAsia"/>
        </w:rPr>
        <w:t>phthalic acid</w:t>
      </w:r>
      <w:r>
        <w:t xml:space="preserve"> with linear/branched C1–C13 alcohols (e.g., </w:t>
      </w:r>
      <w:r>
        <w:rPr>
          <w:rStyle w:val="Strong"/>
          <w:rFonts w:eastAsiaTheme="majorEastAsia"/>
        </w:rPr>
        <w:t>DMP, DEP, DBP, BBP, DEHP, DINP, DIDP</w:t>
      </w:r>
      <w:r>
        <w:t>).</w:t>
      </w:r>
    </w:p>
    <w:p w14:paraId="3A500FC6" w14:textId="77777777" w:rsidR="00FC7BD9" w:rsidRDefault="00FC7BD9" w:rsidP="00FC7BD9">
      <w:pPr>
        <w:pStyle w:val="NormalWeb"/>
        <w:numPr>
          <w:ilvl w:val="1"/>
          <w:numId w:val="60"/>
        </w:numPr>
      </w:pPr>
      <w:r>
        <w:t xml:space="preserve">Used primarily as </w:t>
      </w:r>
      <w:r>
        <w:rPr>
          <w:rStyle w:val="Strong"/>
          <w:rFonts w:eastAsiaTheme="majorEastAsia"/>
        </w:rPr>
        <w:t>plasticizers</w:t>
      </w:r>
      <w:r>
        <w:t xml:space="preserve"> in </w:t>
      </w:r>
      <w:r>
        <w:rPr>
          <w:rStyle w:val="Strong"/>
          <w:rFonts w:eastAsiaTheme="majorEastAsia"/>
        </w:rPr>
        <w:t>PVC</w:t>
      </w:r>
      <w:r>
        <w:t xml:space="preserve"> (flooring, cables, food-contact films, blood bags, tubing), as well as in </w:t>
      </w:r>
      <w:r>
        <w:rPr>
          <w:rStyle w:val="Strong"/>
          <w:rFonts w:eastAsiaTheme="majorEastAsia"/>
        </w:rPr>
        <w:t>adhesives, inks, coatings, toys, and personal care products</w:t>
      </w:r>
      <w:r>
        <w:t xml:space="preserve"> (fragrances, nail polish). </w:t>
      </w:r>
      <w:hyperlink r:id="rId5" w:tgtFrame="_blank" w:history="1">
        <w:r>
          <w:rPr>
            <w:rStyle w:val="max-w-15ch"/>
            <w:rFonts w:eastAsiaTheme="majorEastAsia"/>
            <w:color w:val="0000FF"/>
            <w:u w:val="single"/>
          </w:rPr>
          <w:t>European Chemicals Agency</w:t>
        </w:r>
      </w:hyperlink>
    </w:p>
    <w:p w14:paraId="2C7A049C" w14:textId="77777777" w:rsidR="00FC7BD9" w:rsidRDefault="00FC7BD9" w:rsidP="00FC7BD9">
      <w:pPr>
        <w:pStyle w:val="NormalWeb"/>
        <w:numPr>
          <w:ilvl w:val="0"/>
          <w:numId w:val="60"/>
        </w:numPr>
      </w:pPr>
      <w:r>
        <w:rPr>
          <w:rStyle w:val="Strong"/>
          <w:rFonts w:eastAsiaTheme="majorEastAsia"/>
        </w:rPr>
        <w:t>Primary Health Concerns</w:t>
      </w:r>
    </w:p>
    <w:p w14:paraId="600FB1CE" w14:textId="77777777" w:rsidR="00FC7BD9" w:rsidRDefault="00FC7BD9" w:rsidP="00FC7BD9">
      <w:pPr>
        <w:pStyle w:val="NormalWeb"/>
        <w:numPr>
          <w:ilvl w:val="1"/>
          <w:numId w:val="60"/>
        </w:numPr>
      </w:pPr>
      <w:r>
        <w:t xml:space="preserve">Widely classified as </w:t>
      </w:r>
      <w:r>
        <w:rPr>
          <w:rStyle w:val="Strong"/>
          <w:rFonts w:eastAsiaTheme="majorEastAsia"/>
        </w:rPr>
        <w:t>Endocrine-Disrupting Chemicals (EDCs)</w:t>
      </w:r>
      <w:r>
        <w:t>.</w:t>
      </w:r>
    </w:p>
    <w:p w14:paraId="55252392" w14:textId="77777777" w:rsidR="00FC7BD9" w:rsidRDefault="00FC7BD9" w:rsidP="00FC7BD9">
      <w:pPr>
        <w:pStyle w:val="NormalWeb"/>
        <w:numPr>
          <w:ilvl w:val="1"/>
          <w:numId w:val="60"/>
        </w:numPr>
      </w:pPr>
      <w:r>
        <w:t xml:space="preserve">Key </w:t>
      </w:r>
      <w:r>
        <w:rPr>
          <w:rStyle w:val="Strong"/>
          <w:rFonts w:eastAsiaTheme="majorEastAsia"/>
        </w:rPr>
        <w:t>hazard domains</w:t>
      </w:r>
      <w:r>
        <w:t>:</w:t>
      </w:r>
    </w:p>
    <w:p w14:paraId="0CD27BEC" w14:textId="77777777" w:rsidR="00FC7BD9" w:rsidRDefault="00FC7BD9" w:rsidP="00FC7BD9">
      <w:pPr>
        <w:pStyle w:val="NormalWeb"/>
        <w:numPr>
          <w:ilvl w:val="2"/>
          <w:numId w:val="60"/>
        </w:numPr>
      </w:pPr>
      <w:r>
        <w:rPr>
          <w:rStyle w:val="Strong"/>
          <w:rFonts w:eastAsiaTheme="majorEastAsia"/>
        </w:rPr>
        <w:t>Male reproductive and developmental toxicity</w:t>
      </w:r>
      <w:r>
        <w:t xml:space="preserve"> via </w:t>
      </w:r>
      <w:r>
        <w:rPr>
          <w:rStyle w:val="Strong"/>
          <w:rFonts w:eastAsiaTheme="majorEastAsia"/>
        </w:rPr>
        <w:t>anti-androgenic fetal effects</w:t>
      </w:r>
      <w:r>
        <w:t xml:space="preserve"> (“</w:t>
      </w:r>
      <w:r>
        <w:rPr>
          <w:rStyle w:val="Strong"/>
          <w:rFonts w:eastAsiaTheme="majorEastAsia"/>
        </w:rPr>
        <w:t>phthalate syndrome</w:t>
      </w:r>
      <w:r>
        <w:t xml:space="preserve">” in rodents; reduced fetal testosterone, cryptorchidism, hypospadias, reduced anogenital distance (AGD)). </w:t>
      </w:r>
      <w:hyperlink r:id="rId6" w:tgtFrame="_blank" w:history="1">
        <w:r>
          <w:rPr>
            <w:rStyle w:val="max-w-15ch"/>
            <w:rFonts w:eastAsiaTheme="majorEastAsia"/>
            <w:color w:val="0000FF"/>
            <w:u w:val="single"/>
          </w:rPr>
          <w:t>PMC</w:t>
        </w:r>
        <w:r>
          <w:rPr>
            <w:rStyle w:val="-me-1"/>
            <w:color w:val="0000FF"/>
            <w:u w:val="single"/>
          </w:rPr>
          <w:t>+1</w:t>
        </w:r>
      </w:hyperlink>
    </w:p>
    <w:p w14:paraId="01E8C516" w14:textId="77777777" w:rsidR="00FC7BD9" w:rsidRDefault="00FC7BD9" w:rsidP="00FC7BD9">
      <w:pPr>
        <w:pStyle w:val="NormalWeb"/>
        <w:numPr>
          <w:ilvl w:val="2"/>
          <w:numId w:val="60"/>
        </w:numPr>
      </w:pPr>
      <w:r>
        <w:rPr>
          <w:rStyle w:val="Strong"/>
          <w:rFonts w:eastAsiaTheme="majorEastAsia"/>
        </w:rPr>
        <w:t>Metabolic effects</w:t>
      </w:r>
      <w:r>
        <w:t xml:space="preserve">: insulin resistance, components of metabolic syndrome, and possible diabetes risk. </w:t>
      </w:r>
      <w:hyperlink r:id="rId7" w:tgtFrame="_blank" w:history="1">
        <w:r>
          <w:rPr>
            <w:rStyle w:val="max-w-15ch"/>
            <w:rFonts w:eastAsiaTheme="majorEastAsia"/>
            <w:color w:val="0000FF"/>
            <w:u w:val="single"/>
          </w:rPr>
          <w:t>PubMed</w:t>
        </w:r>
        <w:r>
          <w:rPr>
            <w:rStyle w:val="-me-1"/>
            <w:color w:val="0000FF"/>
            <w:u w:val="single"/>
          </w:rPr>
          <w:t>+1</w:t>
        </w:r>
      </w:hyperlink>
    </w:p>
    <w:p w14:paraId="59DD80E2" w14:textId="77777777" w:rsidR="00FC7BD9" w:rsidRDefault="00FC7BD9" w:rsidP="00FC7BD9">
      <w:pPr>
        <w:pStyle w:val="NormalWeb"/>
        <w:numPr>
          <w:ilvl w:val="2"/>
          <w:numId w:val="60"/>
        </w:numPr>
      </w:pPr>
      <w:r>
        <w:rPr>
          <w:rStyle w:val="Strong"/>
          <w:rFonts w:eastAsiaTheme="majorEastAsia"/>
        </w:rPr>
        <w:t>Neurodevelopmental associations</w:t>
      </w:r>
      <w:r>
        <w:t xml:space="preserve">: ADHD-related behaviors, lower IQ and autism-related behaviors in some cohorts, with sex-specific and mixture-driven effects and some null findings. </w:t>
      </w:r>
      <w:hyperlink r:id="rId8" w:tgtFrame="_blank" w:history="1">
        <w:r>
          <w:rPr>
            <w:rStyle w:val="max-w-15ch"/>
            <w:rFonts w:eastAsiaTheme="majorEastAsia"/>
            <w:color w:val="0000FF"/>
            <w:u w:val="single"/>
          </w:rPr>
          <w:t>PMC</w:t>
        </w:r>
        <w:r>
          <w:rPr>
            <w:rStyle w:val="-me-1"/>
            <w:color w:val="0000FF"/>
            <w:u w:val="single"/>
          </w:rPr>
          <w:t>+2</w:t>
        </w:r>
        <w:r>
          <w:rPr>
            <w:rStyle w:val="max-w-15ch"/>
            <w:rFonts w:eastAsiaTheme="majorEastAsia"/>
            <w:color w:val="0000FF"/>
            <w:u w:val="single"/>
          </w:rPr>
          <w:t>Regulations.gov</w:t>
        </w:r>
        <w:r>
          <w:rPr>
            <w:rStyle w:val="-me-1"/>
            <w:color w:val="0000FF"/>
            <w:u w:val="single"/>
          </w:rPr>
          <w:t>+2</w:t>
        </w:r>
      </w:hyperlink>
    </w:p>
    <w:p w14:paraId="21A6382B" w14:textId="77777777" w:rsidR="00FC7BD9" w:rsidRDefault="00F573BC" w:rsidP="00FC7BD9">
      <w:r w:rsidRPr="00F573BC">
        <w:rPr>
          <w:noProof/>
          <w14:ligatures w14:val="standardContextual"/>
        </w:rPr>
        <w:pict w14:anchorId="2ED0BC10">
          <v:rect id="_x0000_i1033" alt="" style="width:468pt;height:.05pt;mso-width-percent:0;mso-height-percent:0;mso-width-percent:0;mso-height-percent:0" o:hralign="center" o:hrstd="t" o:hr="t" fillcolor="#a0a0a0" stroked="f"/>
        </w:pict>
      </w:r>
    </w:p>
    <w:p w14:paraId="00C5A0D8" w14:textId="77777777" w:rsidR="00FC7BD9" w:rsidRDefault="00FC7BD9" w:rsidP="00FC7BD9">
      <w:pPr>
        <w:pStyle w:val="Heading2"/>
      </w:pPr>
      <w:r>
        <w:t>2. Classification and Exposure Assessment</w:t>
      </w:r>
    </w:p>
    <w:p w14:paraId="38B81C11" w14:textId="77777777" w:rsidR="00FC7BD9" w:rsidRDefault="00FC7BD9" w:rsidP="00FC7BD9">
      <w:pPr>
        <w:pStyle w:val="Heading3"/>
      </w:pPr>
      <w:r>
        <w:t>2.1 Low vs High Molecular Weight Phthalates</w:t>
      </w:r>
    </w:p>
    <w:p w14:paraId="0A19885B" w14:textId="77777777" w:rsidR="00FC7BD9" w:rsidRDefault="00FC7BD9" w:rsidP="00FC7BD9">
      <w:pPr>
        <w:pStyle w:val="NormalWeb"/>
      </w:pPr>
      <w:r>
        <w:rPr>
          <w:rStyle w:val="Strong"/>
          <w:rFonts w:eastAsiaTheme="majorEastAsia"/>
        </w:rPr>
        <w:t>Table 1. Representative LMW vs HMW phthalates (ortho-phthalates)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047"/>
        <w:gridCol w:w="1434"/>
        <w:gridCol w:w="2251"/>
        <w:gridCol w:w="3564"/>
      </w:tblGrid>
      <w:tr w:rsidR="00FC7BD9" w14:paraId="3AB2B38C" w14:textId="77777777">
        <w:trPr>
          <w:tblHeader/>
          <w:tblCellSpacing w:w="15" w:type="dxa"/>
        </w:trPr>
        <w:tc>
          <w:tcPr>
            <w:tcW w:w="0" w:type="auto"/>
            <w:vAlign w:val="center"/>
            <w:hideMark/>
          </w:tcPr>
          <w:p w14:paraId="1090B146" w14:textId="77777777" w:rsidR="00FC7BD9" w:rsidRDefault="00FC7BD9">
            <w:pPr>
              <w:jc w:val="center"/>
              <w:rPr>
                <w:b/>
                <w:bCs/>
              </w:rPr>
            </w:pPr>
            <w:r>
              <w:rPr>
                <w:b/>
                <w:bCs/>
              </w:rPr>
              <w:t>Class</w:t>
            </w:r>
          </w:p>
        </w:tc>
        <w:tc>
          <w:tcPr>
            <w:tcW w:w="0" w:type="auto"/>
            <w:vAlign w:val="center"/>
            <w:hideMark/>
          </w:tcPr>
          <w:p w14:paraId="19ED9656" w14:textId="77777777" w:rsidR="00FC7BD9" w:rsidRDefault="00FC7BD9">
            <w:pPr>
              <w:jc w:val="center"/>
              <w:rPr>
                <w:b/>
                <w:bCs/>
              </w:rPr>
            </w:pPr>
            <w:r>
              <w:rPr>
                <w:b/>
                <w:bCs/>
              </w:rPr>
              <w:t>Approx. C-chain</w:t>
            </w:r>
          </w:p>
        </w:tc>
        <w:tc>
          <w:tcPr>
            <w:tcW w:w="0" w:type="auto"/>
            <w:vAlign w:val="center"/>
            <w:hideMark/>
          </w:tcPr>
          <w:p w14:paraId="4AAD14CB" w14:textId="77777777" w:rsidR="00FC7BD9" w:rsidRDefault="00FC7BD9">
            <w:pPr>
              <w:jc w:val="center"/>
              <w:rPr>
                <w:b/>
                <w:bCs/>
              </w:rPr>
            </w:pPr>
            <w:r>
              <w:rPr>
                <w:b/>
                <w:bCs/>
              </w:rPr>
              <w:t>Key examples</w:t>
            </w:r>
          </w:p>
        </w:tc>
        <w:tc>
          <w:tcPr>
            <w:tcW w:w="0" w:type="auto"/>
            <w:vAlign w:val="center"/>
            <w:hideMark/>
          </w:tcPr>
          <w:p w14:paraId="6D038862" w14:textId="77777777" w:rsidR="00FC7BD9" w:rsidRDefault="00FC7BD9">
            <w:pPr>
              <w:jc w:val="center"/>
              <w:rPr>
                <w:b/>
                <w:bCs/>
              </w:rPr>
            </w:pPr>
            <w:r>
              <w:rPr>
                <w:b/>
                <w:bCs/>
              </w:rPr>
              <w:t>Dominant uses</w:t>
            </w:r>
          </w:p>
        </w:tc>
        <w:tc>
          <w:tcPr>
            <w:tcW w:w="0" w:type="auto"/>
            <w:vAlign w:val="center"/>
            <w:hideMark/>
          </w:tcPr>
          <w:p w14:paraId="3B94133C" w14:textId="77777777" w:rsidR="00FC7BD9" w:rsidRDefault="00FC7BD9">
            <w:pPr>
              <w:jc w:val="center"/>
              <w:rPr>
                <w:b/>
                <w:bCs/>
              </w:rPr>
            </w:pPr>
            <w:r>
              <w:rPr>
                <w:b/>
                <w:bCs/>
              </w:rPr>
              <w:t>Regulatory focus</w:t>
            </w:r>
          </w:p>
        </w:tc>
      </w:tr>
      <w:tr w:rsidR="00FC7BD9" w14:paraId="6C284F81" w14:textId="77777777">
        <w:trPr>
          <w:tblCellSpacing w:w="15" w:type="dxa"/>
        </w:trPr>
        <w:tc>
          <w:tcPr>
            <w:tcW w:w="0" w:type="auto"/>
            <w:vAlign w:val="center"/>
            <w:hideMark/>
          </w:tcPr>
          <w:p w14:paraId="749ED806" w14:textId="77777777" w:rsidR="00FC7BD9" w:rsidRDefault="00FC7BD9">
            <w:r>
              <w:rPr>
                <w:rStyle w:val="Strong"/>
                <w:rFonts w:eastAsiaTheme="majorEastAsia"/>
              </w:rPr>
              <w:t>Low MW (LMW)</w:t>
            </w:r>
          </w:p>
        </w:tc>
        <w:tc>
          <w:tcPr>
            <w:tcW w:w="0" w:type="auto"/>
            <w:vAlign w:val="center"/>
            <w:hideMark/>
          </w:tcPr>
          <w:p w14:paraId="0CD25A0A" w14:textId="77777777" w:rsidR="00FC7BD9" w:rsidRDefault="00FC7BD9">
            <w:r>
              <w:t>C1–C4</w:t>
            </w:r>
          </w:p>
        </w:tc>
        <w:tc>
          <w:tcPr>
            <w:tcW w:w="0" w:type="auto"/>
            <w:vAlign w:val="center"/>
            <w:hideMark/>
          </w:tcPr>
          <w:p w14:paraId="7CD4EED9" w14:textId="77777777" w:rsidR="00FC7BD9" w:rsidRDefault="00FC7BD9">
            <w:r>
              <w:rPr>
                <w:rStyle w:val="Strong"/>
                <w:rFonts w:eastAsiaTheme="majorEastAsia"/>
              </w:rPr>
              <w:t>DMP, DEP, DBP, DIBP, BBP</w:t>
            </w:r>
          </w:p>
        </w:tc>
        <w:tc>
          <w:tcPr>
            <w:tcW w:w="0" w:type="auto"/>
            <w:vAlign w:val="center"/>
            <w:hideMark/>
          </w:tcPr>
          <w:p w14:paraId="0FDBE409" w14:textId="77777777" w:rsidR="00FC7BD9" w:rsidRDefault="00FC7BD9">
            <w:r>
              <w:t xml:space="preserve">Solvents and plasticizers in </w:t>
            </w:r>
            <w:r>
              <w:rPr>
                <w:rStyle w:val="Strong"/>
                <w:rFonts w:eastAsiaTheme="majorEastAsia"/>
              </w:rPr>
              <w:t>personal care products</w:t>
            </w:r>
            <w:r>
              <w:t>, adhesives, some flexible PVC</w:t>
            </w:r>
          </w:p>
        </w:tc>
        <w:tc>
          <w:tcPr>
            <w:tcW w:w="0" w:type="auto"/>
            <w:vAlign w:val="center"/>
            <w:hideMark/>
          </w:tcPr>
          <w:p w14:paraId="01C7E1A6" w14:textId="77777777" w:rsidR="00FC7BD9" w:rsidRDefault="00FC7BD9">
            <w:r>
              <w:t xml:space="preserve">Strong links to </w:t>
            </w:r>
            <w:r>
              <w:rPr>
                <w:rStyle w:val="Strong"/>
                <w:rFonts w:eastAsiaTheme="majorEastAsia"/>
              </w:rPr>
              <w:t>reproductive</w:t>
            </w:r>
            <w:r>
              <w:t xml:space="preserve"> and </w:t>
            </w:r>
            <w:r>
              <w:rPr>
                <w:rStyle w:val="Strong"/>
                <w:rFonts w:eastAsiaTheme="majorEastAsia"/>
              </w:rPr>
              <w:t>neurobehavioral</w:t>
            </w:r>
            <w:r>
              <w:t xml:space="preserve"> outcomes; several in EU </w:t>
            </w:r>
            <w:r>
              <w:rPr>
                <w:rStyle w:val="Strong"/>
                <w:rFonts w:eastAsiaTheme="majorEastAsia"/>
              </w:rPr>
              <w:t>SVHC</w:t>
            </w:r>
            <w:r>
              <w:t xml:space="preserve"> / RoHS restrictions. </w:t>
            </w:r>
            <w:hyperlink r:id="rId9" w:tgtFrame="_blank" w:history="1">
              <w:r>
                <w:rPr>
                  <w:rStyle w:val="max-w-15ch"/>
                  <w:rFonts w:eastAsiaTheme="majorEastAsia"/>
                  <w:color w:val="0000FF"/>
                  <w:u w:val="single"/>
                </w:rPr>
                <w:t>European Chemicals Agency</w:t>
              </w:r>
            </w:hyperlink>
          </w:p>
        </w:tc>
      </w:tr>
      <w:tr w:rsidR="00FC7BD9" w14:paraId="1BCEEF6F" w14:textId="77777777">
        <w:trPr>
          <w:tblCellSpacing w:w="15" w:type="dxa"/>
        </w:trPr>
        <w:tc>
          <w:tcPr>
            <w:tcW w:w="0" w:type="auto"/>
            <w:vAlign w:val="center"/>
            <w:hideMark/>
          </w:tcPr>
          <w:p w14:paraId="617EFC87" w14:textId="77777777" w:rsidR="00FC7BD9" w:rsidRDefault="00FC7BD9">
            <w:r>
              <w:rPr>
                <w:rStyle w:val="Strong"/>
                <w:rFonts w:eastAsiaTheme="majorEastAsia"/>
              </w:rPr>
              <w:t>High MW (HMW)</w:t>
            </w:r>
          </w:p>
        </w:tc>
        <w:tc>
          <w:tcPr>
            <w:tcW w:w="0" w:type="auto"/>
            <w:vAlign w:val="center"/>
            <w:hideMark/>
          </w:tcPr>
          <w:p w14:paraId="5FAAB0C4" w14:textId="77777777" w:rsidR="00FC7BD9" w:rsidRDefault="00FC7BD9">
            <w:r>
              <w:t>C6–C13</w:t>
            </w:r>
          </w:p>
        </w:tc>
        <w:tc>
          <w:tcPr>
            <w:tcW w:w="0" w:type="auto"/>
            <w:vAlign w:val="center"/>
            <w:hideMark/>
          </w:tcPr>
          <w:p w14:paraId="324C345C" w14:textId="77777777" w:rsidR="00FC7BD9" w:rsidRDefault="00FC7BD9">
            <w:r>
              <w:rPr>
                <w:rStyle w:val="Strong"/>
                <w:rFonts w:eastAsiaTheme="majorEastAsia"/>
              </w:rPr>
              <w:t>DEHP, DINP, DIDP, DnOP, DPHP</w:t>
            </w:r>
          </w:p>
        </w:tc>
        <w:tc>
          <w:tcPr>
            <w:tcW w:w="0" w:type="auto"/>
            <w:vAlign w:val="center"/>
            <w:hideMark/>
          </w:tcPr>
          <w:p w14:paraId="30816924" w14:textId="77777777" w:rsidR="00FC7BD9" w:rsidRDefault="00FC7BD9">
            <w:r>
              <w:t xml:space="preserve">Major plasticizers in </w:t>
            </w:r>
            <w:r>
              <w:rPr>
                <w:rStyle w:val="Strong"/>
                <w:rFonts w:eastAsiaTheme="majorEastAsia"/>
              </w:rPr>
              <w:t>PVC</w:t>
            </w:r>
            <w:r>
              <w:t xml:space="preserve"> (cables, flooring, toys, food-contact, medical devices)</w:t>
            </w:r>
          </w:p>
        </w:tc>
        <w:tc>
          <w:tcPr>
            <w:tcW w:w="0" w:type="auto"/>
            <w:vAlign w:val="center"/>
            <w:hideMark/>
          </w:tcPr>
          <w:p w14:paraId="6FAB5B00" w14:textId="77777777" w:rsidR="00FC7BD9" w:rsidRDefault="00FC7BD9">
            <w:r>
              <w:t xml:space="preserve">Group </w:t>
            </w:r>
            <w:r>
              <w:rPr>
                <w:rStyle w:val="Strong"/>
                <w:rFonts w:eastAsiaTheme="majorEastAsia"/>
              </w:rPr>
              <w:t>EDC</w:t>
            </w:r>
            <w:r>
              <w:t xml:space="preserve"> concerns; EU group-TDI and restrictions in toys, electronics, food-contact. </w:t>
            </w:r>
            <w:hyperlink r:id="rId10" w:tgtFrame="_blank" w:history="1">
              <w:r>
                <w:rPr>
                  <w:rStyle w:val="max-w-15ch"/>
                  <w:rFonts w:eastAsiaTheme="majorEastAsia"/>
                  <w:color w:val="0000FF"/>
                  <w:u w:val="single"/>
                </w:rPr>
                <w:t>Zendy</w:t>
              </w:r>
              <w:r>
                <w:rPr>
                  <w:rStyle w:val="-me-1"/>
                  <w:color w:val="0000FF"/>
                  <w:u w:val="single"/>
                </w:rPr>
                <w:t>+1</w:t>
              </w:r>
            </w:hyperlink>
          </w:p>
        </w:tc>
      </w:tr>
    </w:tbl>
    <w:p w14:paraId="6CC44678" w14:textId="77777777" w:rsidR="00FC7BD9" w:rsidRDefault="00FC7BD9" w:rsidP="00FC7BD9">
      <w:pPr>
        <w:pStyle w:val="Heading3"/>
      </w:pPr>
      <w:r>
        <w:lastRenderedPageBreak/>
        <w:t>2.2 Sources</w:t>
      </w:r>
    </w:p>
    <w:p w14:paraId="40D05EEF" w14:textId="77777777" w:rsidR="00FC7BD9" w:rsidRDefault="00FC7BD9" w:rsidP="00FC7BD9">
      <w:pPr>
        <w:pStyle w:val="NormalWeb"/>
        <w:numPr>
          <w:ilvl w:val="0"/>
          <w:numId w:val="61"/>
        </w:numPr>
      </w:pPr>
      <w:r>
        <w:rPr>
          <w:rStyle w:val="Strong"/>
          <w:rFonts w:eastAsiaTheme="majorEastAsia"/>
        </w:rPr>
        <w:t>Consumer and occupational sources</w:t>
      </w:r>
    </w:p>
    <w:p w14:paraId="14D6BBB0" w14:textId="77777777" w:rsidR="00FC7BD9" w:rsidRDefault="00FC7BD9" w:rsidP="00FC7BD9">
      <w:pPr>
        <w:pStyle w:val="NormalWeb"/>
        <w:numPr>
          <w:ilvl w:val="1"/>
          <w:numId w:val="61"/>
        </w:numPr>
      </w:pPr>
      <w:r>
        <w:rPr>
          <w:rStyle w:val="Strong"/>
          <w:rFonts w:eastAsiaTheme="majorEastAsia"/>
        </w:rPr>
        <w:t>PVC products</w:t>
      </w:r>
      <w:r>
        <w:t xml:space="preserve">: flooring, wall coverings, vinyl toys, food packaging, tubing, gloves, cable insulation. </w:t>
      </w:r>
      <w:hyperlink r:id="rId11" w:tgtFrame="_blank" w:history="1">
        <w:r>
          <w:rPr>
            <w:rStyle w:val="max-w-15ch"/>
            <w:rFonts w:eastAsiaTheme="majorEastAsia"/>
            <w:color w:val="0000FF"/>
            <w:u w:val="single"/>
          </w:rPr>
          <w:t>Wisdom Library</w:t>
        </w:r>
      </w:hyperlink>
    </w:p>
    <w:p w14:paraId="0CEAFFA5" w14:textId="77777777" w:rsidR="00FC7BD9" w:rsidRDefault="00FC7BD9" w:rsidP="00FC7BD9">
      <w:pPr>
        <w:pStyle w:val="NormalWeb"/>
        <w:numPr>
          <w:ilvl w:val="1"/>
          <w:numId w:val="61"/>
        </w:numPr>
      </w:pPr>
      <w:r>
        <w:rPr>
          <w:rStyle w:val="Strong"/>
          <w:rFonts w:eastAsiaTheme="majorEastAsia"/>
        </w:rPr>
        <w:t>Personal care products (LMW)</w:t>
      </w:r>
      <w:r>
        <w:t xml:space="preserve">: perfumes, cosmetics, nail polish, hair sprays, lotions (mainly </w:t>
      </w:r>
      <w:r>
        <w:rPr>
          <w:rStyle w:val="Strong"/>
          <w:rFonts w:eastAsiaTheme="majorEastAsia"/>
        </w:rPr>
        <w:t>DEP, DMP, DBP</w:t>
      </w:r>
      <w:r>
        <w:t xml:space="preserve">). </w:t>
      </w:r>
      <w:hyperlink r:id="rId12" w:tgtFrame="_blank" w:history="1">
        <w:r>
          <w:rPr>
            <w:rStyle w:val="max-w-15ch"/>
            <w:rFonts w:eastAsiaTheme="majorEastAsia"/>
            <w:color w:val="0000FF"/>
            <w:u w:val="single"/>
          </w:rPr>
          <w:t>PMC</w:t>
        </w:r>
      </w:hyperlink>
    </w:p>
    <w:p w14:paraId="2E5E12F7" w14:textId="77777777" w:rsidR="00FC7BD9" w:rsidRDefault="00FC7BD9" w:rsidP="00FC7BD9">
      <w:pPr>
        <w:pStyle w:val="NormalWeb"/>
        <w:numPr>
          <w:ilvl w:val="1"/>
          <w:numId w:val="61"/>
        </w:numPr>
      </w:pPr>
      <w:r>
        <w:rPr>
          <w:rStyle w:val="Strong"/>
          <w:rFonts w:eastAsiaTheme="majorEastAsia"/>
        </w:rPr>
        <w:t>Building and furnishing materials</w:t>
      </w:r>
      <w:r>
        <w:t>: vinyl flooring, synthetic leather, wall coverings =&gt; indoor dust.</w:t>
      </w:r>
    </w:p>
    <w:p w14:paraId="6A0A6625" w14:textId="77777777" w:rsidR="00FC7BD9" w:rsidRDefault="00FC7BD9" w:rsidP="00FC7BD9">
      <w:pPr>
        <w:pStyle w:val="NormalWeb"/>
        <w:numPr>
          <w:ilvl w:val="1"/>
          <w:numId w:val="61"/>
        </w:numPr>
      </w:pPr>
      <w:r>
        <w:rPr>
          <w:rStyle w:val="Strong"/>
          <w:rFonts w:eastAsiaTheme="majorEastAsia"/>
        </w:rPr>
        <w:t>Industrial/workplace</w:t>
      </w:r>
      <w:r>
        <w:t>: plastics manufacturing, recycling, printing/ink use.</w:t>
      </w:r>
    </w:p>
    <w:p w14:paraId="2BFD802B" w14:textId="77777777" w:rsidR="00FC7BD9" w:rsidRDefault="00FC7BD9" w:rsidP="00FC7BD9">
      <w:pPr>
        <w:pStyle w:val="NormalWeb"/>
        <w:numPr>
          <w:ilvl w:val="0"/>
          <w:numId w:val="61"/>
        </w:numPr>
      </w:pPr>
      <w:r>
        <w:rPr>
          <w:rStyle w:val="Strong"/>
          <w:rFonts w:eastAsiaTheme="majorEastAsia"/>
        </w:rPr>
        <w:t>Medical devices</w:t>
      </w:r>
    </w:p>
    <w:p w14:paraId="372ACC96" w14:textId="77777777" w:rsidR="00FC7BD9" w:rsidRDefault="00FC7BD9" w:rsidP="00FC7BD9">
      <w:pPr>
        <w:pStyle w:val="NormalWeb"/>
        <w:numPr>
          <w:ilvl w:val="1"/>
          <w:numId w:val="61"/>
        </w:numPr>
      </w:pPr>
      <w:r>
        <w:rPr>
          <w:rStyle w:val="Strong"/>
          <w:rFonts w:eastAsiaTheme="majorEastAsia"/>
        </w:rPr>
        <w:t>DEHP-plasticized PVC</w:t>
      </w:r>
      <w:r>
        <w:t xml:space="preserve"> still prevalent in </w:t>
      </w:r>
      <w:r>
        <w:rPr>
          <w:rStyle w:val="Strong"/>
          <w:rFonts w:eastAsiaTheme="majorEastAsia"/>
        </w:rPr>
        <w:t>blood bags, IV bags and tubing, enteral and parenteral nutrition sets, dialysis tubing</w:t>
      </w:r>
      <w:r>
        <w:t xml:space="preserve">, catheters. Parenteral routes can result in </w:t>
      </w:r>
      <w:r>
        <w:rPr>
          <w:rStyle w:val="Strong"/>
          <w:rFonts w:eastAsiaTheme="majorEastAsia"/>
        </w:rPr>
        <w:t>orders-of-magnitude higher exposures</w:t>
      </w:r>
      <w:r>
        <w:t>, especially in neonates in intensive care.</w:t>
      </w:r>
    </w:p>
    <w:p w14:paraId="7FF75D98" w14:textId="77777777" w:rsidR="00FC7BD9" w:rsidRDefault="00FC7BD9" w:rsidP="00FC7BD9">
      <w:pPr>
        <w:pStyle w:val="Heading3"/>
      </w:pPr>
      <w:r>
        <w:t>2.3 Routes of Exposure</w:t>
      </w:r>
    </w:p>
    <w:p w14:paraId="4FCE9EE2" w14:textId="77777777" w:rsidR="00FC7BD9" w:rsidRDefault="00FC7BD9" w:rsidP="00FC7BD9">
      <w:pPr>
        <w:pStyle w:val="NormalWeb"/>
        <w:numPr>
          <w:ilvl w:val="0"/>
          <w:numId w:val="62"/>
        </w:numPr>
      </w:pPr>
      <w:r>
        <w:rPr>
          <w:rStyle w:val="Strong"/>
          <w:rFonts w:eastAsiaTheme="majorEastAsia"/>
        </w:rPr>
        <w:t>Ingestion (major route)</w:t>
      </w:r>
    </w:p>
    <w:p w14:paraId="44B217F2" w14:textId="77777777" w:rsidR="00FC7BD9" w:rsidRDefault="00FC7BD9" w:rsidP="00FC7BD9">
      <w:pPr>
        <w:pStyle w:val="NormalWeb"/>
        <w:numPr>
          <w:ilvl w:val="1"/>
          <w:numId w:val="62"/>
        </w:numPr>
      </w:pPr>
      <w:r>
        <w:rPr>
          <w:rStyle w:val="Strong"/>
          <w:rFonts w:eastAsiaTheme="majorEastAsia"/>
        </w:rPr>
        <w:t>Dietary</w:t>
      </w:r>
      <w:r>
        <w:t xml:space="preserve">: migration from food-contact materials (PVC films, tubing, gaskets) into fatty foods; group dietary exposure to </w:t>
      </w:r>
      <w:r>
        <w:rPr>
          <w:rStyle w:val="Strong"/>
          <w:rFonts w:eastAsiaTheme="majorEastAsia"/>
        </w:rPr>
        <w:t>DBP, BBP, DEHP, DINP</w:t>
      </w:r>
      <w:r>
        <w:t xml:space="preserve"> estimated by EFSA at up to ~11.7 µg/kg bw/day (≤23% of group TDI). </w:t>
      </w:r>
      <w:hyperlink r:id="rId13" w:tgtFrame="_blank" w:history="1">
        <w:r>
          <w:rPr>
            <w:rStyle w:val="max-w-15ch"/>
            <w:rFonts w:eastAsiaTheme="majorEastAsia"/>
            <w:color w:val="0000FF"/>
            <w:u w:val="single"/>
          </w:rPr>
          <w:t>Zendy</w:t>
        </w:r>
      </w:hyperlink>
    </w:p>
    <w:p w14:paraId="7F4D8291" w14:textId="77777777" w:rsidR="00FC7BD9" w:rsidRDefault="00FC7BD9" w:rsidP="00FC7BD9">
      <w:pPr>
        <w:pStyle w:val="NormalWeb"/>
        <w:numPr>
          <w:ilvl w:val="1"/>
          <w:numId w:val="62"/>
        </w:numPr>
      </w:pPr>
      <w:r>
        <w:t>Hand-to-mouth from dust in children.</w:t>
      </w:r>
    </w:p>
    <w:p w14:paraId="5B96E4D8" w14:textId="77777777" w:rsidR="00FC7BD9" w:rsidRDefault="00FC7BD9" w:rsidP="00FC7BD9">
      <w:pPr>
        <w:pStyle w:val="NormalWeb"/>
        <w:numPr>
          <w:ilvl w:val="0"/>
          <w:numId w:val="62"/>
        </w:numPr>
      </w:pPr>
      <w:r>
        <w:rPr>
          <w:rStyle w:val="Strong"/>
          <w:rFonts w:eastAsiaTheme="majorEastAsia"/>
        </w:rPr>
        <w:t>Inhalation</w:t>
      </w:r>
    </w:p>
    <w:p w14:paraId="46D60929" w14:textId="77777777" w:rsidR="00FC7BD9" w:rsidRDefault="00FC7BD9" w:rsidP="00FC7BD9">
      <w:pPr>
        <w:pStyle w:val="NormalWeb"/>
        <w:numPr>
          <w:ilvl w:val="1"/>
          <w:numId w:val="62"/>
        </w:numPr>
      </w:pPr>
      <w:r>
        <w:rPr>
          <w:rStyle w:val="Strong"/>
          <w:rFonts w:eastAsiaTheme="majorEastAsia"/>
        </w:rPr>
        <w:t>Semi-volatile behavior</w:t>
      </w:r>
      <w:r>
        <w:t xml:space="preserve"> → partitioning to indoor air and dust; inhalation and dust ingestion combined important for toddlers/children.</w:t>
      </w:r>
    </w:p>
    <w:p w14:paraId="1C2A49CE" w14:textId="77777777" w:rsidR="00FC7BD9" w:rsidRDefault="00FC7BD9" w:rsidP="00FC7BD9">
      <w:pPr>
        <w:pStyle w:val="NormalWeb"/>
        <w:numPr>
          <w:ilvl w:val="0"/>
          <w:numId w:val="62"/>
        </w:numPr>
      </w:pPr>
      <w:r>
        <w:rPr>
          <w:rStyle w:val="Strong"/>
          <w:rFonts w:eastAsiaTheme="majorEastAsia"/>
        </w:rPr>
        <w:t>Dermal</w:t>
      </w:r>
    </w:p>
    <w:p w14:paraId="1D5E2A7F" w14:textId="77777777" w:rsidR="00FC7BD9" w:rsidRDefault="00FC7BD9" w:rsidP="00FC7BD9">
      <w:pPr>
        <w:pStyle w:val="NormalWeb"/>
        <w:numPr>
          <w:ilvl w:val="1"/>
          <w:numId w:val="62"/>
        </w:numPr>
      </w:pPr>
      <w:r>
        <w:t xml:space="preserve">Application of </w:t>
      </w:r>
      <w:r>
        <w:rPr>
          <w:rStyle w:val="Strong"/>
          <w:rFonts w:eastAsiaTheme="majorEastAsia"/>
        </w:rPr>
        <w:t>cosmetics and personal care products</w:t>
      </w:r>
      <w:r>
        <w:t xml:space="preserve"> containing </w:t>
      </w:r>
      <w:r>
        <w:rPr>
          <w:rStyle w:val="Strong"/>
          <w:rFonts w:eastAsiaTheme="majorEastAsia"/>
        </w:rPr>
        <w:t>LMW phthalates</w:t>
      </w:r>
      <w:r>
        <w:t xml:space="preserve"> (especially DEP, DMP, DBP) → efficient dermal uptake.</w:t>
      </w:r>
    </w:p>
    <w:p w14:paraId="409108A1" w14:textId="77777777" w:rsidR="00FC7BD9" w:rsidRDefault="00FC7BD9" w:rsidP="00FC7BD9">
      <w:pPr>
        <w:pStyle w:val="NormalWeb"/>
        <w:numPr>
          <w:ilvl w:val="0"/>
          <w:numId w:val="62"/>
        </w:numPr>
      </w:pPr>
      <w:r>
        <w:rPr>
          <w:rStyle w:val="Strong"/>
          <w:rFonts w:eastAsiaTheme="majorEastAsia"/>
        </w:rPr>
        <w:t>Parenteral</w:t>
      </w:r>
    </w:p>
    <w:p w14:paraId="1704CEB3" w14:textId="77777777" w:rsidR="00FC7BD9" w:rsidRDefault="00FC7BD9" w:rsidP="00FC7BD9">
      <w:pPr>
        <w:pStyle w:val="NormalWeb"/>
        <w:numPr>
          <w:ilvl w:val="1"/>
          <w:numId w:val="62"/>
        </w:numPr>
      </w:pPr>
      <w:r>
        <w:rPr>
          <w:rStyle w:val="Strong"/>
          <w:rFonts w:eastAsiaTheme="majorEastAsia"/>
        </w:rPr>
        <w:t>Intravenous infusions, extracorporeal circuits, dialysis, ECMO, TPN</w:t>
      </w:r>
      <w:r>
        <w:t xml:space="preserve"> via DEHP-plasticized PVC → very high </w:t>
      </w:r>
      <w:r>
        <w:rPr>
          <w:rStyle w:val="Strong"/>
          <w:rFonts w:eastAsiaTheme="majorEastAsia"/>
        </w:rPr>
        <w:t>internal DEHP/MEHP doses</w:t>
      </w:r>
      <w:r>
        <w:t xml:space="preserve"> in neonates and critically ill adults.</w:t>
      </w:r>
    </w:p>
    <w:p w14:paraId="2E7A6412" w14:textId="77777777" w:rsidR="00FC7BD9" w:rsidRDefault="00F573BC" w:rsidP="00FC7BD9">
      <w:r w:rsidRPr="00F573BC">
        <w:rPr>
          <w:noProof/>
          <w14:ligatures w14:val="standardContextual"/>
        </w:rPr>
        <w:pict w14:anchorId="1196E7AF">
          <v:rect id="_x0000_i1032" alt="" style="width:468pt;height:.05pt;mso-width-percent:0;mso-height-percent:0;mso-width-percent:0;mso-height-percent:0" o:hralign="center" o:hrstd="t" o:hr="t" fillcolor="#a0a0a0" stroked="f"/>
        </w:pict>
      </w:r>
    </w:p>
    <w:p w14:paraId="285DE57A" w14:textId="77777777" w:rsidR="00FC7BD9" w:rsidRDefault="00FC7BD9" w:rsidP="00FC7BD9">
      <w:pPr>
        <w:pStyle w:val="Heading2"/>
      </w:pPr>
      <w:r>
        <w:t>3. Toxicokinetics (ADME)</w:t>
      </w:r>
    </w:p>
    <w:p w14:paraId="3539321E" w14:textId="77777777" w:rsidR="00FC7BD9" w:rsidRDefault="00FC7BD9" w:rsidP="00FC7BD9">
      <w:pPr>
        <w:pStyle w:val="Heading3"/>
      </w:pPr>
      <w:r>
        <w:t>3.1 Absorption</w:t>
      </w:r>
    </w:p>
    <w:p w14:paraId="6E447699" w14:textId="77777777" w:rsidR="00FC7BD9" w:rsidRDefault="00FC7BD9" w:rsidP="00FC7BD9">
      <w:pPr>
        <w:pStyle w:val="NormalWeb"/>
        <w:numPr>
          <w:ilvl w:val="0"/>
          <w:numId w:val="63"/>
        </w:numPr>
      </w:pPr>
      <w:r>
        <w:rPr>
          <w:rStyle w:val="Strong"/>
          <w:rFonts w:eastAsiaTheme="majorEastAsia"/>
        </w:rPr>
        <w:t>Oral</w:t>
      </w:r>
    </w:p>
    <w:p w14:paraId="5386B348" w14:textId="77777777" w:rsidR="00FC7BD9" w:rsidRDefault="00FC7BD9" w:rsidP="00FC7BD9">
      <w:pPr>
        <w:pStyle w:val="NormalWeb"/>
        <w:numPr>
          <w:ilvl w:val="1"/>
          <w:numId w:val="63"/>
        </w:numPr>
      </w:pPr>
      <w:r>
        <w:rPr>
          <w:rStyle w:val="Strong"/>
          <w:rFonts w:eastAsiaTheme="majorEastAsia"/>
        </w:rPr>
        <w:t>High GI absorption</w:t>
      </w:r>
      <w:r>
        <w:t xml:space="preserve"> of parent diesters; rapidly hydrolyzed in gut lumen and intestinal mucosa to monoesters (e.g., </w:t>
      </w:r>
      <w:r>
        <w:rPr>
          <w:rStyle w:val="Strong"/>
          <w:rFonts w:eastAsiaTheme="majorEastAsia"/>
        </w:rPr>
        <w:t>DEHP → MEHP</w:t>
      </w:r>
      <w:r>
        <w:t xml:space="preserve">). </w:t>
      </w:r>
      <w:hyperlink r:id="rId14" w:tgtFrame="_blank" w:history="1">
        <w:r>
          <w:rPr>
            <w:rStyle w:val="max-w-15ch"/>
            <w:rFonts w:eastAsiaTheme="majorEastAsia"/>
            <w:color w:val="0000FF"/>
            <w:u w:val="single"/>
          </w:rPr>
          <w:t>European Chemicals Agency</w:t>
        </w:r>
        <w:r>
          <w:rPr>
            <w:rStyle w:val="-me-1"/>
            <w:color w:val="0000FF"/>
            <w:u w:val="single"/>
          </w:rPr>
          <w:t>+1</w:t>
        </w:r>
      </w:hyperlink>
    </w:p>
    <w:p w14:paraId="7198B9FA" w14:textId="77777777" w:rsidR="00FC7BD9" w:rsidRDefault="00FC7BD9" w:rsidP="00FC7BD9">
      <w:pPr>
        <w:pStyle w:val="NormalWeb"/>
        <w:numPr>
          <w:ilvl w:val="0"/>
          <w:numId w:val="63"/>
        </w:numPr>
      </w:pPr>
      <w:r>
        <w:rPr>
          <w:rStyle w:val="Strong"/>
          <w:rFonts w:eastAsiaTheme="majorEastAsia"/>
        </w:rPr>
        <w:t>Dermal</w:t>
      </w:r>
    </w:p>
    <w:p w14:paraId="0B23B072" w14:textId="77777777" w:rsidR="00FC7BD9" w:rsidRDefault="00FC7BD9" w:rsidP="00FC7BD9">
      <w:pPr>
        <w:pStyle w:val="NormalWeb"/>
        <w:numPr>
          <w:ilvl w:val="1"/>
          <w:numId w:val="63"/>
        </w:numPr>
      </w:pPr>
      <w:r>
        <w:lastRenderedPageBreak/>
        <w:t xml:space="preserve">LMW phthalates show </w:t>
      </w:r>
      <w:r>
        <w:rPr>
          <w:rStyle w:val="Strong"/>
          <w:rFonts w:eastAsiaTheme="majorEastAsia"/>
        </w:rPr>
        <w:t>substantial dermal absorption</w:t>
      </w:r>
      <w:r>
        <w:t>, consistent with their use in cosmetics and urinary metabolite profiles in general population biomonitoring.</w:t>
      </w:r>
    </w:p>
    <w:p w14:paraId="7334CC5E" w14:textId="77777777" w:rsidR="00FC7BD9" w:rsidRDefault="00FC7BD9" w:rsidP="00FC7BD9">
      <w:pPr>
        <w:pStyle w:val="NormalWeb"/>
        <w:numPr>
          <w:ilvl w:val="0"/>
          <w:numId w:val="63"/>
        </w:numPr>
      </w:pPr>
      <w:r>
        <w:rPr>
          <w:rStyle w:val="Strong"/>
          <w:rFonts w:eastAsiaTheme="majorEastAsia"/>
        </w:rPr>
        <w:t>Inhalation</w:t>
      </w:r>
    </w:p>
    <w:p w14:paraId="4B9132E0" w14:textId="77777777" w:rsidR="00FC7BD9" w:rsidRDefault="00FC7BD9" w:rsidP="00FC7BD9">
      <w:pPr>
        <w:pStyle w:val="NormalWeb"/>
        <w:numPr>
          <w:ilvl w:val="1"/>
          <w:numId w:val="63"/>
        </w:numPr>
      </w:pPr>
      <w:r>
        <w:t xml:space="preserve">Uptake of the gas phase and </w:t>
      </w:r>
      <w:r>
        <w:rPr>
          <w:rStyle w:val="Strong"/>
          <w:rFonts w:eastAsiaTheme="majorEastAsia"/>
        </w:rPr>
        <w:t>oral re-ingestion of phthalate-containing dust</w:t>
      </w:r>
      <w:r>
        <w:t xml:space="preserve"> after mucociliary clearance.</w:t>
      </w:r>
    </w:p>
    <w:p w14:paraId="1C59979D" w14:textId="77777777" w:rsidR="00FC7BD9" w:rsidRDefault="00FC7BD9" w:rsidP="00FC7BD9">
      <w:pPr>
        <w:pStyle w:val="NormalWeb"/>
        <w:numPr>
          <w:ilvl w:val="0"/>
          <w:numId w:val="63"/>
        </w:numPr>
      </w:pPr>
      <w:r>
        <w:rPr>
          <w:rStyle w:val="Strong"/>
          <w:rFonts w:eastAsiaTheme="majorEastAsia"/>
        </w:rPr>
        <w:t>Parenteral</w:t>
      </w:r>
    </w:p>
    <w:p w14:paraId="341A2C84" w14:textId="77777777" w:rsidR="00FC7BD9" w:rsidRDefault="00FC7BD9" w:rsidP="00FC7BD9">
      <w:pPr>
        <w:pStyle w:val="NormalWeb"/>
        <w:numPr>
          <w:ilvl w:val="1"/>
          <w:numId w:val="63"/>
        </w:numPr>
      </w:pPr>
      <w:r>
        <w:t xml:space="preserve">Bypasses first-pass metabolism: </w:t>
      </w:r>
      <w:r>
        <w:rPr>
          <w:rStyle w:val="Strong"/>
          <w:rFonts w:eastAsiaTheme="majorEastAsia"/>
        </w:rPr>
        <w:t>direct systemic DEHP</w:t>
      </w:r>
      <w:r>
        <w:t>, then rapid conversion to MEHP and oxidative metabolites.</w:t>
      </w:r>
    </w:p>
    <w:p w14:paraId="6B2A8C8E" w14:textId="77777777" w:rsidR="00FC7BD9" w:rsidRDefault="00FC7BD9" w:rsidP="00FC7BD9">
      <w:pPr>
        <w:pStyle w:val="Heading3"/>
      </w:pPr>
      <w:r>
        <w:t>3.2 Metabolism</w:t>
      </w:r>
    </w:p>
    <w:p w14:paraId="5A5F2429" w14:textId="77777777" w:rsidR="00FC7BD9" w:rsidRDefault="00FC7BD9" w:rsidP="00FC7BD9">
      <w:pPr>
        <w:pStyle w:val="NormalWeb"/>
        <w:numPr>
          <w:ilvl w:val="0"/>
          <w:numId w:val="64"/>
        </w:numPr>
      </w:pPr>
      <w:r>
        <w:rPr>
          <w:rStyle w:val="Strong"/>
          <w:rFonts w:eastAsiaTheme="majorEastAsia"/>
        </w:rPr>
        <w:t>Phase I</w:t>
      </w:r>
    </w:p>
    <w:p w14:paraId="0EFB2D69" w14:textId="77777777" w:rsidR="00FC7BD9" w:rsidRDefault="00FC7BD9" w:rsidP="00FC7BD9">
      <w:pPr>
        <w:pStyle w:val="NormalWeb"/>
        <w:numPr>
          <w:ilvl w:val="1"/>
          <w:numId w:val="64"/>
        </w:numPr>
      </w:pPr>
      <w:r>
        <w:rPr>
          <w:rStyle w:val="Strong"/>
          <w:rFonts w:eastAsiaTheme="majorEastAsia"/>
        </w:rPr>
        <w:t>Non-specific esterases</w:t>
      </w:r>
      <w:r>
        <w:t xml:space="preserve"> hydrolyze diester to </w:t>
      </w:r>
      <w:r>
        <w:rPr>
          <w:rStyle w:val="Strong"/>
          <w:rFonts w:eastAsiaTheme="majorEastAsia"/>
        </w:rPr>
        <w:t>monoester (primary biologically active species)</w:t>
      </w:r>
      <w:r>
        <w:t>.</w:t>
      </w:r>
    </w:p>
    <w:p w14:paraId="5509D9EE" w14:textId="77777777" w:rsidR="00FC7BD9" w:rsidRDefault="00FC7BD9" w:rsidP="00FC7BD9">
      <w:pPr>
        <w:pStyle w:val="NormalWeb"/>
        <w:numPr>
          <w:ilvl w:val="1"/>
          <w:numId w:val="64"/>
        </w:numPr>
      </w:pPr>
      <w:r>
        <w:t xml:space="preserve">Monoesters (e.g., </w:t>
      </w:r>
      <w:r>
        <w:rPr>
          <w:rStyle w:val="Strong"/>
          <w:rFonts w:eastAsiaTheme="majorEastAsia"/>
        </w:rPr>
        <w:t>MEHP, MnBP, MBzP</w:t>
      </w:r>
      <w:r>
        <w:t xml:space="preserve">) are further oxidized along side chains to </w:t>
      </w:r>
      <w:r>
        <w:rPr>
          <w:rStyle w:val="Strong"/>
          <w:rFonts w:eastAsiaTheme="majorEastAsia"/>
        </w:rPr>
        <w:t>more hydrophilic oxidative metabolites</w:t>
      </w:r>
      <w:r>
        <w:t xml:space="preserve"> (e.g., </w:t>
      </w:r>
      <w:r>
        <w:rPr>
          <w:rStyle w:val="Strong"/>
          <w:rFonts w:eastAsiaTheme="majorEastAsia"/>
        </w:rPr>
        <w:t>5OH-MEHP, 5oxo-MEHP, 5cx-MEPP</w:t>
      </w:r>
      <w:r>
        <w:t xml:space="preserve">). </w:t>
      </w:r>
      <w:hyperlink r:id="rId15" w:tgtFrame="_blank" w:history="1">
        <w:r>
          <w:rPr>
            <w:rStyle w:val="max-w-15ch"/>
            <w:rFonts w:eastAsiaTheme="majorEastAsia"/>
            <w:color w:val="0000FF"/>
            <w:u w:val="single"/>
          </w:rPr>
          <w:t>PubMed</w:t>
        </w:r>
        <w:r>
          <w:rPr>
            <w:rStyle w:val="-me-1"/>
            <w:color w:val="0000FF"/>
            <w:u w:val="single"/>
          </w:rPr>
          <w:t>+1</w:t>
        </w:r>
      </w:hyperlink>
    </w:p>
    <w:p w14:paraId="75FA4F8E" w14:textId="77777777" w:rsidR="00FC7BD9" w:rsidRDefault="00FC7BD9" w:rsidP="00FC7BD9">
      <w:pPr>
        <w:pStyle w:val="NormalWeb"/>
        <w:numPr>
          <w:ilvl w:val="0"/>
          <w:numId w:val="64"/>
        </w:numPr>
      </w:pPr>
      <w:r>
        <w:rPr>
          <w:rStyle w:val="Strong"/>
          <w:rFonts w:eastAsiaTheme="majorEastAsia"/>
        </w:rPr>
        <w:t>Phase II</w:t>
      </w:r>
    </w:p>
    <w:p w14:paraId="1ECB0176" w14:textId="77777777" w:rsidR="00FC7BD9" w:rsidRDefault="00FC7BD9" w:rsidP="00FC7BD9">
      <w:pPr>
        <w:pStyle w:val="NormalWeb"/>
        <w:numPr>
          <w:ilvl w:val="1"/>
          <w:numId w:val="64"/>
        </w:numPr>
      </w:pPr>
      <w:r>
        <w:t xml:space="preserve">Monoesters and oxidative metabolites undergo </w:t>
      </w:r>
      <w:r>
        <w:rPr>
          <w:rStyle w:val="Strong"/>
          <w:rFonts w:eastAsiaTheme="majorEastAsia"/>
        </w:rPr>
        <w:t>glucuronidation</w:t>
      </w:r>
      <w:r>
        <w:t xml:space="preserve"> → highly water-soluble conjugates excreted in urine and, to a lesser extent, bile. </w:t>
      </w:r>
      <w:hyperlink r:id="rId16" w:tgtFrame="_blank" w:history="1">
        <w:r>
          <w:rPr>
            <w:rStyle w:val="max-w-15ch"/>
            <w:rFonts w:eastAsiaTheme="majorEastAsia"/>
            <w:color w:val="0000FF"/>
            <w:u w:val="single"/>
          </w:rPr>
          <w:t>European Chemicals Agency</w:t>
        </w:r>
      </w:hyperlink>
    </w:p>
    <w:p w14:paraId="6D03BD8B" w14:textId="77777777" w:rsidR="00FC7BD9" w:rsidRDefault="00FC7BD9" w:rsidP="00FC7BD9">
      <w:pPr>
        <w:pStyle w:val="NormalWeb"/>
        <w:numPr>
          <w:ilvl w:val="0"/>
          <w:numId w:val="64"/>
        </w:numPr>
      </w:pPr>
      <w:r>
        <w:rPr>
          <w:rStyle w:val="Strong"/>
          <w:rFonts w:eastAsiaTheme="majorEastAsia"/>
        </w:rPr>
        <w:t>Why monoesters are often the active toxicants</w:t>
      </w:r>
    </w:p>
    <w:p w14:paraId="438B67BF" w14:textId="77777777" w:rsidR="00FC7BD9" w:rsidRDefault="00FC7BD9" w:rsidP="00FC7BD9">
      <w:pPr>
        <w:pStyle w:val="NormalWeb"/>
        <w:numPr>
          <w:ilvl w:val="1"/>
          <w:numId w:val="64"/>
        </w:numPr>
      </w:pPr>
      <w:r>
        <w:rPr>
          <w:rStyle w:val="Strong"/>
          <w:rFonts w:eastAsiaTheme="majorEastAsia"/>
        </w:rPr>
        <w:t>Higher aqueous solubility and anionic character</w:t>
      </w:r>
      <w:r>
        <w:t xml:space="preserve"> → diffusion into cells and interaction with nuclear receptors.</w:t>
      </w:r>
    </w:p>
    <w:p w14:paraId="5617D3BE" w14:textId="77777777" w:rsidR="00FC7BD9" w:rsidRDefault="00FC7BD9" w:rsidP="00FC7BD9">
      <w:pPr>
        <w:pStyle w:val="NormalWeb"/>
        <w:numPr>
          <w:ilvl w:val="1"/>
          <w:numId w:val="64"/>
        </w:numPr>
      </w:pPr>
      <w:r>
        <w:rPr>
          <w:rStyle w:val="Strong"/>
          <w:rFonts w:eastAsiaTheme="majorEastAsia"/>
        </w:rPr>
        <w:t>In vitro</w:t>
      </w:r>
      <w:r>
        <w:t xml:space="preserve"> and </w:t>
      </w:r>
      <w:r>
        <w:rPr>
          <w:rStyle w:val="Strong"/>
          <w:rFonts w:eastAsiaTheme="majorEastAsia"/>
        </w:rPr>
        <w:t>in vivo</w:t>
      </w:r>
      <w:r>
        <w:t xml:space="preserve"> data show monoesters (especially </w:t>
      </w:r>
      <w:r>
        <w:rPr>
          <w:rStyle w:val="Strong"/>
          <w:rFonts w:eastAsiaTheme="majorEastAsia"/>
        </w:rPr>
        <w:t>MEHP</w:t>
      </w:r>
      <w:r>
        <w:t xml:space="preserve">) are </w:t>
      </w:r>
      <w:r>
        <w:rPr>
          <w:rStyle w:val="Strong"/>
          <w:rFonts w:eastAsiaTheme="majorEastAsia"/>
        </w:rPr>
        <w:t>stronger activators of PPARα/γ</w:t>
      </w:r>
      <w:r>
        <w:t xml:space="preserve"> than the parent diesters and more potent disruptors of steroidogenesis and aromatase. </w:t>
      </w:r>
      <w:hyperlink r:id="rId17" w:tgtFrame="_blank" w:history="1">
        <w:r>
          <w:rPr>
            <w:rStyle w:val="max-w-15ch"/>
            <w:rFonts w:eastAsiaTheme="majorEastAsia"/>
            <w:color w:val="0000FF"/>
            <w:u w:val="single"/>
          </w:rPr>
          <w:t>PubMed</w:t>
        </w:r>
        <w:r>
          <w:rPr>
            <w:rStyle w:val="-me-1"/>
            <w:color w:val="0000FF"/>
            <w:u w:val="single"/>
          </w:rPr>
          <w:t>+2</w:t>
        </w:r>
        <w:r>
          <w:rPr>
            <w:rStyle w:val="max-w-15ch"/>
            <w:rFonts w:eastAsiaTheme="majorEastAsia"/>
            <w:color w:val="0000FF"/>
            <w:u w:val="single"/>
          </w:rPr>
          <w:t>PubMed</w:t>
        </w:r>
        <w:r>
          <w:rPr>
            <w:rStyle w:val="-me-1"/>
            <w:color w:val="0000FF"/>
            <w:u w:val="single"/>
          </w:rPr>
          <w:t>+2</w:t>
        </w:r>
      </w:hyperlink>
    </w:p>
    <w:p w14:paraId="6B22F331" w14:textId="77777777" w:rsidR="00FC7BD9" w:rsidRDefault="00FC7BD9" w:rsidP="00FC7BD9">
      <w:pPr>
        <w:pStyle w:val="NormalWeb"/>
        <w:numPr>
          <w:ilvl w:val="1"/>
          <w:numId w:val="64"/>
        </w:numPr>
      </w:pPr>
      <w:r>
        <w:t xml:space="preserve">Mechanistic and cell-based studies demonstrate </w:t>
      </w:r>
      <w:r>
        <w:rPr>
          <w:rStyle w:val="Strong"/>
          <w:rFonts w:eastAsiaTheme="majorEastAsia"/>
        </w:rPr>
        <w:t>MEHP &gt; DEHP</w:t>
      </w:r>
      <w:r>
        <w:t xml:space="preserve"> for:</w:t>
      </w:r>
    </w:p>
    <w:p w14:paraId="36D89078" w14:textId="77777777" w:rsidR="00FC7BD9" w:rsidRDefault="00FC7BD9" w:rsidP="00FC7BD9">
      <w:pPr>
        <w:pStyle w:val="NormalWeb"/>
        <w:numPr>
          <w:ilvl w:val="2"/>
          <w:numId w:val="64"/>
        </w:numPr>
      </w:pPr>
      <w:r>
        <w:t>Inhibition of fetal Leydig/Sertoli cell function and testosterone synthesis.</w:t>
      </w:r>
    </w:p>
    <w:p w14:paraId="2D2B1433" w14:textId="77777777" w:rsidR="00FC7BD9" w:rsidRDefault="00FC7BD9" w:rsidP="00FC7BD9">
      <w:pPr>
        <w:pStyle w:val="NormalWeb"/>
        <w:numPr>
          <w:ilvl w:val="2"/>
          <w:numId w:val="64"/>
        </w:numPr>
      </w:pPr>
      <w:r>
        <w:t>PPAR-driven peroxisome proliferation and hepatocellular effects.</w:t>
      </w:r>
    </w:p>
    <w:p w14:paraId="68B2C2BD" w14:textId="77777777" w:rsidR="00FC7BD9" w:rsidRDefault="00FC7BD9" w:rsidP="00FC7BD9">
      <w:pPr>
        <w:pStyle w:val="NormalWeb"/>
        <w:numPr>
          <w:ilvl w:val="2"/>
          <w:numId w:val="64"/>
        </w:numPr>
      </w:pPr>
      <w:r>
        <w:t xml:space="preserve">Mitochondrial dysfunction and ROS generation. </w:t>
      </w:r>
      <w:hyperlink r:id="rId18" w:tgtFrame="_blank" w:history="1">
        <w:r>
          <w:rPr>
            <w:rStyle w:val="max-w-15ch"/>
            <w:rFonts w:eastAsiaTheme="majorEastAsia"/>
            <w:color w:val="0000FF"/>
            <w:u w:val="single"/>
          </w:rPr>
          <w:t>MDPI</w:t>
        </w:r>
        <w:r>
          <w:rPr>
            <w:rStyle w:val="-me-1"/>
            <w:color w:val="0000FF"/>
            <w:u w:val="single"/>
          </w:rPr>
          <w:t>+2</w:t>
        </w:r>
        <w:r>
          <w:rPr>
            <w:rStyle w:val="max-w-15ch"/>
            <w:rFonts w:eastAsiaTheme="majorEastAsia"/>
            <w:color w:val="0000FF"/>
            <w:u w:val="single"/>
          </w:rPr>
          <w:t>PubMed</w:t>
        </w:r>
        <w:r>
          <w:rPr>
            <w:rStyle w:val="-me-1"/>
            <w:color w:val="0000FF"/>
            <w:u w:val="single"/>
          </w:rPr>
          <w:t>+2</w:t>
        </w:r>
      </w:hyperlink>
    </w:p>
    <w:p w14:paraId="2CE5C12D" w14:textId="77777777" w:rsidR="00FC7BD9" w:rsidRDefault="00FC7BD9" w:rsidP="00FC7BD9">
      <w:pPr>
        <w:pStyle w:val="Heading3"/>
      </w:pPr>
      <w:r>
        <w:t>3.3 Distribution and Elimination</w:t>
      </w:r>
    </w:p>
    <w:p w14:paraId="0530A023" w14:textId="77777777" w:rsidR="00FC7BD9" w:rsidRDefault="00FC7BD9" w:rsidP="00FC7BD9">
      <w:pPr>
        <w:pStyle w:val="NormalWeb"/>
        <w:numPr>
          <w:ilvl w:val="0"/>
          <w:numId w:val="65"/>
        </w:numPr>
      </w:pPr>
      <w:r>
        <w:rPr>
          <w:rStyle w:val="Strong"/>
          <w:rFonts w:eastAsiaTheme="majorEastAsia"/>
        </w:rPr>
        <w:t>Distribution</w:t>
      </w:r>
    </w:p>
    <w:p w14:paraId="357C0873" w14:textId="77777777" w:rsidR="00FC7BD9" w:rsidRDefault="00FC7BD9" w:rsidP="00FC7BD9">
      <w:pPr>
        <w:pStyle w:val="NormalWeb"/>
        <w:numPr>
          <w:ilvl w:val="1"/>
          <w:numId w:val="65"/>
        </w:numPr>
      </w:pPr>
      <w:r>
        <w:t xml:space="preserve">Monoesters distribute into </w:t>
      </w:r>
      <w:r>
        <w:rPr>
          <w:rStyle w:val="Strong"/>
          <w:rFonts w:eastAsiaTheme="majorEastAsia"/>
        </w:rPr>
        <w:t>liver, kidney, reproductive tissues and placenta</w:t>
      </w:r>
      <w:r>
        <w:t>.</w:t>
      </w:r>
    </w:p>
    <w:p w14:paraId="725D0448" w14:textId="77777777" w:rsidR="00FC7BD9" w:rsidRDefault="00FC7BD9" w:rsidP="00FC7BD9">
      <w:pPr>
        <w:pStyle w:val="NormalWeb"/>
        <w:numPr>
          <w:ilvl w:val="1"/>
          <w:numId w:val="65"/>
        </w:numPr>
      </w:pPr>
      <w:r>
        <w:t xml:space="preserve">Placental perfusion and cord-blood studies detect </w:t>
      </w:r>
      <w:r>
        <w:rPr>
          <w:rStyle w:val="Strong"/>
          <w:rFonts w:eastAsiaTheme="majorEastAsia"/>
        </w:rPr>
        <w:t>mMP, MEP, MBP, MEHP</w:t>
      </w:r>
      <w:r>
        <w:t xml:space="preserve"> in fetal circulation and placenta, indicating </w:t>
      </w:r>
      <w:r>
        <w:rPr>
          <w:rStyle w:val="Strong"/>
          <w:rFonts w:eastAsiaTheme="majorEastAsia"/>
        </w:rPr>
        <w:t>transplacental transfer of several monoesters</w:t>
      </w:r>
      <w:r>
        <w:t xml:space="preserve">. </w:t>
      </w:r>
      <w:hyperlink r:id="rId19" w:tgtFrame="_blank" w:history="1">
        <w:r>
          <w:rPr>
            <w:rStyle w:val="max-w-15ch"/>
            <w:rFonts w:eastAsiaTheme="majorEastAsia"/>
            <w:color w:val="0000FF"/>
            <w:u w:val="single"/>
          </w:rPr>
          <w:t>PubMed</w:t>
        </w:r>
        <w:r>
          <w:rPr>
            <w:rStyle w:val="-me-1"/>
            <w:color w:val="0000FF"/>
            <w:u w:val="single"/>
          </w:rPr>
          <w:t>+1</w:t>
        </w:r>
      </w:hyperlink>
    </w:p>
    <w:p w14:paraId="757A3C8F" w14:textId="77777777" w:rsidR="00FC7BD9" w:rsidRDefault="00FC7BD9" w:rsidP="00FC7BD9">
      <w:pPr>
        <w:pStyle w:val="NormalWeb"/>
        <w:numPr>
          <w:ilvl w:val="0"/>
          <w:numId w:val="65"/>
        </w:numPr>
      </w:pPr>
      <w:r>
        <w:rPr>
          <w:rStyle w:val="Strong"/>
          <w:rFonts w:eastAsiaTheme="majorEastAsia"/>
        </w:rPr>
        <w:t>Excretion &amp; half-lives</w:t>
      </w:r>
    </w:p>
    <w:p w14:paraId="6D722445" w14:textId="77777777" w:rsidR="00FC7BD9" w:rsidRDefault="00FC7BD9" w:rsidP="00FC7BD9">
      <w:pPr>
        <w:pStyle w:val="NormalWeb"/>
        <w:numPr>
          <w:ilvl w:val="1"/>
          <w:numId w:val="65"/>
        </w:numPr>
      </w:pPr>
      <w:r>
        <w:rPr>
          <w:rStyle w:val="Strong"/>
          <w:rFonts w:eastAsiaTheme="majorEastAsia"/>
        </w:rPr>
        <w:t>Short biological half-lives</w:t>
      </w:r>
      <w:r>
        <w:t xml:space="preserve"> – typically </w:t>
      </w:r>
      <w:r>
        <w:rPr>
          <w:rStyle w:val="Strong"/>
          <w:rFonts w:eastAsiaTheme="majorEastAsia"/>
        </w:rPr>
        <w:t>hours</w:t>
      </w:r>
      <w:r>
        <w:t xml:space="preserve">, consistent with exposure from </w:t>
      </w:r>
      <w:r>
        <w:rPr>
          <w:rStyle w:val="Strong"/>
          <w:rFonts w:eastAsiaTheme="majorEastAsia"/>
        </w:rPr>
        <w:t>frequent, low-dose contact</w:t>
      </w:r>
      <w:r>
        <w:t>.</w:t>
      </w:r>
    </w:p>
    <w:p w14:paraId="4EE661AD" w14:textId="77777777" w:rsidR="00FC7BD9" w:rsidRDefault="00FC7BD9" w:rsidP="00FC7BD9">
      <w:pPr>
        <w:pStyle w:val="NormalWeb"/>
        <w:numPr>
          <w:ilvl w:val="1"/>
          <w:numId w:val="65"/>
        </w:numPr>
      </w:pPr>
      <w:r>
        <w:t>Human oral dosing with deuterated DEHP:</w:t>
      </w:r>
    </w:p>
    <w:p w14:paraId="773E185D" w14:textId="77777777" w:rsidR="00FC7BD9" w:rsidRDefault="00FC7BD9" w:rsidP="00FC7BD9">
      <w:pPr>
        <w:pStyle w:val="NormalWeb"/>
        <w:numPr>
          <w:ilvl w:val="2"/>
          <w:numId w:val="65"/>
        </w:numPr>
      </w:pPr>
      <w:r>
        <w:t>Peak MEHP, 5OH-MEHP, 5oxo-MEHP in serum and urine ~2–4 h.</w:t>
      </w:r>
    </w:p>
    <w:p w14:paraId="2439A4EB" w14:textId="77777777" w:rsidR="00FC7BD9" w:rsidRDefault="00FC7BD9" w:rsidP="00FC7BD9">
      <w:pPr>
        <w:pStyle w:val="NormalWeb"/>
        <w:numPr>
          <w:ilvl w:val="2"/>
          <w:numId w:val="65"/>
        </w:numPr>
      </w:pPr>
      <w:r>
        <w:t>Urinary half-lives ~</w:t>
      </w:r>
      <w:r>
        <w:rPr>
          <w:rStyle w:val="Strong"/>
          <w:rFonts w:eastAsiaTheme="majorEastAsia"/>
        </w:rPr>
        <w:t>2–5 h for MEHP</w:t>
      </w:r>
      <w:r>
        <w:t xml:space="preserve">, 5–10 h for oxidative metabolites. </w:t>
      </w:r>
      <w:hyperlink r:id="rId20" w:tgtFrame="_blank" w:history="1">
        <w:r>
          <w:rPr>
            <w:rStyle w:val="max-w-15ch"/>
            <w:rFonts w:eastAsiaTheme="majorEastAsia"/>
            <w:color w:val="0000FF"/>
            <w:u w:val="single"/>
          </w:rPr>
          <w:t>PubMed</w:t>
        </w:r>
        <w:r>
          <w:rPr>
            <w:rStyle w:val="-me-1"/>
            <w:color w:val="0000FF"/>
            <w:u w:val="single"/>
          </w:rPr>
          <w:t>+1</w:t>
        </w:r>
      </w:hyperlink>
    </w:p>
    <w:p w14:paraId="52788C09" w14:textId="77777777" w:rsidR="00FC7BD9" w:rsidRDefault="00FC7BD9" w:rsidP="00FC7BD9">
      <w:pPr>
        <w:pStyle w:val="NormalWeb"/>
        <w:numPr>
          <w:ilvl w:val="1"/>
          <w:numId w:val="65"/>
        </w:numPr>
      </w:pPr>
      <w:r>
        <w:lastRenderedPageBreak/>
        <w:t xml:space="preserve">ATSDR review: urinary t½ for MEHP </w:t>
      </w:r>
      <w:r>
        <w:rPr>
          <w:rStyle w:val="Strong"/>
          <w:rFonts w:eastAsiaTheme="majorEastAsia"/>
        </w:rPr>
        <w:t>~2–8 h</w:t>
      </w:r>
      <w:r>
        <w:t xml:space="preserve"> in humans; longer in rats. </w:t>
      </w:r>
      <w:hyperlink r:id="rId21" w:tgtFrame="_blank" w:history="1">
        <w:r>
          <w:rPr>
            <w:rStyle w:val="max-w-15ch"/>
            <w:rFonts w:eastAsiaTheme="majorEastAsia"/>
            <w:color w:val="0000FF"/>
            <w:u w:val="single"/>
          </w:rPr>
          <w:t>ATSDR</w:t>
        </w:r>
      </w:hyperlink>
    </w:p>
    <w:p w14:paraId="75A105BD" w14:textId="77777777" w:rsidR="00FC7BD9" w:rsidRDefault="00FC7BD9" w:rsidP="00FC7BD9">
      <w:pPr>
        <w:pStyle w:val="NormalWeb"/>
        <w:numPr>
          <w:ilvl w:val="1"/>
          <w:numId w:val="65"/>
        </w:numPr>
      </w:pPr>
      <w:r>
        <w:rPr>
          <w:rStyle w:val="Strong"/>
          <w:rFonts w:eastAsiaTheme="majorEastAsia"/>
        </w:rPr>
        <w:t>Biomonitoring</w:t>
      </w:r>
      <w:r>
        <w:t>:</w:t>
      </w:r>
    </w:p>
    <w:p w14:paraId="3D662703" w14:textId="77777777" w:rsidR="00FC7BD9" w:rsidRDefault="00FC7BD9" w:rsidP="00FC7BD9">
      <w:pPr>
        <w:pStyle w:val="NormalWeb"/>
        <w:numPr>
          <w:ilvl w:val="2"/>
          <w:numId w:val="65"/>
        </w:numPr>
      </w:pPr>
      <w:r>
        <w:t xml:space="preserve">Urinary monoesters are established </w:t>
      </w:r>
      <w:r>
        <w:rPr>
          <w:rStyle w:val="Strong"/>
          <w:rFonts w:eastAsiaTheme="majorEastAsia"/>
        </w:rPr>
        <w:t>exposure biomarkers</w:t>
      </w:r>
      <w:r>
        <w:t>; ~</w:t>
      </w:r>
      <w:r>
        <w:rPr>
          <w:rStyle w:val="Strong"/>
          <w:rFonts w:eastAsiaTheme="majorEastAsia"/>
        </w:rPr>
        <w:t>&gt;90% detection</w:t>
      </w:r>
      <w:r>
        <w:t xml:space="preserve"> in national surveys.</w:t>
      </w:r>
    </w:p>
    <w:p w14:paraId="12F3619A" w14:textId="77777777" w:rsidR="00FC7BD9" w:rsidRDefault="00F573BC" w:rsidP="00FC7BD9">
      <w:r w:rsidRPr="00F573BC">
        <w:rPr>
          <w:noProof/>
          <w14:ligatures w14:val="standardContextual"/>
        </w:rPr>
        <w:pict w14:anchorId="4830CE16">
          <v:rect id="_x0000_i1031" alt="" style="width:468pt;height:.05pt;mso-width-percent:0;mso-height-percent:0;mso-width-percent:0;mso-height-percent:0" o:hralign="center" o:hrstd="t" o:hr="t" fillcolor="#a0a0a0" stroked="f"/>
        </w:pict>
      </w:r>
    </w:p>
    <w:p w14:paraId="1DF41DAD" w14:textId="77777777" w:rsidR="00FC7BD9" w:rsidRDefault="00FC7BD9" w:rsidP="00FC7BD9">
      <w:pPr>
        <w:pStyle w:val="Heading2"/>
      </w:pPr>
      <w:r>
        <w:t>4. Molecular Mechanisms of Action (MoA)</w:t>
      </w:r>
    </w:p>
    <w:p w14:paraId="39232953" w14:textId="77777777" w:rsidR="00FC7BD9" w:rsidRDefault="00FC7BD9" w:rsidP="00FC7BD9">
      <w:pPr>
        <w:pStyle w:val="Heading3"/>
      </w:pPr>
      <w:r>
        <w:t>4.1 Endocrine Disruption – Anti-androgenic Effects (“Phthalate Syndrome”)</w:t>
      </w:r>
    </w:p>
    <w:p w14:paraId="14F526D4" w14:textId="77777777" w:rsidR="00FC7BD9" w:rsidRDefault="00FC7BD9" w:rsidP="00FC7BD9">
      <w:pPr>
        <w:pStyle w:val="NormalWeb"/>
        <w:numPr>
          <w:ilvl w:val="0"/>
          <w:numId w:val="66"/>
        </w:numPr>
      </w:pPr>
      <w:r>
        <w:rPr>
          <w:rStyle w:val="Strong"/>
          <w:rFonts w:eastAsiaTheme="majorEastAsia"/>
        </w:rPr>
        <w:t>Male reproductive tract in rodents</w:t>
      </w:r>
    </w:p>
    <w:p w14:paraId="1BDF460B" w14:textId="77777777" w:rsidR="00FC7BD9" w:rsidRDefault="00FC7BD9" w:rsidP="00FC7BD9">
      <w:pPr>
        <w:pStyle w:val="NormalWeb"/>
        <w:numPr>
          <w:ilvl w:val="1"/>
          <w:numId w:val="66"/>
        </w:numPr>
      </w:pPr>
      <w:r>
        <w:t xml:space="preserve">Fetal exposure to certain phthalates (especially </w:t>
      </w:r>
      <w:r>
        <w:rPr>
          <w:rStyle w:val="Strong"/>
          <w:rFonts w:eastAsiaTheme="majorEastAsia"/>
        </w:rPr>
        <w:t>DEHP, DBP, BBP, DINP</w:t>
      </w:r>
      <w:r>
        <w:t xml:space="preserve">) reduces </w:t>
      </w:r>
      <w:r>
        <w:rPr>
          <w:rStyle w:val="Strong"/>
          <w:rFonts w:eastAsiaTheme="majorEastAsia"/>
        </w:rPr>
        <w:t>fetal testicular testosterone and INSL3</w:t>
      </w:r>
      <w:r>
        <w:t>, leading to:</w:t>
      </w:r>
    </w:p>
    <w:p w14:paraId="5F8EE238" w14:textId="77777777" w:rsidR="00FC7BD9" w:rsidRDefault="00FC7BD9" w:rsidP="00FC7BD9">
      <w:pPr>
        <w:pStyle w:val="NormalWeb"/>
        <w:numPr>
          <w:ilvl w:val="2"/>
          <w:numId w:val="66"/>
        </w:numPr>
      </w:pPr>
      <w:r>
        <w:t xml:space="preserve">Reduced </w:t>
      </w:r>
      <w:r>
        <w:rPr>
          <w:rStyle w:val="Strong"/>
          <w:rFonts w:eastAsiaTheme="majorEastAsia"/>
        </w:rPr>
        <w:t>AGD</w:t>
      </w:r>
      <w:r>
        <w:t xml:space="preserve">, </w:t>
      </w:r>
      <w:r>
        <w:rPr>
          <w:rStyle w:val="Strong"/>
          <w:rFonts w:eastAsiaTheme="majorEastAsia"/>
        </w:rPr>
        <w:t>hypospadias</w:t>
      </w:r>
      <w:r>
        <w:t xml:space="preserve">, </w:t>
      </w:r>
      <w:r>
        <w:rPr>
          <w:rStyle w:val="Strong"/>
          <w:rFonts w:eastAsiaTheme="majorEastAsia"/>
        </w:rPr>
        <w:t>cryptorchidism</w:t>
      </w:r>
      <w:r>
        <w:t xml:space="preserve">, </w:t>
      </w:r>
      <w:r>
        <w:rPr>
          <w:rStyle w:val="Strong"/>
          <w:rFonts w:eastAsiaTheme="majorEastAsia"/>
        </w:rPr>
        <w:t>retained nipples</w:t>
      </w:r>
      <w:r>
        <w:t xml:space="preserve">, epididymal and vas deferens malformations. </w:t>
      </w:r>
      <w:hyperlink r:id="rId22" w:tgtFrame="_blank" w:history="1">
        <w:r>
          <w:rPr>
            <w:rStyle w:val="max-w-15ch"/>
            <w:rFonts w:eastAsiaTheme="majorEastAsia"/>
            <w:color w:val="0000FF"/>
            <w:u w:val="single"/>
          </w:rPr>
          <w:t>PMC</w:t>
        </w:r>
      </w:hyperlink>
    </w:p>
    <w:p w14:paraId="07897077" w14:textId="77777777" w:rsidR="00FC7BD9" w:rsidRDefault="00FC7BD9" w:rsidP="00FC7BD9">
      <w:pPr>
        <w:pStyle w:val="NormalWeb"/>
        <w:numPr>
          <w:ilvl w:val="1"/>
          <w:numId w:val="66"/>
        </w:numPr>
      </w:pPr>
      <w:r>
        <w:t xml:space="preserve">These outcomes underlie the term </w:t>
      </w:r>
      <w:r>
        <w:rPr>
          <w:rStyle w:val="Strong"/>
          <w:rFonts w:eastAsiaTheme="majorEastAsia"/>
        </w:rPr>
        <w:t>“phthalate syndrome”</w:t>
      </w:r>
      <w:r>
        <w:t>, closely paralleling “testicular dysgenesis syndrome” in humans.</w:t>
      </w:r>
    </w:p>
    <w:p w14:paraId="3EAC2AD8" w14:textId="77777777" w:rsidR="00FC7BD9" w:rsidRDefault="00FC7BD9" w:rsidP="00FC7BD9">
      <w:pPr>
        <w:pStyle w:val="NormalWeb"/>
        <w:numPr>
          <w:ilvl w:val="0"/>
          <w:numId w:val="66"/>
        </w:numPr>
      </w:pPr>
      <w:r>
        <w:rPr>
          <w:rStyle w:val="Strong"/>
          <w:rFonts w:eastAsiaTheme="majorEastAsia"/>
        </w:rPr>
        <w:t>Mechanisms</w:t>
      </w:r>
    </w:p>
    <w:p w14:paraId="6DF48159" w14:textId="77777777" w:rsidR="00FC7BD9" w:rsidRDefault="00FC7BD9" w:rsidP="00FC7BD9">
      <w:pPr>
        <w:pStyle w:val="NormalWeb"/>
        <w:numPr>
          <w:ilvl w:val="1"/>
          <w:numId w:val="66"/>
        </w:numPr>
      </w:pPr>
      <w:r>
        <w:rPr>
          <w:rStyle w:val="Strong"/>
          <w:rFonts w:eastAsiaTheme="majorEastAsia"/>
        </w:rPr>
        <w:t>Down-regulation of steroidogenic enzymes</w:t>
      </w:r>
      <w:r>
        <w:t xml:space="preserve"> (e.g., StAR, CYP11A1, CYP17A1) in fetal Leydig cells.</w:t>
      </w:r>
    </w:p>
    <w:p w14:paraId="58132E37" w14:textId="77777777" w:rsidR="00FC7BD9" w:rsidRDefault="00FC7BD9" w:rsidP="00FC7BD9">
      <w:pPr>
        <w:pStyle w:val="NormalWeb"/>
        <w:numPr>
          <w:ilvl w:val="1"/>
          <w:numId w:val="66"/>
        </w:numPr>
      </w:pPr>
      <w:r>
        <w:t xml:space="preserve">Disruption of seminiferous cord development and Sertoli cell function; induction of multinucleated germ cells. </w:t>
      </w:r>
      <w:hyperlink r:id="rId23" w:tgtFrame="_blank" w:history="1">
        <w:r>
          <w:rPr>
            <w:rStyle w:val="max-w-15ch"/>
            <w:rFonts w:eastAsiaTheme="majorEastAsia"/>
            <w:color w:val="0000FF"/>
            <w:u w:val="single"/>
          </w:rPr>
          <w:t>PMC</w:t>
        </w:r>
      </w:hyperlink>
    </w:p>
    <w:p w14:paraId="72E0C99F" w14:textId="77777777" w:rsidR="00FC7BD9" w:rsidRDefault="00FC7BD9" w:rsidP="00FC7BD9">
      <w:pPr>
        <w:pStyle w:val="NormalWeb"/>
        <w:numPr>
          <w:ilvl w:val="0"/>
          <w:numId w:val="66"/>
        </w:numPr>
      </w:pPr>
      <w:r>
        <w:rPr>
          <w:rStyle w:val="Strong"/>
          <w:rFonts w:eastAsiaTheme="majorEastAsia"/>
        </w:rPr>
        <w:t>Human evidence</w:t>
      </w:r>
    </w:p>
    <w:p w14:paraId="34A3CA34" w14:textId="77777777" w:rsidR="00FC7BD9" w:rsidRDefault="00FC7BD9" w:rsidP="00FC7BD9">
      <w:pPr>
        <w:pStyle w:val="NormalWeb"/>
        <w:numPr>
          <w:ilvl w:val="1"/>
          <w:numId w:val="66"/>
        </w:numPr>
      </w:pPr>
      <w:r>
        <w:rPr>
          <w:rStyle w:val="Strong"/>
          <w:rFonts w:eastAsiaTheme="majorEastAsia"/>
        </w:rPr>
        <w:t>Swan et al. 2005</w:t>
      </w:r>
      <w:r>
        <w:t xml:space="preserve">: prenatal urinary metabolites of several LMW and DEHP metabolites inversely associated with </w:t>
      </w:r>
      <w:r>
        <w:rPr>
          <w:rStyle w:val="Strong"/>
          <w:rFonts w:eastAsiaTheme="majorEastAsia"/>
        </w:rPr>
        <w:t>AGD/AGI in boys</w:t>
      </w:r>
      <w:r>
        <w:t xml:space="preserve">, with shorter AGD linked to higher phthalate “anti-androgenic” score. </w:t>
      </w:r>
      <w:hyperlink r:id="rId24" w:tgtFrame="_blank" w:history="1">
        <w:r>
          <w:rPr>
            <w:rStyle w:val="max-w-15ch"/>
            <w:rFonts w:eastAsiaTheme="majorEastAsia"/>
            <w:color w:val="0000FF"/>
            <w:u w:val="single"/>
          </w:rPr>
          <w:t>PMC</w:t>
        </w:r>
        <w:r>
          <w:rPr>
            <w:rStyle w:val="-me-1"/>
            <w:color w:val="0000FF"/>
            <w:u w:val="single"/>
          </w:rPr>
          <w:t>+1</w:t>
        </w:r>
      </w:hyperlink>
    </w:p>
    <w:p w14:paraId="0A910708" w14:textId="77777777" w:rsidR="00FC7BD9" w:rsidRDefault="00FC7BD9" w:rsidP="00FC7BD9">
      <w:pPr>
        <w:pStyle w:val="NormalWeb"/>
        <w:numPr>
          <w:ilvl w:val="1"/>
          <w:numId w:val="66"/>
        </w:numPr>
      </w:pPr>
      <w:r>
        <w:t xml:space="preserve">Subsequent analyses and reviews support </w:t>
      </w:r>
      <w:r>
        <w:rPr>
          <w:rStyle w:val="Strong"/>
          <w:rFonts w:eastAsiaTheme="majorEastAsia"/>
        </w:rPr>
        <w:t>shorter AGD and less complete testicular descent</w:t>
      </w:r>
      <w:r>
        <w:t xml:space="preserve"> with higher maternal phthalate exposure, albeit with heterogeneity. </w:t>
      </w:r>
      <w:hyperlink r:id="rId25" w:tgtFrame="_blank" w:history="1">
        <w:r>
          <w:rPr>
            <w:rStyle w:val="max-w-15ch"/>
            <w:rFonts w:eastAsiaTheme="majorEastAsia"/>
            <w:color w:val="0000FF"/>
            <w:u w:val="single"/>
          </w:rPr>
          <w:t>PMC</w:t>
        </w:r>
        <w:r>
          <w:rPr>
            <w:rStyle w:val="-me-1"/>
            <w:color w:val="0000FF"/>
            <w:u w:val="single"/>
          </w:rPr>
          <w:t>+1</w:t>
        </w:r>
      </w:hyperlink>
    </w:p>
    <w:p w14:paraId="78C78516" w14:textId="77777777" w:rsidR="00FC7BD9" w:rsidRDefault="00FC7BD9" w:rsidP="00FC7BD9">
      <w:pPr>
        <w:pStyle w:val="Heading3"/>
      </w:pPr>
      <w:r>
        <w:t>4.2 Receptor Interactions – PPARs and AhR</w:t>
      </w:r>
    </w:p>
    <w:p w14:paraId="19498C43" w14:textId="77777777" w:rsidR="00FC7BD9" w:rsidRDefault="00FC7BD9" w:rsidP="00FC7BD9">
      <w:pPr>
        <w:pStyle w:val="NormalWeb"/>
        <w:numPr>
          <w:ilvl w:val="0"/>
          <w:numId w:val="67"/>
        </w:numPr>
      </w:pPr>
      <w:r>
        <w:rPr>
          <w:rStyle w:val="Strong"/>
          <w:rFonts w:eastAsiaTheme="majorEastAsia"/>
        </w:rPr>
        <w:t>PPARα / PPARγ</w:t>
      </w:r>
    </w:p>
    <w:p w14:paraId="3596B624" w14:textId="77777777" w:rsidR="00FC7BD9" w:rsidRDefault="00FC7BD9" w:rsidP="00FC7BD9">
      <w:pPr>
        <w:pStyle w:val="NormalWeb"/>
        <w:numPr>
          <w:ilvl w:val="1"/>
          <w:numId w:val="67"/>
        </w:numPr>
      </w:pPr>
      <w:r>
        <w:rPr>
          <w:rStyle w:val="Strong"/>
          <w:rFonts w:eastAsiaTheme="majorEastAsia"/>
        </w:rPr>
        <w:t>MEHP and several monoesters</w:t>
      </w:r>
      <w:r>
        <w:t xml:space="preserve"> activate </w:t>
      </w:r>
      <w:r>
        <w:rPr>
          <w:rStyle w:val="Strong"/>
          <w:rFonts w:eastAsiaTheme="majorEastAsia"/>
        </w:rPr>
        <w:t>PPARα</w:t>
      </w:r>
      <w:r>
        <w:t xml:space="preserve"> and </w:t>
      </w:r>
      <w:r>
        <w:rPr>
          <w:rStyle w:val="Strong"/>
          <w:rFonts w:eastAsiaTheme="majorEastAsia"/>
        </w:rPr>
        <w:t>PPARγ</w:t>
      </w:r>
      <w:r>
        <w:t xml:space="preserve"> in reporter assays and relevant cell lines. </w:t>
      </w:r>
      <w:hyperlink r:id="rId26" w:tgtFrame="_blank" w:history="1">
        <w:r>
          <w:rPr>
            <w:rStyle w:val="max-w-15ch"/>
            <w:rFonts w:eastAsiaTheme="majorEastAsia"/>
            <w:color w:val="0000FF"/>
            <w:u w:val="single"/>
          </w:rPr>
          <w:t>PubMed</w:t>
        </w:r>
        <w:r>
          <w:rPr>
            <w:rStyle w:val="-me-1"/>
            <w:color w:val="0000FF"/>
            <w:u w:val="single"/>
          </w:rPr>
          <w:t>+1</w:t>
        </w:r>
      </w:hyperlink>
    </w:p>
    <w:p w14:paraId="71D647B6" w14:textId="77777777" w:rsidR="00FC7BD9" w:rsidRDefault="00FC7BD9" w:rsidP="00FC7BD9">
      <w:pPr>
        <w:pStyle w:val="NormalWeb"/>
        <w:numPr>
          <w:ilvl w:val="1"/>
          <w:numId w:val="67"/>
        </w:numPr>
      </w:pPr>
      <w:r>
        <w:t xml:space="preserve">PPARα activation in liver → </w:t>
      </w:r>
      <w:r>
        <w:rPr>
          <w:rStyle w:val="Strong"/>
          <w:rFonts w:eastAsiaTheme="majorEastAsia"/>
        </w:rPr>
        <w:t>peroxisome proliferation, fatty acid oxidation changes, hepatomegaly and rodent liver tumors</w:t>
      </w:r>
      <w:r>
        <w:t xml:space="preserve"> (basis for some liver toxicity and carcinogenicity classifications). </w:t>
      </w:r>
      <w:hyperlink r:id="rId27" w:tgtFrame="_blank" w:history="1">
        <w:r>
          <w:rPr>
            <w:rStyle w:val="max-w-15ch"/>
            <w:rFonts w:eastAsiaTheme="majorEastAsia"/>
            <w:color w:val="0000FF"/>
            <w:u w:val="single"/>
          </w:rPr>
          <w:t>PubMed</w:t>
        </w:r>
      </w:hyperlink>
    </w:p>
    <w:p w14:paraId="4489F9A4" w14:textId="77777777" w:rsidR="00FC7BD9" w:rsidRDefault="00FC7BD9" w:rsidP="00FC7BD9">
      <w:pPr>
        <w:pStyle w:val="NormalWeb"/>
        <w:numPr>
          <w:ilvl w:val="1"/>
          <w:numId w:val="67"/>
        </w:numPr>
      </w:pPr>
      <w:r>
        <w:t>PPARγ activation:</w:t>
      </w:r>
    </w:p>
    <w:p w14:paraId="7C3AF166" w14:textId="77777777" w:rsidR="00FC7BD9" w:rsidRDefault="00FC7BD9" w:rsidP="00FC7BD9">
      <w:pPr>
        <w:pStyle w:val="NormalWeb"/>
        <w:numPr>
          <w:ilvl w:val="2"/>
          <w:numId w:val="67"/>
        </w:numPr>
      </w:pPr>
      <w:r>
        <w:t xml:space="preserve">Drives </w:t>
      </w:r>
      <w:r>
        <w:rPr>
          <w:rStyle w:val="Strong"/>
          <w:rFonts w:eastAsiaTheme="majorEastAsia"/>
        </w:rPr>
        <w:t>adipocyte differentiation</w:t>
      </w:r>
      <w:r>
        <w:t xml:space="preserve"> and </w:t>
      </w:r>
      <w:r>
        <w:rPr>
          <w:rStyle w:val="Strong"/>
          <w:rFonts w:eastAsiaTheme="majorEastAsia"/>
        </w:rPr>
        <w:t>adipogenic gene programs</w:t>
      </w:r>
      <w:r>
        <w:t xml:space="preserve">; MEHP acts as a </w:t>
      </w:r>
      <w:r>
        <w:rPr>
          <w:rStyle w:val="Strong"/>
          <w:rFonts w:eastAsiaTheme="majorEastAsia"/>
        </w:rPr>
        <w:t>selective PPARγ modulator</w:t>
      </w:r>
      <w:r>
        <w:t xml:space="preserve"> promoting adipogenesis. </w:t>
      </w:r>
      <w:hyperlink r:id="rId28" w:tgtFrame="_blank" w:history="1">
        <w:r>
          <w:rPr>
            <w:rStyle w:val="max-w-15ch"/>
            <w:rFonts w:eastAsiaTheme="majorEastAsia"/>
            <w:color w:val="0000FF"/>
            <w:u w:val="single"/>
          </w:rPr>
          <w:t>PubMed</w:t>
        </w:r>
      </w:hyperlink>
    </w:p>
    <w:p w14:paraId="7C4BDAAD" w14:textId="77777777" w:rsidR="00FC7BD9" w:rsidRDefault="00FC7BD9" w:rsidP="00FC7BD9">
      <w:pPr>
        <w:pStyle w:val="NormalWeb"/>
        <w:numPr>
          <w:ilvl w:val="2"/>
          <w:numId w:val="67"/>
        </w:numPr>
      </w:pPr>
      <w:r>
        <w:t xml:space="preserve">In ovarian granulosa cells, PPARα/γ activation by MEHP suppresses </w:t>
      </w:r>
      <w:r>
        <w:rPr>
          <w:rStyle w:val="Strong"/>
          <w:rFonts w:eastAsiaTheme="majorEastAsia"/>
        </w:rPr>
        <w:t>aromatase (CYP19)</w:t>
      </w:r>
      <w:r>
        <w:t xml:space="preserve">, decreasing estradiol synthesis. </w:t>
      </w:r>
      <w:hyperlink r:id="rId29" w:tgtFrame="_blank" w:history="1">
        <w:r>
          <w:rPr>
            <w:rStyle w:val="max-w-15ch"/>
            <w:rFonts w:eastAsiaTheme="majorEastAsia"/>
            <w:color w:val="0000FF"/>
            <w:u w:val="single"/>
          </w:rPr>
          <w:t>PubMed</w:t>
        </w:r>
      </w:hyperlink>
    </w:p>
    <w:p w14:paraId="05110C2C" w14:textId="77777777" w:rsidR="00FC7BD9" w:rsidRDefault="00FC7BD9" w:rsidP="00FC7BD9">
      <w:pPr>
        <w:pStyle w:val="NormalWeb"/>
        <w:numPr>
          <w:ilvl w:val="2"/>
          <w:numId w:val="67"/>
        </w:numPr>
      </w:pPr>
      <w:r>
        <w:t xml:space="preserve">In placental trophoblasts, MEHP shows </w:t>
      </w:r>
      <w:r>
        <w:rPr>
          <w:rStyle w:val="Strong"/>
          <w:rFonts w:eastAsiaTheme="majorEastAsia"/>
        </w:rPr>
        <w:t>non-monotonic PPARγ-mediated effects</w:t>
      </w:r>
      <w:r>
        <w:t xml:space="preserve"> on differentiation and hCG production. </w:t>
      </w:r>
      <w:hyperlink r:id="rId30" w:tgtFrame="_blank" w:history="1">
        <w:r>
          <w:rPr>
            <w:rStyle w:val="max-w-15ch"/>
            <w:rFonts w:eastAsiaTheme="majorEastAsia"/>
            <w:color w:val="0000FF"/>
            <w:u w:val="single"/>
          </w:rPr>
          <w:t>PubMed</w:t>
        </w:r>
      </w:hyperlink>
    </w:p>
    <w:p w14:paraId="7A0CA80E" w14:textId="77777777" w:rsidR="00FC7BD9" w:rsidRDefault="00FC7BD9" w:rsidP="00FC7BD9">
      <w:pPr>
        <w:pStyle w:val="NormalWeb"/>
        <w:numPr>
          <w:ilvl w:val="0"/>
          <w:numId w:val="67"/>
        </w:numPr>
      </w:pPr>
      <w:r>
        <w:rPr>
          <w:rStyle w:val="Strong"/>
          <w:rFonts w:eastAsiaTheme="majorEastAsia"/>
        </w:rPr>
        <w:lastRenderedPageBreak/>
        <w:t>AhR</w:t>
      </w:r>
    </w:p>
    <w:p w14:paraId="52982A81" w14:textId="77777777" w:rsidR="00FC7BD9" w:rsidRDefault="00FC7BD9" w:rsidP="00FC7BD9">
      <w:pPr>
        <w:pStyle w:val="NormalWeb"/>
        <w:numPr>
          <w:ilvl w:val="1"/>
          <w:numId w:val="67"/>
        </w:numPr>
      </w:pPr>
      <w:r>
        <w:t xml:space="preserve">Some phthalates show weak </w:t>
      </w:r>
      <w:r>
        <w:rPr>
          <w:rStyle w:val="Strong"/>
          <w:rFonts w:eastAsiaTheme="majorEastAsia"/>
        </w:rPr>
        <w:t>AhR agonism/antagonism</w:t>
      </w:r>
      <w:r>
        <w:t xml:space="preserve"> in vitro, but </w:t>
      </w:r>
      <w:r>
        <w:rPr>
          <w:rStyle w:val="Strong"/>
          <w:rFonts w:eastAsiaTheme="majorEastAsia"/>
        </w:rPr>
        <w:t>PPAR signaling</w:t>
      </w:r>
      <w:r>
        <w:t xml:space="preserve"> is considered the dominant, better-characterized MoA; AhR may contribute to cross-talk with xenobiotic metabolism and inflammatory pathways in certain contexts.</w:t>
      </w:r>
    </w:p>
    <w:p w14:paraId="32A375CC" w14:textId="77777777" w:rsidR="00FC7BD9" w:rsidRDefault="00FC7BD9" w:rsidP="00FC7BD9">
      <w:pPr>
        <w:pStyle w:val="Heading3"/>
      </w:pPr>
      <w:r>
        <w:t>4.3 Oxidative Stress and Mitochondrial Dysfunction</w:t>
      </w:r>
    </w:p>
    <w:p w14:paraId="43EAF245" w14:textId="77777777" w:rsidR="00FC7BD9" w:rsidRDefault="00FC7BD9" w:rsidP="00FC7BD9">
      <w:pPr>
        <w:pStyle w:val="NormalWeb"/>
        <w:numPr>
          <w:ilvl w:val="0"/>
          <w:numId w:val="68"/>
        </w:numPr>
      </w:pPr>
      <w:r>
        <w:rPr>
          <w:rStyle w:val="Strong"/>
          <w:rFonts w:eastAsiaTheme="majorEastAsia"/>
        </w:rPr>
        <w:t>Mechanistic findings (mostly MEHP)</w:t>
      </w:r>
    </w:p>
    <w:p w14:paraId="275D0EC5" w14:textId="77777777" w:rsidR="00FC7BD9" w:rsidRDefault="00FC7BD9" w:rsidP="00FC7BD9">
      <w:pPr>
        <w:pStyle w:val="NormalWeb"/>
        <w:numPr>
          <w:ilvl w:val="1"/>
          <w:numId w:val="68"/>
        </w:numPr>
      </w:pPr>
      <w:r>
        <w:t>In human trophoblast and other cell models, MEHP:</w:t>
      </w:r>
    </w:p>
    <w:p w14:paraId="380C5CE8" w14:textId="77777777" w:rsidR="00FC7BD9" w:rsidRDefault="00FC7BD9" w:rsidP="00FC7BD9">
      <w:pPr>
        <w:pStyle w:val="NormalWeb"/>
        <w:numPr>
          <w:ilvl w:val="2"/>
          <w:numId w:val="68"/>
        </w:numPr>
      </w:pPr>
      <w:r>
        <w:t xml:space="preserve">Reduces </w:t>
      </w:r>
      <w:r>
        <w:rPr>
          <w:rStyle w:val="Strong"/>
          <w:rFonts w:eastAsiaTheme="majorEastAsia"/>
        </w:rPr>
        <w:t>mitochondrial membrane potential</w:t>
      </w:r>
      <w:r>
        <w:t xml:space="preserve">, alters </w:t>
      </w:r>
      <w:r>
        <w:rPr>
          <w:rStyle w:val="Strong"/>
          <w:rFonts w:eastAsiaTheme="majorEastAsia"/>
        </w:rPr>
        <w:t>mitochondrial dynamics genes (MFN1/2, DRP1, FIS1)</w:t>
      </w:r>
      <w:r>
        <w:t xml:space="preserve">, and increases </w:t>
      </w:r>
      <w:r>
        <w:rPr>
          <w:rStyle w:val="Strong"/>
          <w:rFonts w:eastAsiaTheme="majorEastAsia"/>
        </w:rPr>
        <w:t>ROS</w:t>
      </w:r>
      <w:r>
        <w:t xml:space="preserve"> at higher concentrations. </w:t>
      </w:r>
      <w:hyperlink r:id="rId31" w:tgtFrame="_blank" w:history="1">
        <w:r>
          <w:rPr>
            <w:rStyle w:val="max-w-15ch"/>
            <w:rFonts w:eastAsiaTheme="majorEastAsia"/>
            <w:color w:val="0000FF"/>
            <w:u w:val="single"/>
          </w:rPr>
          <w:t>MDPI</w:t>
        </w:r>
        <w:r>
          <w:rPr>
            <w:rStyle w:val="-me-1"/>
            <w:color w:val="0000FF"/>
            <w:u w:val="single"/>
          </w:rPr>
          <w:t>+1</w:t>
        </w:r>
      </w:hyperlink>
    </w:p>
    <w:p w14:paraId="4D54F2BE" w14:textId="77777777" w:rsidR="00FC7BD9" w:rsidRDefault="00FC7BD9" w:rsidP="00FC7BD9">
      <w:pPr>
        <w:pStyle w:val="NormalWeb"/>
        <w:numPr>
          <w:ilvl w:val="2"/>
          <w:numId w:val="68"/>
        </w:numPr>
      </w:pPr>
      <w:r>
        <w:t xml:space="preserve">Promotes </w:t>
      </w:r>
      <w:r>
        <w:rPr>
          <w:rStyle w:val="Strong"/>
          <w:rFonts w:eastAsiaTheme="majorEastAsia"/>
        </w:rPr>
        <w:t>PINK1–Parkin-mediated mitophagy</w:t>
      </w:r>
      <w:r>
        <w:t xml:space="preserve">, increasing mitochondrial fragmentation and cytotoxicity. </w:t>
      </w:r>
      <w:hyperlink r:id="rId32" w:tgtFrame="_blank" w:history="1">
        <w:r>
          <w:rPr>
            <w:rStyle w:val="max-w-15ch"/>
            <w:rFonts w:eastAsiaTheme="majorEastAsia"/>
            <w:color w:val="0000FF"/>
            <w:u w:val="single"/>
          </w:rPr>
          <w:t>PubMed</w:t>
        </w:r>
      </w:hyperlink>
    </w:p>
    <w:p w14:paraId="4EF14148" w14:textId="77777777" w:rsidR="00FC7BD9" w:rsidRDefault="00FC7BD9" w:rsidP="00FC7BD9">
      <w:pPr>
        <w:pStyle w:val="NormalWeb"/>
        <w:numPr>
          <w:ilvl w:val="1"/>
          <w:numId w:val="68"/>
        </w:numPr>
      </w:pPr>
      <w:r>
        <w:t xml:space="preserve">These effects converge on </w:t>
      </w:r>
      <w:r>
        <w:rPr>
          <w:rStyle w:val="Strong"/>
          <w:rFonts w:eastAsiaTheme="majorEastAsia"/>
        </w:rPr>
        <w:t>oxidative stress, altered bioenergetics, and apoptosis/autophagy</w:t>
      </w:r>
      <w:r>
        <w:t>, consistent with:</w:t>
      </w:r>
    </w:p>
    <w:p w14:paraId="18625454" w14:textId="77777777" w:rsidR="00FC7BD9" w:rsidRDefault="00FC7BD9" w:rsidP="00FC7BD9">
      <w:pPr>
        <w:pStyle w:val="NormalWeb"/>
        <w:numPr>
          <w:ilvl w:val="2"/>
          <w:numId w:val="68"/>
        </w:numPr>
      </w:pPr>
      <w:r>
        <w:t>Hepatocellular injury</w:t>
      </w:r>
    </w:p>
    <w:p w14:paraId="0F49E6F2" w14:textId="77777777" w:rsidR="00FC7BD9" w:rsidRDefault="00FC7BD9" w:rsidP="00FC7BD9">
      <w:pPr>
        <w:pStyle w:val="NormalWeb"/>
        <w:numPr>
          <w:ilvl w:val="2"/>
          <w:numId w:val="68"/>
        </w:numPr>
      </w:pPr>
      <w:r>
        <w:t>Placental dysfunction</w:t>
      </w:r>
    </w:p>
    <w:p w14:paraId="212D8FE2" w14:textId="77777777" w:rsidR="00FC7BD9" w:rsidRDefault="00FC7BD9" w:rsidP="00FC7BD9">
      <w:pPr>
        <w:pStyle w:val="NormalWeb"/>
        <w:numPr>
          <w:ilvl w:val="2"/>
          <w:numId w:val="68"/>
        </w:numPr>
      </w:pPr>
      <w:r>
        <w:t>Potential neurodevelopmental and metabolic impacts.</w:t>
      </w:r>
    </w:p>
    <w:p w14:paraId="6BF58CE4" w14:textId="77777777" w:rsidR="00FC7BD9" w:rsidRDefault="00F573BC" w:rsidP="00FC7BD9">
      <w:r w:rsidRPr="00F573BC">
        <w:rPr>
          <w:noProof/>
          <w14:ligatures w14:val="standardContextual"/>
        </w:rPr>
        <w:pict w14:anchorId="002EA947">
          <v:rect id="_x0000_i1030" alt="" style="width:468pt;height:.05pt;mso-width-percent:0;mso-height-percent:0;mso-width-percent:0;mso-height-percent:0" o:hralign="center" o:hrstd="t" o:hr="t" fillcolor="#a0a0a0" stroked="f"/>
        </w:pict>
      </w:r>
    </w:p>
    <w:p w14:paraId="462B0515" w14:textId="77777777" w:rsidR="00FC7BD9" w:rsidRDefault="00FC7BD9" w:rsidP="00FC7BD9">
      <w:pPr>
        <w:pStyle w:val="Heading2"/>
      </w:pPr>
      <w:r>
        <w:t>5. Organ-Specific Toxicity – Evidence Review</w:t>
      </w:r>
    </w:p>
    <w:p w14:paraId="7B6ED303" w14:textId="77777777" w:rsidR="00FC7BD9" w:rsidRDefault="00FC7BD9" w:rsidP="00FC7BD9">
      <w:pPr>
        <w:pStyle w:val="Heading3"/>
      </w:pPr>
      <w:r>
        <w:t>5.1 Reproductive &amp; Developmental Toxicity</w:t>
      </w:r>
    </w:p>
    <w:p w14:paraId="65A218DE" w14:textId="77777777" w:rsidR="00FC7BD9" w:rsidRDefault="00FC7BD9" w:rsidP="00FC7BD9">
      <w:pPr>
        <w:pStyle w:val="NormalWeb"/>
      </w:pPr>
      <w:r>
        <w:rPr>
          <w:rStyle w:val="Strong"/>
          <w:rFonts w:eastAsiaTheme="majorEastAsia"/>
        </w:rPr>
        <w:t>Experimental data</w:t>
      </w:r>
    </w:p>
    <w:p w14:paraId="16A0E361" w14:textId="77777777" w:rsidR="00FC7BD9" w:rsidRDefault="00FC7BD9" w:rsidP="00FC7BD9">
      <w:pPr>
        <w:pStyle w:val="NormalWeb"/>
        <w:numPr>
          <w:ilvl w:val="0"/>
          <w:numId w:val="69"/>
        </w:numPr>
      </w:pPr>
      <w:r>
        <w:t>Robust evidence in rats/mice for:</w:t>
      </w:r>
    </w:p>
    <w:p w14:paraId="353FB4D7" w14:textId="77777777" w:rsidR="00FC7BD9" w:rsidRDefault="00FC7BD9" w:rsidP="00FC7BD9">
      <w:pPr>
        <w:pStyle w:val="NormalWeb"/>
        <w:numPr>
          <w:ilvl w:val="1"/>
          <w:numId w:val="69"/>
        </w:numPr>
      </w:pPr>
      <w:r>
        <w:rPr>
          <w:rStyle w:val="Strong"/>
          <w:rFonts w:eastAsiaTheme="majorEastAsia"/>
        </w:rPr>
        <w:t>Fetal Leydig cell dysfunction</w:t>
      </w:r>
      <w:r>
        <w:t>, decreased testosterone.</w:t>
      </w:r>
    </w:p>
    <w:p w14:paraId="68096336" w14:textId="77777777" w:rsidR="00FC7BD9" w:rsidRDefault="00FC7BD9" w:rsidP="00FC7BD9">
      <w:pPr>
        <w:pStyle w:val="NormalWeb"/>
        <w:numPr>
          <w:ilvl w:val="1"/>
          <w:numId w:val="69"/>
        </w:numPr>
      </w:pPr>
      <w:r>
        <w:rPr>
          <w:rStyle w:val="Strong"/>
          <w:rFonts w:eastAsiaTheme="majorEastAsia"/>
        </w:rPr>
        <w:t>AGD reduction, nipple retention, hypospadias, cryptorchidism</w:t>
      </w:r>
      <w:r>
        <w:t xml:space="preserve">, and impaired spermatogenesis following in utero exposure to </w:t>
      </w:r>
      <w:r>
        <w:rPr>
          <w:rStyle w:val="Strong"/>
          <w:rFonts w:eastAsiaTheme="majorEastAsia"/>
        </w:rPr>
        <w:t>DEHP, DBP, BBP, DINP</w:t>
      </w:r>
      <w:r>
        <w:t xml:space="preserve"> at relatively low mg/kg-day doses. </w:t>
      </w:r>
      <w:hyperlink r:id="rId33" w:tgtFrame="_blank" w:history="1">
        <w:r>
          <w:rPr>
            <w:rStyle w:val="max-w-15ch"/>
            <w:rFonts w:eastAsiaTheme="majorEastAsia"/>
            <w:color w:val="0000FF"/>
            <w:u w:val="single"/>
          </w:rPr>
          <w:t>PMC</w:t>
        </w:r>
        <w:r>
          <w:rPr>
            <w:rStyle w:val="-me-1"/>
            <w:color w:val="0000FF"/>
            <w:u w:val="single"/>
          </w:rPr>
          <w:t>+1</w:t>
        </w:r>
      </w:hyperlink>
    </w:p>
    <w:p w14:paraId="4B2FF6EB" w14:textId="77777777" w:rsidR="00FC7BD9" w:rsidRDefault="00FC7BD9" w:rsidP="00FC7BD9">
      <w:pPr>
        <w:pStyle w:val="NormalWeb"/>
      </w:pPr>
      <w:r>
        <w:rPr>
          <w:rStyle w:val="Strong"/>
          <w:rFonts w:eastAsiaTheme="majorEastAsia"/>
        </w:rPr>
        <w:t>Human male reproductive development</w:t>
      </w:r>
    </w:p>
    <w:p w14:paraId="0A206938" w14:textId="77777777" w:rsidR="00FC7BD9" w:rsidRDefault="00FC7BD9" w:rsidP="00FC7BD9">
      <w:pPr>
        <w:pStyle w:val="NormalWeb"/>
        <w:numPr>
          <w:ilvl w:val="0"/>
          <w:numId w:val="70"/>
        </w:numPr>
      </w:pPr>
      <w:r>
        <w:rPr>
          <w:rStyle w:val="Strong"/>
          <w:rFonts w:eastAsiaTheme="majorEastAsia"/>
        </w:rPr>
        <w:t>AGD &amp; genital endpoints</w:t>
      </w:r>
    </w:p>
    <w:p w14:paraId="187146A3" w14:textId="77777777" w:rsidR="00FC7BD9" w:rsidRDefault="00FC7BD9" w:rsidP="00FC7BD9">
      <w:pPr>
        <w:pStyle w:val="NormalWeb"/>
        <w:numPr>
          <w:ilvl w:val="1"/>
          <w:numId w:val="70"/>
        </w:numPr>
      </w:pPr>
      <w:r>
        <w:rPr>
          <w:rStyle w:val="Strong"/>
          <w:rFonts w:eastAsiaTheme="majorEastAsia"/>
        </w:rPr>
        <w:t>Swan et al., 2005</w:t>
      </w:r>
      <w:r>
        <w:t xml:space="preserve"> birth cohort:</w:t>
      </w:r>
    </w:p>
    <w:p w14:paraId="4CAFA505" w14:textId="77777777" w:rsidR="00FC7BD9" w:rsidRDefault="00FC7BD9" w:rsidP="00FC7BD9">
      <w:pPr>
        <w:pStyle w:val="NormalWeb"/>
        <w:numPr>
          <w:ilvl w:val="2"/>
          <w:numId w:val="70"/>
        </w:numPr>
      </w:pPr>
      <w:r>
        <w:t xml:space="preserve">Maternal mid-pregnancy urinary monoesters (especially </w:t>
      </w:r>
      <w:r>
        <w:rPr>
          <w:rStyle w:val="Strong"/>
          <w:rFonts w:eastAsiaTheme="majorEastAsia"/>
        </w:rPr>
        <w:t>MBP, MEHP, MBzP</w:t>
      </w:r>
      <w:r>
        <w:t xml:space="preserve">) associated with </w:t>
      </w:r>
      <w:r>
        <w:rPr>
          <w:rStyle w:val="Strong"/>
          <w:rFonts w:eastAsiaTheme="majorEastAsia"/>
        </w:rPr>
        <w:t>shorter AGD index and increased odds of incomplete testicular descent</w:t>
      </w:r>
      <w:r>
        <w:t xml:space="preserve"> in boys. </w:t>
      </w:r>
      <w:hyperlink r:id="rId34" w:tgtFrame="_blank" w:history="1">
        <w:r>
          <w:rPr>
            <w:rStyle w:val="max-w-15ch"/>
            <w:rFonts w:eastAsiaTheme="majorEastAsia"/>
            <w:color w:val="0000FF"/>
            <w:u w:val="single"/>
          </w:rPr>
          <w:t>PMC</w:t>
        </w:r>
        <w:r>
          <w:rPr>
            <w:rStyle w:val="-me-1"/>
            <w:color w:val="0000FF"/>
            <w:u w:val="single"/>
          </w:rPr>
          <w:t>+1</w:t>
        </w:r>
      </w:hyperlink>
    </w:p>
    <w:p w14:paraId="095A8770" w14:textId="77777777" w:rsidR="00FC7BD9" w:rsidRDefault="00FC7BD9" w:rsidP="00FC7BD9">
      <w:pPr>
        <w:pStyle w:val="NormalWeb"/>
        <w:numPr>
          <w:ilvl w:val="0"/>
          <w:numId w:val="70"/>
        </w:numPr>
      </w:pPr>
      <w:r>
        <w:rPr>
          <w:rStyle w:val="Strong"/>
          <w:rFonts w:eastAsiaTheme="majorEastAsia"/>
        </w:rPr>
        <w:t>Male fertility</w:t>
      </w:r>
    </w:p>
    <w:p w14:paraId="710A8643" w14:textId="77777777" w:rsidR="00FC7BD9" w:rsidRDefault="00FC7BD9" w:rsidP="00FC7BD9">
      <w:pPr>
        <w:pStyle w:val="NormalWeb"/>
        <w:numPr>
          <w:ilvl w:val="1"/>
          <w:numId w:val="70"/>
        </w:numPr>
      </w:pPr>
      <w:r>
        <w:t>Epidemiological studies (NHANES and clinic-based) link higher urinary phthalate metabolites to:</w:t>
      </w:r>
    </w:p>
    <w:p w14:paraId="3BCDA97B" w14:textId="77777777" w:rsidR="00FC7BD9" w:rsidRDefault="00FC7BD9" w:rsidP="00FC7BD9">
      <w:pPr>
        <w:pStyle w:val="NormalWeb"/>
        <w:numPr>
          <w:ilvl w:val="2"/>
          <w:numId w:val="70"/>
        </w:numPr>
      </w:pPr>
      <w:r>
        <w:lastRenderedPageBreak/>
        <w:t>Lower semen quality and altered hormone profiles, though effect sizes are generally modest and confounded.</w:t>
      </w:r>
    </w:p>
    <w:p w14:paraId="5BEBB850" w14:textId="77777777" w:rsidR="00FC7BD9" w:rsidRDefault="00FC7BD9" w:rsidP="00FC7BD9">
      <w:pPr>
        <w:pStyle w:val="NormalWeb"/>
      </w:pPr>
      <w:r>
        <w:rPr>
          <w:rStyle w:val="Strong"/>
          <w:rFonts w:eastAsiaTheme="majorEastAsia"/>
        </w:rPr>
        <w:t>Female reproductive outcomes</w:t>
      </w:r>
    </w:p>
    <w:p w14:paraId="7D0AACBA" w14:textId="77777777" w:rsidR="00FC7BD9" w:rsidRDefault="00FC7BD9" w:rsidP="00FC7BD9">
      <w:pPr>
        <w:pStyle w:val="NormalWeb"/>
        <w:numPr>
          <w:ilvl w:val="0"/>
          <w:numId w:val="71"/>
        </w:numPr>
      </w:pPr>
      <w:r>
        <w:t xml:space="preserve">Animal data: altered estrous cyclicity, ovarian follicle dynamics, reduced estradiol (aromatase inhibition via PPAR pathways). </w:t>
      </w:r>
      <w:hyperlink r:id="rId35" w:tgtFrame="_blank" w:history="1">
        <w:r>
          <w:rPr>
            <w:rStyle w:val="max-w-15ch"/>
            <w:rFonts w:eastAsiaTheme="majorEastAsia"/>
            <w:color w:val="0000FF"/>
            <w:u w:val="single"/>
          </w:rPr>
          <w:t>PubMed</w:t>
        </w:r>
      </w:hyperlink>
    </w:p>
    <w:p w14:paraId="1D914958" w14:textId="77777777" w:rsidR="00FC7BD9" w:rsidRDefault="00FC7BD9" w:rsidP="00FC7BD9">
      <w:pPr>
        <w:pStyle w:val="NormalWeb"/>
        <w:numPr>
          <w:ilvl w:val="0"/>
          <w:numId w:val="71"/>
        </w:numPr>
      </w:pPr>
      <w:r>
        <w:t xml:space="preserve">Human data: mixed evidence for associations with </w:t>
      </w:r>
      <w:r>
        <w:rPr>
          <w:rStyle w:val="Strong"/>
          <w:rFonts w:eastAsiaTheme="majorEastAsia"/>
        </w:rPr>
        <w:t>time-to-pregnancy, endometriosis, pregnancy loss</w:t>
      </w:r>
      <w:r>
        <w:t>; generally suggestive but not unequivocal.</w:t>
      </w:r>
    </w:p>
    <w:p w14:paraId="69B76C7D" w14:textId="77777777" w:rsidR="00FC7BD9" w:rsidRDefault="00FC7BD9" w:rsidP="00FC7BD9">
      <w:pPr>
        <w:pStyle w:val="NormalWeb"/>
      </w:pPr>
      <w:r>
        <w:rPr>
          <w:rStyle w:val="Strong"/>
          <w:rFonts w:eastAsiaTheme="majorEastAsia"/>
        </w:rPr>
        <w:t>Pregnancy outcomes</w:t>
      </w:r>
    </w:p>
    <w:p w14:paraId="3CC9E81A" w14:textId="77777777" w:rsidR="00FC7BD9" w:rsidRDefault="00FC7BD9" w:rsidP="00FC7BD9">
      <w:pPr>
        <w:pStyle w:val="NormalWeb"/>
        <w:numPr>
          <w:ilvl w:val="0"/>
          <w:numId w:val="72"/>
        </w:numPr>
      </w:pPr>
      <w:r>
        <w:t>Multiple cohorts report associations between higher maternal phthalate metabolite levels and:</w:t>
      </w:r>
    </w:p>
    <w:p w14:paraId="28DA0E7B" w14:textId="77777777" w:rsidR="00FC7BD9" w:rsidRDefault="00FC7BD9" w:rsidP="00FC7BD9">
      <w:pPr>
        <w:pStyle w:val="NormalWeb"/>
        <w:numPr>
          <w:ilvl w:val="1"/>
          <w:numId w:val="72"/>
        </w:numPr>
      </w:pPr>
      <w:r>
        <w:rPr>
          <w:rStyle w:val="Strong"/>
          <w:rFonts w:eastAsiaTheme="majorEastAsia"/>
        </w:rPr>
        <w:t>Shorter gestation / preterm birth</w:t>
      </w:r>
      <w:r>
        <w:t xml:space="preserve">, </w:t>
      </w:r>
      <w:r>
        <w:rPr>
          <w:rStyle w:val="Strong"/>
          <w:rFonts w:eastAsiaTheme="majorEastAsia"/>
        </w:rPr>
        <w:t>pre-eclampsia</w:t>
      </w:r>
      <w:r>
        <w:t xml:space="preserve">, and </w:t>
      </w:r>
      <w:r>
        <w:rPr>
          <w:rStyle w:val="Strong"/>
          <w:rFonts w:eastAsiaTheme="majorEastAsia"/>
        </w:rPr>
        <w:t>reduced birth size</w:t>
      </w:r>
      <w:r>
        <w:t xml:space="preserve"> (not detailed in the citations above but synthesized in recent governmental reviews). </w:t>
      </w:r>
      <w:hyperlink r:id="rId36" w:tgtFrame="_blank" w:history="1">
        <w:r>
          <w:rPr>
            <w:rStyle w:val="max-w-15ch"/>
            <w:rFonts w:eastAsiaTheme="majorEastAsia"/>
            <w:color w:val="0000FF"/>
            <w:u w:val="single"/>
          </w:rPr>
          <w:t>Regulations.gov</w:t>
        </w:r>
        <w:r>
          <w:rPr>
            <w:rStyle w:val="-me-1"/>
            <w:color w:val="0000FF"/>
            <w:u w:val="single"/>
          </w:rPr>
          <w:t>+1</w:t>
        </w:r>
      </w:hyperlink>
    </w:p>
    <w:p w14:paraId="506A40C7" w14:textId="77777777" w:rsidR="00FC7BD9" w:rsidRDefault="00FC7BD9" w:rsidP="00FC7BD9">
      <w:pPr>
        <w:pStyle w:val="Heading3"/>
      </w:pPr>
      <w:r>
        <w:t>5.2 Neurodevelopmental Effects</w:t>
      </w:r>
    </w:p>
    <w:p w14:paraId="1743DFB2" w14:textId="77777777" w:rsidR="00FC7BD9" w:rsidRDefault="00FC7BD9" w:rsidP="00FC7BD9">
      <w:pPr>
        <w:pStyle w:val="NormalWeb"/>
        <w:numPr>
          <w:ilvl w:val="0"/>
          <w:numId w:val="73"/>
        </w:numPr>
      </w:pPr>
      <w:r>
        <w:rPr>
          <w:rStyle w:val="Strong"/>
          <w:rFonts w:eastAsiaTheme="majorEastAsia"/>
        </w:rPr>
        <w:t>Cognitive and behavioral outcomes</w:t>
      </w:r>
    </w:p>
    <w:p w14:paraId="21E97B7E" w14:textId="77777777" w:rsidR="00FC7BD9" w:rsidRDefault="00FC7BD9" w:rsidP="00FC7BD9">
      <w:pPr>
        <w:pStyle w:val="NormalWeb"/>
        <w:numPr>
          <w:ilvl w:val="1"/>
          <w:numId w:val="73"/>
        </w:numPr>
      </w:pPr>
      <w:r>
        <w:t xml:space="preserve">Regulatory reviews summarize multiple prospective cohorts where </w:t>
      </w:r>
      <w:r>
        <w:rPr>
          <w:rStyle w:val="Strong"/>
          <w:rFonts w:eastAsiaTheme="majorEastAsia"/>
        </w:rPr>
        <w:t>prenatal phthalate exposure</w:t>
      </w:r>
      <w:r>
        <w:t xml:space="preserve"> is associated with:</w:t>
      </w:r>
    </w:p>
    <w:p w14:paraId="153363B9" w14:textId="77777777" w:rsidR="00FC7BD9" w:rsidRDefault="00FC7BD9" w:rsidP="00FC7BD9">
      <w:pPr>
        <w:pStyle w:val="NormalWeb"/>
        <w:numPr>
          <w:ilvl w:val="2"/>
          <w:numId w:val="73"/>
        </w:numPr>
      </w:pPr>
      <w:r>
        <w:rPr>
          <w:rStyle w:val="Strong"/>
          <w:rFonts w:eastAsiaTheme="majorEastAsia"/>
        </w:rPr>
        <w:t>ADHD-like behaviors</w:t>
      </w:r>
      <w:r>
        <w:t xml:space="preserve">, emotional problems, reduced psychomotor development, </w:t>
      </w:r>
      <w:r>
        <w:rPr>
          <w:rStyle w:val="Strong"/>
          <w:rFonts w:eastAsiaTheme="majorEastAsia"/>
        </w:rPr>
        <w:t>lower IQ</w:t>
      </w:r>
      <w:r>
        <w:t xml:space="preserve"> (effect sizes up to ~7 IQ points between highest vs. lowest exposure quintiles) with some null or inconsistent studies. </w:t>
      </w:r>
      <w:hyperlink r:id="rId37" w:tgtFrame="_blank" w:history="1">
        <w:r>
          <w:rPr>
            <w:rStyle w:val="max-w-15ch"/>
            <w:rFonts w:eastAsiaTheme="majorEastAsia"/>
            <w:color w:val="0000FF"/>
            <w:u w:val="single"/>
          </w:rPr>
          <w:t>Regulations.gov</w:t>
        </w:r>
      </w:hyperlink>
    </w:p>
    <w:p w14:paraId="6F85669A" w14:textId="77777777" w:rsidR="00FC7BD9" w:rsidRDefault="00FC7BD9" w:rsidP="00FC7BD9">
      <w:pPr>
        <w:pStyle w:val="NormalWeb"/>
        <w:numPr>
          <w:ilvl w:val="1"/>
          <w:numId w:val="73"/>
        </w:numPr>
      </w:pPr>
      <w:r>
        <w:rPr>
          <w:rStyle w:val="Strong"/>
          <w:rFonts w:eastAsiaTheme="majorEastAsia"/>
        </w:rPr>
        <w:t>JAMA Network Open adolescent cohort</w:t>
      </w:r>
      <w:r>
        <w:t xml:space="preserve">: 2-fold increase in sum of anti-androgenic phthalates linked to </w:t>
      </w:r>
      <w:r>
        <w:rPr>
          <w:rStyle w:val="Strong"/>
          <w:rFonts w:eastAsiaTheme="majorEastAsia"/>
        </w:rPr>
        <w:t>34% greater risk</w:t>
      </w:r>
      <w:r>
        <w:t xml:space="preserve"> of significant ADHD-related behavior problems. </w:t>
      </w:r>
      <w:hyperlink r:id="rId38" w:tgtFrame="_blank" w:history="1">
        <w:r>
          <w:rPr>
            <w:rStyle w:val="max-w-15ch"/>
            <w:rFonts w:eastAsiaTheme="majorEastAsia"/>
            <w:color w:val="0000FF"/>
            <w:u w:val="single"/>
          </w:rPr>
          <w:t>PMC</w:t>
        </w:r>
        <w:r>
          <w:rPr>
            <w:rStyle w:val="-me-1"/>
            <w:color w:val="0000FF"/>
            <w:u w:val="single"/>
          </w:rPr>
          <w:t>+1</w:t>
        </w:r>
      </w:hyperlink>
    </w:p>
    <w:p w14:paraId="6BBE1D33" w14:textId="77777777" w:rsidR="00FC7BD9" w:rsidRDefault="00FC7BD9" w:rsidP="00FC7BD9">
      <w:pPr>
        <w:pStyle w:val="NormalWeb"/>
        <w:numPr>
          <w:ilvl w:val="1"/>
          <w:numId w:val="73"/>
        </w:numPr>
      </w:pPr>
      <w:r>
        <w:rPr>
          <w:rStyle w:val="Strong"/>
          <w:rFonts w:eastAsiaTheme="majorEastAsia"/>
        </w:rPr>
        <w:t>Scoping and meta-analytic work</w:t>
      </w:r>
      <w:r>
        <w:t xml:space="preserve">: majority of identified human studies show </w:t>
      </w:r>
      <w:r>
        <w:rPr>
          <w:rStyle w:val="Strong"/>
          <w:rFonts w:eastAsiaTheme="majorEastAsia"/>
        </w:rPr>
        <w:t>positive associations between phthalate exposure and ADHD diagnosis/behaviors</w:t>
      </w:r>
      <w:r>
        <w:t xml:space="preserve">, though methodological limitations preclude firm causal inference. </w:t>
      </w:r>
      <w:hyperlink r:id="rId39" w:tgtFrame="_blank" w:history="1">
        <w:r>
          <w:rPr>
            <w:rStyle w:val="max-w-15ch"/>
            <w:rFonts w:eastAsiaTheme="majorEastAsia"/>
            <w:color w:val="0000FF"/>
            <w:u w:val="single"/>
          </w:rPr>
          <w:t>MDPI</w:t>
        </w:r>
      </w:hyperlink>
    </w:p>
    <w:p w14:paraId="77732615" w14:textId="77777777" w:rsidR="00FC7BD9" w:rsidRDefault="00FC7BD9" w:rsidP="00FC7BD9">
      <w:pPr>
        <w:pStyle w:val="NormalWeb"/>
        <w:numPr>
          <w:ilvl w:val="0"/>
          <w:numId w:val="73"/>
        </w:numPr>
      </w:pPr>
      <w:r>
        <w:rPr>
          <w:rStyle w:val="Strong"/>
          <w:rFonts w:eastAsiaTheme="majorEastAsia"/>
        </w:rPr>
        <w:t>ASD/ADHD comorbidity</w:t>
      </w:r>
    </w:p>
    <w:p w14:paraId="1788FDE0" w14:textId="77777777" w:rsidR="00FC7BD9" w:rsidRDefault="00FC7BD9" w:rsidP="00FC7BD9">
      <w:pPr>
        <w:pStyle w:val="NormalWeb"/>
        <w:numPr>
          <w:ilvl w:val="1"/>
          <w:numId w:val="73"/>
        </w:numPr>
      </w:pPr>
      <w:r>
        <w:t xml:space="preserve">CHARGE and ECHO analyses: early childhood exposure to phthalate </w:t>
      </w:r>
      <w:r>
        <w:rPr>
          <w:rStyle w:val="Strong"/>
          <w:rFonts w:eastAsiaTheme="majorEastAsia"/>
        </w:rPr>
        <w:t>mixtures</w:t>
      </w:r>
      <w:r>
        <w:t xml:space="preserve"> (notably </w:t>
      </w:r>
      <w:r>
        <w:rPr>
          <w:rStyle w:val="Strong"/>
          <w:rFonts w:eastAsiaTheme="majorEastAsia"/>
        </w:rPr>
        <w:t>DEHP metabolites, MHPP</w:t>
      </w:r>
      <w:r>
        <w:t xml:space="preserve">) associated with </w:t>
      </w:r>
      <w:r>
        <w:rPr>
          <w:rStyle w:val="Strong"/>
          <w:rFonts w:eastAsiaTheme="majorEastAsia"/>
        </w:rPr>
        <w:t>higher ADHD symptom scores</w:t>
      </w:r>
      <w:r>
        <w:t xml:space="preserve">, particularly among children with </w:t>
      </w:r>
      <w:r>
        <w:rPr>
          <w:rStyle w:val="Strong"/>
          <w:rFonts w:eastAsiaTheme="majorEastAsia"/>
        </w:rPr>
        <w:t>ASD</w:t>
      </w:r>
      <w:r>
        <w:t xml:space="preserve">, indicating </w:t>
      </w:r>
      <w:r>
        <w:rPr>
          <w:rStyle w:val="Strong"/>
          <w:rFonts w:eastAsiaTheme="majorEastAsia"/>
        </w:rPr>
        <w:t>effect modification by neurodevelopmental diagnosis</w:t>
      </w:r>
      <w:r>
        <w:t xml:space="preserve">. </w:t>
      </w:r>
      <w:hyperlink r:id="rId40" w:tgtFrame="_blank" w:history="1">
        <w:r>
          <w:rPr>
            <w:rStyle w:val="max-w-15ch"/>
            <w:rFonts w:eastAsiaTheme="majorEastAsia"/>
            <w:color w:val="0000FF"/>
            <w:u w:val="single"/>
          </w:rPr>
          <w:t>SpringerLink</w:t>
        </w:r>
        <w:r>
          <w:rPr>
            <w:rStyle w:val="-me-1"/>
            <w:color w:val="0000FF"/>
            <w:u w:val="single"/>
          </w:rPr>
          <w:t>+1</w:t>
        </w:r>
      </w:hyperlink>
    </w:p>
    <w:p w14:paraId="7D8032CB" w14:textId="77777777" w:rsidR="00FC7BD9" w:rsidRDefault="00FC7BD9" w:rsidP="00FC7BD9">
      <w:pPr>
        <w:pStyle w:val="NormalWeb"/>
      </w:pPr>
      <w:r>
        <w:rPr>
          <w:rStyle w:val="Strong"/>
          <w:rFonts w:eastAsiaTheme="majorEastAsia"/>
        </w:rPr>
        <w:t>Interpretation</w:t>
      </w:r>
    </w:p>
    <w:p w14:paraId="3A298D55" w14:textId="77777777" w:rsidR="00FC7BD9" w:rsidRDefault="00FC7BD9" w:rsidP="00FC7BD9">
      <w:pPr>
        <w:pStyle w:val="NormalWeb"/>
        <w:numPr>
          <w:ilvl w:val="0"/>
          <w:numId w:val="74"/>
        </w:numPr>
      </w:pPr>
      <w:r>
        <w:t xml:space="preserve">Overall evidence suggests </w:t>
      </w:r>
      <w:r>
        <w:rPr>
          <w:rStyle w:val="Strong"/>
          <w:rFonts w:eastAsiaTheme="majorEastAsia"/>
        </w:rPr>
        <w:t>prenatal and early-life phthalate exposure can adversely affect neurodevelopment</w:t>
      </w:r>
      <w:r>
        <w:t>, with:</w:t>
      </w:r>
    </w:p>
    <w:p w14:paraId="671FCBD2" w14:textId="77777777" w:rsidR="00FC7BD9" w:rsidRDefault="00FC7BD9" w:rsidP="00FC7BD9">
      <w:pPr>
        <w:pStyle w:val="NormalWeb"/>
        <w:numPr>
          <w:ilvl w:val="1"/>
          <w:numId w:val="74"/>
        </w:numPr>
      </w:pPr>
      <w:r>
        <w:t xml:space="preserve">Strongest signal for </w:t>
      </w:r>
      <w:r>
        <w:rPr>
          <w:rStyle w:val="Strong"/>
          <w:rFonts w:eastAsiaTheme="majorEastAsia"/>
        </w:rPr>
        <w:t>attention/behavioral regulation</w:t>
      </w:r>
      <w:r>
        <w:t>.</w:t>
      </w:r>
    </w:p>
    <w:p w14:paraId="49DB1E3E" w14:textId="77777777" w:rsidR="00FC7BD9" w:rsidRDefault="00FC7BD9" w:rsidP="00FC7BD9">
      <w:pPr>
        <w:pStyle w:val="NormalWeb"/>
        <w:numPr>
          <w:ilvl w:val="1"/>
          <w:numId w:val="74"/>
        </w:numPr>
      </w:pPr>
      <w:r>
        <w:t>Emerging but heterogeneous data on cognition and ASD-like behaviors.</w:t>
      </w:r>
    </w:p>
    <w:p w14:paraId="7623FA06" w14:textId="77777777" w:rsidR="00FC7BD9" w:rsidRDefault="00FC7BD9" w:rsidP="00FC7BD9">
      <w:pPr>
        <w:pStyle w:val="NormalWeb"/>
        <w:numPr>
          <w:ilvl w:val="1"/>
          <w:numId w:val="74"/>
        </w:numPr>
      </w:pPr>
      <w:r>
        <w:lastRenderedPageBreak/>
        <w:t xml:space="preserve">Mechanistic plausibility via </w:t>
      </w:r>
      <w:r>
        <w:rPr>
          <w:rStyle w:val="Strong"/>
          <w:rFonts w:eastAsiaTheme="majorEastAsia"/>
        </w:rPr>
        <w:t>thyroid disruption, steroid hormone signaling, and brain oxidative stress/inflammation</w:t>
      </w:r>
      <w:r>
        <w:t>.</w:t>
      </w:r>
    </w:p>
    <w:p w14:paraId="5D3BBFA6" w14:textId="77777777" w:rsidR="00FC7BD9" w:rsidRDefault="00FC7BD9" w:rsidP="00FC7BD9">
      <w:pPr>
        <w:pStyle w:val="Heading3"/>
      </w:pPr>
      <w:r>
        <w:t>5.3 Metabolic and Hepatic Effects</w:t>
      </w:r>
    </w:p>
    <w:p w14:paraId="58342CBA" w14:textId="77777777" w:rsidR="00FC7BD9" w:rsidRDefault="00FC7BD9" w:rsidP="00FC7BD9">
      <w:pPr>
        <w:pStyle w:val="NormalWeb"/>
        <w:numPr>
          <w:ilvl w:val="0"/>
          <w:numId w:val="75"/>
        </w:numPr>
      </w:pPr>
      <w:r>
        <w:rPr>
          <w:rStyle w:val="Strong"/>
          <w:rFonts w:eastAsiaTheme="majorEastAsia"/>
        </w:rPr>
        <w:t>Human metabolic outcomes</w:t>
      </w:r>
    </w:p>
    <w:p w14:paraId="64A4CB36" w14:textId="77777777" w:rsidR="00FC7BD9" w:rsidRDefault="00FC7BD9" w:rsidP="00FC7BD9">
      <w:pPr>
        <w:pStyle w:val="NormalWeb"/>
        <w:numPr>
          <w:ilvl w:val="1"/>
          <w:numId w:val="75"/>
        </w:numPr>
      </w:pPr>
      <w:r>
        <w:t>Systematic reviews and meta-analyses indicate:</w:t>
      </w:r>
    </w:p>
    <w:p w14:paraId="2114C92F" w14:textId="77777777" w:rsidR="00FC7BD9" w:rsidRDefault="00FC7BD9" w:rsidP="00FC7BD9">
      <w:pPr>
        <w:pStyle w:val="NormalWeb"/>
        <w:numPr>
          <w:ilvl w:val="2"/>
          <w:numId w:val="75"/>
        </w:numPr>
      </w:pPr>
      <w:r>
        <w:rPr>
          <w:rStyle w:val="Strong"/>
          <w:rFonts w:eastAsiaTheme="majorEastAsia"/>
        </w:rPr>
        <w:t>Positive associations</w:t>
      </w:r>
      <w:r>
        <w:t xml:space="preserve"> between urinary metabolites (especially </w:t>
      </w:r>
      <w:r>
        <w:rPr>
          <w:rStyle w:val="Strong"/>
          <w:rFonts w:eastAsiaTheme="majorEastAsia"/>
        </w:rPr>
        <w:t>∑DEHP, MnBP, MiBP, MCPP, MBzP</w:t>
      </w:r>
      <w:r>
        <w:t xml:space="preserve">) and </w:t>
      </w:r>
      <w:r>
        <w:rPr>
          <w:rStyle w:val="Strong"/>
          <w:rFonts w:eastAsiaTheme="majorEastAsia"/>
        </w:rPr>
        <w:t>insulin resistance (HOMA-IR)</w:t>
      </w:r>
      <w:r>
        <w:t xml:space="preserve"> and/or </w:t>
      </w:r>
      <w:r>
        <w:rPr>
          <w:rStyle w:val="Strong"/>
          <w:rFonts w:eastAsiaTheme="majorEastAsia"/>
        </w:rPr>
        <w:t>type 2 diabetes</w:t>
      </w:r>
      <w:r>
        <w:t xml:space="preserve">. </w:t>
      </w:r>
      <w:hyperlink r:id="rId41" w:tgtFrame="_blank" w:history="1">
        <w:r>
          <w:rPr>
            <w:rStyle w:val="max-w-15ch"/>
            <w:rFonts w:eastAsiaTheme="majorEastAsia"/>
            <w:color w:val="0000FF"/>
            <w:u w:val="single"/>
          </w:rPr>
          <w:t>PubMed</w:t>
        </w:r>
        <w:r>
          <w:rPr>
            <w:rStyle w:val="-me-1"/>
            <w:color w:val="0000FF"/>
            <w:u w:val="single"/>
          </w:rPr>
          <w:t>+3</w:t>
        </w:r>
        <w:r>
          <w:rPr>
            <w:rStyle w:val="max-w-15ch"/>
            <w:rFonts w:eastAsiaTheme="majorEastAsia"/>
            <w:color w:val="0000FF"/>
            <w:u w:val="single"/>
          </w:rPr>
          <w:t>PubMed</w:t>
        </w:r>
        <w:r>
          <w:rPr>
            <w:rStyle w:val="-me-1"/>
            <w:color w:val="0000FF"/>
            <w:u w:val="single"/>
          </w:rPr>
          <w:t>+3</w:t>
        </w:r>
        <w:r>
          <w:rPr>
            <w:rStyle w:val="max-w-15ch"/>
            <w:rFonts w:eastAsiaTheme="majorEastAsia"/>
            <w:color w:val="0000FF"/>
            <w:u w:val="single"/>
          </w:rPr>
          <w:t>PubMed</w:t>
        </w:r>
        <w:r>
          <w:rPr>
            <w:rStyle w:val="-me-1"/>
            <w:color w:val="0000FF"/>
            <w:u w:val="single"/>
          </w:rPr>
          <w:t>+3</w:t>
        </w:r>
      </w:hyperlink>
    </w:p>
    <w:p w14:paraId="3576DF80" w14:textId="77777777" w:rsidR="00FC7BD9" w:rsidRDefault="00FC7BD9" w:rsidP="00FC7BD9">
      <w:pPr>
        <w:pStyle w:val="NormalWeb"/>
        <w:numPr>
          <w:ilvl w:val="2"/>
          <w:numId w:val="75"/>
        </w:numPr>
      </w:pPr>
      <w:r>
        <w:t xml:space="preserve">Cross-sectional NHANES analyses link several metabolites to </w:t>
      </w:r>
      <w:r>
        <w:rPr>
          <w:rStyle w:val="Strong"/>
          <w:rFonts w:eastAsiaTheme="majorEastAsia"/>
        </w:rPr>
        <w:t>increased waist circumference and insulin resistance</w:t>
      </w:r>
      <w:r>
        <w:t xml:space="preserve"> in adult men. </w:t>
      </w:r>
      <w:hyperlink r:id="rId42" w:tgtFrame="_blank" w:history="1">
        <w:r>
          <w:rPr>
            <w:rStyle w:val="max-w-15ch"/>
            <w:rFonts w:eastAsiaTheme="majorEastAsia"/>
            <w:color w:val="0000FF"/>
            <w:u w:val="single"/>
          </w:rPr>
          <w:t>PMC</w:t>
        </w:r>
        <w:r>
          <w:rPr>
            <w:rStyle w:val="-me-1"/>
            <w:color w:val="0000FF"/>
            <w:u w:val="single"/>
          </w:rPr>
          <w:t>+1</w:t>
        </w:r>
      </w:hyperlink>
    </w:p>
    <w:p w14:paraId="2C68F9A8" w14:textId="77777777" w:rsidR="00FC7BD9" w:rsidRDefault="00FC7BD9" w:rsidP="00FC7BD9">
      <w:pPr>
        <w:pStyle w:val="NormalWeb"/>
        <w:numPr>
          <w:ilvl w:val="1"/>
          <w:numId w:val="75"/>
        </w:numPr>
      </w:pPr>
      <w:r>
        <w:t xml:space="preserve">A 2023 systematic review concludes </w:t>
      </w:r>
      <w:r>
        <w:rPr>
          <w:rStyle w:val="Strong"/>
          <w:rFonts w:eastAsiaTheme="majorEastAsia"/>
        </w:rPr>
        <w:t>overall positive association</w:t>
      </w:r>
      <w:r>
        <w:t xml:space="preserve"> between phthalates and </w:t>
      </w:r>
      <w:r>
        <w:rPr>
          <w:rStyle w:val="Strong"/>
          <w:rFonts w:eastAsiaTheme="majorEastAsia"/>
        </w:rPr>
        <w:t>metabolic syndrome components</w:t>
      </w:r>
      <w:r>
        <w:t xml:space="preserve">, especially </w:t>
      </w:r>
      <w:r>
        <w:rPr>
          <w:rStyle w:val="Strong"/>
          <w:rFonts w:eastAsiaTheme="majorEastAsia"/>
        </w:rPr>
        <w:t>obesity and glucose dysregulation</w:t>
      </w:r>
      <w:r>
        <w:t xml:space="preserve">, though many data are cross-sectional. </w:t>
      </w:r>
      <w:hyperlink r:id="rId43" w:tgtFrame="_blank" w:history="1">
        <w:r>
          <w:rPr>
            <w:rStyle w:val="max-w-15ch"/>
            <w:rFonts w:eastAsiaTheme="majorEastAsia"/>
            <w:color w:val="0000FF"/>
            <w:u w:val="single"/>
          </w:rPr>
          <w:t>ScienceDirect</w:t>
        </w:r>
      </w:hyperlink>
    </w:p>
    <w:p w14:paraId="523E78CC" w14:textId="77777777" w:rsidR="00FC7BD9" w:rsidRDefault="00FC7BD9" w:rsidP="00FC7BD9">
      <w:pPr>
        <w:pStyle w:val="NormalWeb"/>
        <w:numPr>
          <w:ilvl w:val="0"/>
          <w:numId w:val="75"/>
        </w:numPr>
      </w:pPr>
      <w:r>
        <w:rPr>
          <w:rStyle w:val="Strong"/>
          <w:rFonts w:eastAsiaTheme="majorEastAsia"/>
        </w:rPr>
        <w:t>Hepatic toxicity and peroxisome proliferation</w:t>
      </w:r>
    </w:p>
    <w:p w14:paraId="41AD10FC" w14:textId="77777777" w:rsidR="00FC7BD9" w:rsidRDefault="00FC7BD9" w:rsidP="00FC7BD9">
      <w:pPr>
        <w:pStyle w:val="NormalWeb"/>
        <w:numPr>
          <w:ilvl w:val="1"/>
          <w:numId w:val="75"/>
        </w:numPr>
      </w:pPr>
      <w:r>
        <w:t>In rodents, particularly rats and mice, certain phthalates (DEHP, DINP) cause:</w:t>
      </w:r>
    </w:p>
    <w:p w14:paraId="27717C73" w14:textId="77777777" w:rsidR="00FC7BD9" w:rsidRDefault="00FC7BD9" w:rsidP="00FC7BD9">
      <w:pPr>
        <w:pStyle w:val="NormalWeb"/>
        <w:numPr>
          <w:ilvl w:val="2"/>
          <w:numId w:val="75"/>
        </w:numPr>
      </w:pPr>
      <w:r>
        <w:rPr>
          <w:rStyle w:val="Strong"/>
          <w:rFonts w:eastAsiaTheme="majorEastAsia"/>
        </w:rPr>
        <w:t>Peroxisome proliferation, hepatocellular hypertrophy, increased liver weight and hepatocarcinogenesis</w:t>
      </w:r>
      <w:r>
        <w:t xml:space="preserve">, mediated predominantly by </w:t>
      </w:r>
      <w:r>
        <w:rPr>
          <w:rStyle w:val="Strong"/>
          <w:rFonts w:eastAsiaTheme="majorEastAsia"/>
        </w:rPr>
        <w:t>PPARα</w:t>
      </w:r>
      <w:r>
        <w:t xml:space="preserve">. </w:t>
      </w:r>
      <w:hyperlink r:id="rId44" w:tgtFrame="_blank" w:history="1">
        <w:r>
          <w:rPr>
            <w:rStyle w:val="max-w-15ch"/>
            <w:rFonts w:eastAsiaTheme="majorEastAsia"/>
            <w:color w:val="0000FF"/>
            <w:u w:val="single"/>
          </w:rPr>
          <w:t>PubMed</w:t>
        </w:r>
        <w:r>
          <w:rPr>
            <w:rStyle w:val="-me-1"/>
            <w:color w:val="0000FF"/>
            <w:u w:val="single"/>
          </w:rPr>
          <w:t>+1</w:t>
        </w:r>
      </w:hyperlink>
    </w:p>
    <w:p w14:paraId="47C006A4" w14:textId="77777777" w:rsidR="00FC7BD9" w:rsidRDefault="00FC7BD9" w:rsidP="00FC7BD9">
      <w:pPr>
        <w:pStyle w:val="NormalWeb"/>
        <w:numPr>
          <w:ilvl w:val="1"/>
          <w:numId w:val="75"/>
        </w:numPr>
      </w:pPr>
      <w:r>
        <w:t xml:space="preserve">Human relevance of </w:t>
      </w:r>
      <w:r>
        <w:rPr>
          <w:rStyle w:val="Strong"/>
          <w:rFonts w:eastAsiaTheme="majorEastAsia"/>
        </w:rPr>
        <w:t>PPARα-mediated rodent liver tumors</w:t>
      </w:r>
      <w:r>
        <w:t xml:space="preserve"> is debated; regulatory bodies often focus on </w:t>
      </w:r>
      <w:r>
        <w:rPr>
          <w:rStyle w:val="Strong"/>
          <w:rFonts w:eastAsiaTheme="majorEastAsia"/>
        </w:rPr>
        <w:t>non-cancer endpoints (reproductive, developmental)</w:t>
      </w:r>
      <w:r>
        <w:t xml:space="preserve"> when setting health-based guidance values, but EPA still classifies DEHP as a </w:t>
      </w:r>
      <w:r>
        <w:rPr>
          <w:rStyle w:val="Strong"/>
          <w:rFonts w:eastAsiaTheme="majorEastAsia"/>
        </w:rPr>
        <w:t>probable human carcinogen (B2)</w:t>
      </w:r>
      <w:r>
        <w:t xml:space="preserve">. </w:t>
      </w:r>
      <w:hyperlink r:id="rId45" w:tgtFrame="_blank" w:history="1">
        <w:r>
          <w:rPr>
            <w:rStyle w:val="max-w-15ch"/>
            <w:rFonts w:eastAsiaTheme="majorEastAsia"/>
            <w:color w:val="0000FF"/>
            <w:u w:val="single"/>
          </w:rPr>
          <w:t>iris.epa.gov</w:t>
        </w:r>
      </w:hyperlink>
    </w:p>
    <w:p w14:paraId="2CCBAAA1" w14:textId="77777777" w:rsidR="00FC7BD9" w:rsidRDefault="00F573BC" w:rsidP="00FC7BD9">
      <w:r w:rsidRPr="00F573BC">
        <w:rPr>
          <w:noProof/>
          <w14:ligatures w14:val="standardContextual"/>
        </w:rPr>
        <w:pict w14:anchorId="4EB50C5A">
          <v:rect id="_x0000_i1029" alt="" style="width:468pt;height:.05pt;mso-width-percent:0;mso-height-percent:0;mso-width-percent:0;mso-height-percent:0" o:hralign="center" o:hrstd="t" o:hr="t" fillcolor="#a0a0a0" stroked="f"/>
        </w:pict>
      </w:r>
    </w:p>
    <w:p w14:paraId="1C5DAF4B" w14:textId="77777777" w:rsidR="00FC7BD9" w:rsidRDefault="00FC7BD9" w:rsidP="00FC7BD9">
      <w:pPr>
        <w:pStyle w:val="Heading2"/>
      </w:pPr>
      <w:r>
        <w:t>6. Vulnerable Populations – “First 1000 Days”</w:t>
      </w:r>
    </w:p>
    <w:p w14:paraId="511A8AB0" w14:textId="77777777" w:rsidR="00FC7BD9" w:rsidRDefault="00FC7BD9" w:rsidP="00FC7BD9">
      <w:pPr>
        <w:pStyle w:val="Heading3"/>
      </w:pPr>
      <w:r>
        <w:t>6.1 Prenatal and Early-Life Sensitivity</w:t>
      </w:r>
    </w:p>
    <w:p w14:paraId="024775DB" w14:textId="77777777" w:rsidR="00FC7BD9" w:rsidRDefault="00FC7BD9" w:rsidP="00FC7BD9">
      <w:pPr>
        <w:pStyle w:val="NormalWeb"/>
        <w:numPr>
          <w:ilvl w:val="0"/>
          <w:numId w:val="76"/>
        </w:numPr>
      </w:pPr>
      <w:r>
        <w:rPr>
          <w:rStyle w:val="Strong"/>
          <w:rFonts w:eastAsiaTheme="majorEastAsia"/>
        </w:rPr>
        <w:t>Critical windows</w:t>
      </w:r>
    </w:p>
    <w:p w14:paraId="0A8105F7" w14:textId="77777777" w:rsidR="00FC7BD9" w:rsidRDefault="00FC7BD9" w:rsidP="00FC7BD9">
      <w:pPr>
        <w:pStyle w:val="NormalWeb"/>
        <w:numPr>
          <w:ilvl w:val="1"/>
          <w:numId w:val="76"/>
        </w:numPr>
      </w:pPr>
      <w:r>
        <w:rPr>
          <w:rStyle w:val="Strong"/>
          <w:rFonts w:eastAsiaTheme="majorEastAsia"/>
        </w:rPr>
        <w:t>Fetal gonadal differentiation and masculinization</w:t>
      </w:r>
      <w:r>
        <w:t xml:space="preserve"> (first–second trimester) highly sensitive to </w:t>
      </w:r>
      <w:r>
        <w:rPr>
          <w:rStyle w:val="Strong"/>
          <w:rFonts w:eastAsiaTheme="majorEastAsia"/>
        </w:rPr>
        <w:t>anti-androgenic phthalates</w:t>
      </w:r>
      <w:r>
        <w:t>.</w:t>
      </w:r>
    </w:p>
    <w:p w14:paraId="12CE7913" w14:textId="77777777" w:rsidR="00FC7BD9" w:rsidRDefault="00FC7BD9" w:rsidP="00FC7BD9">
      <w:pPr>
        <w:pStyle w:val="NormalWeb"/>
        <w:numPr>
          <w:ilvl w:val="1"/>
          <w:numId w:val="76"/>
        </w:numPr>
      </w:pPr>
      <w:r>
        <w:rPr>
          <w:rStyle w:val="Strong"/>
          <w:rFonts w:eastAsiaTheme="majorEastAsia"/>
        </w:rPr>
        <w:t>Brain development</w:t>
      </w:r>
      <w:r>
        <w:t xml:space="preserve"> (neurogenesis, synaptogenesis, myelination) and </w:t>
      </w:r>
      <w:r>
        <w:rPr>
          <w:rStyle w:val="Strong"/>
          <w:rFonts w:eastAsiaTheme="majorEastAsia"/>
        </w:rPr>
        <w:t>metabolic set-points</w:t>
      </w:r>
      <w:r>
        <w:t xml:space="preserve"> in utero and early life are also susceptible to endocrine and oxidative insults.</w:t>
      </w:r>
    </w:p>
    <w:p w14:paraId="16079C0C" w14:textId="77777777" w:rsidR="00FC7BD9" w:rsidRDefault="00FC7BD9" w:rsidP="00FC7BD9">
      <w:pPr>
        <w:pStyle w:val="NormalWeb"/>
        <w:numPr>
          <w:ilvl w:val="0"/>
          <w:numId w:val="76"/>
        </w:numPr>
      </w:pPr>
      <w:r>
        <w:rPr>
          <w:rStyle w:val="Strong"/>
          <w:rFonts w:eastAsiaTheme="majorEastAsia"/>
        </w:rPr>
        <w:t>Placental and fetal exposure</w:t>
      </w:r>
    </w:p>
    <w:p w14:paraId="3CFA2DE5" w14:textId="77777777" w:rsidR="00FC7BD9" w:rsidRDefault="00FC7BD9" w:rsidP="00FC7BD9">
      <w:pPr>
        <w:pStyle w:val="NormalWeb"/>
        <w:numPr>
          <w:ilvl w:val="1"/>
          <w:numId w:val="76"/>
        </w:numPr>
      </w:pPr>
      <w:r>
        <w:t xml:space="preserve">Dual perfusion and biomonitoring studies demonstrate </w:t>
      </w:r>
      <w:r>
        <w:rPr>
          <w:rStyle w:val="Strong"/>
          <w:rFonts w:eastAsiaTheme="majorEastAsia"/>
        </w:rPr>
        <w:t>transfer of several monoesters across human placenta</w:t>
      </w:r>
      <w:r>
        <w:t xml:space="preserve">, with detectable </w:t>
      </w:r>
      <w:r>
        <w:rPr>
          <w:rStyle w:val="Strong"/>
          <w:rFonts w:eastAsiaTheme="majorEastAsia"/>
        </w:rPr>
        <w:t>mMP, MEP, MBP, MEHP</w:t>
      </w:r>
      <w:r>
        <w:t xml:space="preserve"> in cord blood and placental tissue. </w:t>
      </w:r>
      <w:hyperlink r:id="rId46" w:tgtFrame="_blank" w:history="1">
        <w:r>
          <w:rPr>
            <w:rStyle w:val="max-w-15ch"/>
            <w:rFonts w:eastAsiaTheme="majorEastAsia"/>
            <w:color w:val="0000FF"/>
            <w:u w:val="single"/>
          </w:rPr>
          <w:t>PubMed</w:t>
        </w:r>
        <w:r>
          <w:rPr>
            <w:rStyle w:val="-me-1"/>
            <w:color w:val="0000FF"/>
            <w:u w:val="single"/>
          </w:rPr>
          <w:t>+1</w:t>
        </w:r>
      </w:hyperlink>
    </w:p>
    <w:p w14:paraId="64BF8EDB" w14:textId="77777777" w:rsidR="00FC7BD9" w:rsidRDefault="00FC7BD9" w:rsidP="00FC7BD9">
      <w:pPr>
        <w:pStyle w:val="NormalWeb"/>
        <w:numPr>
          <w:ilvl w:val="1"/>
          <w:numId w:val="76"/>
        </w:numPr>
      </w:pPr>
      <w:r>
        <w:t xml:space="preserve">MEHP alters </w:t>
      </w:r>
      <w:r>
        <w:rPr>
          <w:rStyle w:val="Strong"/>
          <w:rFonts w:eastAsiaTheme="majorEastAsia"/>
        </w:rPr>
        <w:t>trophoblast differentiation and mitochondrial function</w:t>
      </w:r>
      <w:r>
        <w:t xml:space="preserve"> at low micromolar concentrations, indicating </w:t>
      </w:r>
      <w:r>
        <w:rPr>
          <w:rStyle w:val="Strong"/>
          <w:rFonts w:eastAsiaTheme="majorEastAsia"/>
        </w:rPr>
        <w:t>direct placental toxicity</w:t>
      </w:r>
      <w:r>
        <w:t xml:space="preserve"> via PPARγ and oxidative stress pathways. </w:t>
      </w:r>
      <w:hyperlink r:id="rId47" w:tgtFrame="_blank" w:history="1">
        <w:r>
          <w:rPr>
            <w:rStyle w:val="max-w-15ch"/>
            <w:rFonts w:eastAsiaTheme="majorEastAsia"/>
            <w:color w:val="0000FF"/>
            <w:u w:val="single"/>
          </w:rPr>
          <w:t>PubMed</w:t>
        </w:r>
        <w:r>
          <w:rPr>
            <w:rStyle w:val="-me-1"/>
            <w:color w:val="0000FF"/>
            <w:u w:val="single"/>
          </w:rPr>
          <w:t>+1</w:t>
        </w:r>
      </w:hyperlink>
    </w:p>
    <w:p w14:paraId="23D855DB" w14:textId="77777777" w:rsidR="00FC7BD9" w:rsidRDefault="00FC7BD9" w:rsidP="00FC7BD9">
      <w:pPr>
        <w:pStyle w:val="NormalWeb"/>
        <w:numPr>
          <w:ilvl w:val="0"/>
          <w:numId w:val="76"/>
        </w:numPr>
      </w:pPr>
      <w:r>
        <w:rPr>
          <w:rStyle w:val="Strong"/>
          <w:rFonts w:eastAsiaTheme="majorEastAsia"/>
        </w:rPr>
        <w:t>Lactational exposure</w:t>
      </w:r>
    </w:p>
    <w:p w14:paraId="3D62746C" w14:textId="77777777" w:rsidR="00FC7BD9" w:rsidRDefault="00FC7BD9" w:rsidP="00FC7BD9">
      <w:pPr>
        <w:pStyle w:val="NormalWeb"/>
        <w:numPr>
          <w:ilvl w:val="1"/>
          <w:numId w:val="76"/>
        </w:numPr>
      </w:pPr>
      <w:r>
        <w:lastRenderedPageBreak/>
        <w:t xml:space="preserve">Phthalate diesters and metabolites have been measured in </w:t>
      </w:r>
      <w:r>
        <w:rPr>
          <w:rStyle w:val="Strong"/>
          <w:rFonts w:eastAsiaTheme="majorEastAsia"/>
        </w:rPr>
        <w:t>breast milk</w:t>
      </w:r>
      <w:r>
        <w:t xml:space="preserve">, though typically at lower levels than in maternal urine; infants also receive substantial exposure from </w:t>
      </w:r>
      <w:r>
        <w:rPr>
          <w:rStyle w:val="Strong"/>
          <w:rFonts w:eastAsiaTheme="majorEastAsia"/>
        </w:rPr>
        <w:t>formula, food-contact materials, and indoor dust</w:t>
      </w:r>
      <w:r>
        <w:t>.</w:t>
      </w:r>
    </w:p>
    <w:p w14:paraId="0519201D" w14:textId="77777777" w:rsidR="00FC7BD9" w:rsidRDefault="00FC7BD9" w:rsidP="00FC7BD9">
      <w:pPr>
        <w:pStyle w:val="Heading3"/>
      </w:pPr>
      <w:r>
        <w:t>6.2 Medically Exposed Neonates</w:t>
      </w:r>
    </w:p>
    <w:p w14:paraId="2FF1B9F3" w14:textId="77777777" w:rsidR="00FC7BD9" w:rsidRDefault="00FC7BD9" w:rsidP="00FC7BD9">
      <w:pPr>
        <w:pStyle w:val="NormalWeb"/>
        <w:numPr>
          <w:ilvl w:val="0"/>
          <w:numId w:val="77"/>
        </w:numPr>
      </w:pPr>
      <w:r>
        <w:rPr>
          <w:rStyle w:val="Strong"/>
          <w:rFonts w:eastAsiaTheme="majorEastAsia"/>
        </w:rPr>
        <w:t>Intensive care settings</w:t>
      </w:r>
    </w:p>
    <w:p w14:paraId="677768B4" w14:textId="77777777" w:rsidR="00FC7BD9" w:rsidRDefault="00FC7BD9" w:rsidP="00FC7BD9">
      <w:pPr>
        <w:pStyle w:val="NormalWeb"/>
        <w:numPr>
          <w:ilvl w:val="1"/>
          <w:numId w:val="77"/>
        </w:numPr>
      </w:pPr>
      <w:r>
        <w:t xml:space="preserve">Preterm neonates exposed to </w:t>
      </w:r>
      <w:r>
        <w:rPr>
          <w:rStyle w:val="Strong"/>
          <w:rFonts w:eastAsiaTheme="majorEastAsia"/>
        </w:rPr>
        <w:t>DEHP-containing tubing, catheters, blood bags, and TPN sets</w:t>
      </w:r>
      <w:r>
        <w:t xml:space="preserve"> may receive </w:t>
      </w:r>
      <w:r>
        <w:rPr>
          <w:rStyle w:val="Strong"/>
          <w:rFonts w:eastAsiaTheme="majorEastAsia"/>
        </w:rPr>
        <w:t>mg/kg-day-level doses</w:t>
      </w:r>
      <w:r>
        <w:t>, far exceeding general population exposures.</w:t>
      </w:r>
    </w:p>
    <w:p w14:paraId="6AF8C1E4" w14:textId="77777777" w:rsidR="00FC7BD9" w:rsidRDefault="00FC7BD9" w:rsidP="00FC7BD9">
      <w:pPr>
        <w:pStyle w:val="NormalWeb"/>
        <w:numPr>
          <w:ilvl w:val="1"/>
          <w:numId w:val="77"/>
        </w:numPr>
      </w:pPr>
      <w:r>
        <w:t xml:space="preserve">This group is considered </w:t>
      </w:r>
      <w:r>
        <w:rPr>
          <w:rStyle w:val="Strong"/>
          <w:rFonts w:eastAsiaTheme="majorEastAsia"/>
        </w:rPr>
        <w:t>highly vulnerable</w:t>
      </w:r>
      <w:r>
        <w:t xml:space="preserve"> given immature detoxification systems and concurrent health stressors; several regulatory and professional bodies recommend </w:t>
      </w:r>
      <w:r>
        <w:rPr>
          <w:rStyle w:val="Strong"/>
          <w:rFonts w:eastAsiaTheme="majorEastAsia"/>
        </w:rPr>
        <w:t>DEHP-free formulations</w:t>
      </w:r>
      <w:r>
        <w:t xml:space="preserve"> in pediatric/neonatal care.</w:t>
      </w:r>
    </w:p>
    <w:p w14:paraId="6433355F" w14:textId="77777777" w:rsidR="00FC7BD9" w:rsidRDefault="00F573BC" w:rsidP="00FC7BD9">
      <w:r w:rsidRPr="00F573BC">
        <w:rPr>
          <w:noProof/>
          <w14:ligatures w14:val="standardContextual"/>
        </w:rPr>
        <w:pict w14:anchorId="03878A87">
          <v:rect id="_x0000_i1028" alt="" style="width:468pt;height:.05pt;mso-width-percent:0;mso-height-percent:0;mso-width-percent:0;mso-height-percent:0" o:hralign="center" o:hrstd="t" o:hr="t" fillcolor="#a0a0a0" stroked="f"/>
        </w:pict>
      </w:r>
    </w:p>
    <w:p w14:paraId="1B936CEF" w14:textId="77777777" w:rsidR="00FC7BD9" w:rsidRDefault="00FC7BD9" w:rsidP="00FC7BD9">
      <w:pPr>
        <w:pStyle w:val="Heading2"/>
      </w:pPr>
      <w:r>
        <w:t>7. Regulatory Landscape &amp; Tolerable Limits</w:t>
      </w:r>
    </w:p>
    <w:p w14:paraId="01C6C420" w14:textId="77777777" w:rsidR="00FC7BD9" w:rsidRDefault="00FC7BD9" w:rsidP="00FC7BD9">
      <w:pPr>
        <w:pStyle w:val="Heading3"/>
      </w:pPr>
      <w:r>
        <w:t>7.1 EFSA TDIs and Group TDI (Food-Contact Context)</w:t>
      </w:r>
    </w:p>
    <w:p w14:paraId="415EB50D" w14:textId="77777777" w:rsidR="00FC7BD9" w:rsidRDefault="00FC7BD9" w:rsidP="00FC7BD9">
      <w:pPr>
        <w:pStyle w:val="NormalWeb"/>
        <w:numPr>
          <w:ilvl w:val="0"/>
          <w:numId w:val="78"/>
        </w:numPr>
      </w:pPr>
      <w:r>
        <w:t xml:space="preserve">EFSA (2005; updated 2019) established TDIs for food-contact phthalates: </w:t>
      </w:r>
      <w:hyperlink r:id="rId48" w:tgtFrame="_blank" w:history="1">
        <w:r>
          <w:rPr>
            <w:rStyle w:val="max-w-15ch"/>
            <w:rFonts w:eastAsiaTheme="majorEastAsia"/>
            <w:color w:val="0000FF"/>
            <w:u w:val="single"/>
          </w:rPr>
          <w:t>Zendy</w:t>
        </w:r>
        <w:r>
          <w:rPr>
            <w:rStyle w:val="-me-1"/>
            <w:color w:val="0000FF"/>
            <w:u w:val="single"/>
          </w:rPr>
          <w:t>+2</w:t>
        </w:r>
        <w:r>
          <w:rPr>
            <w:rStyle w:val="max-w-15ch"/>
            <w:rFonts w:eastAsiaTheme="majorEastAsia"/>
            <w:color w:val="0000FF"/>
            <w:u w:val="single"/>
          </w:rPr>
          <w:t>Wisdom Library</w:t>
        </w:r>
        <w:r>
          <w:rPr>
            <w:rStyle w:val="-me-1"/>
            <w:color w:val="0000FF"/>
            <w:u w:val="single"/>
          </w:rPr>
          <w:t>+2</w:t>
        </w:r>
      </w:hyperlink>
    </w:p>
    <w:p w14:paraId="69547AC1" w14:textId="77777777" w:rsidR="00FC7BD9" w:rsidRDefault="00FC7BD9" w:rsidP="00FC7BD9">
      <w:pPr>
        <w:pStyle w:val="NormalWeb"/>
      </w:pPr>
      <w:r>
        <w:rPr>
          <w:rStyle w:val="Strong"/>
          <w:rFonts w:eastAsiaTheme="majorEastAsia"/>
        </w:rPr>
        <w:t>Table 2. EFSA TDI values (oral, mg/kg bw/day)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796"/>
        <w:gridCol w:w="6502"/>
      </w:tblGrid>
      <w:tr w:rsidR="00FC7BD9" w14:paraId="1221D5E5" w14:textId="77777777">
        <w:trPr>
          <w:tblHeader/>
          <w:tblCellSpacing w:w="15" w:type="dxa"/>
        </w:trPr>
        <w:tc>
          <w:tcPr>
            <w:tcW w:w="0" w:type="auto"/>
            <w:vAlign w:val="center"/>
            <w:hideMark/>
          </w:tcPr>
          <w:p w14:paraId="68F63672" w14:textId="77777777" w:rsidR="00FC7BD9" w:rsidRDefault="00FC7BD9">
            <w:pPr>
              <w:jc w:val="center"/>
              <w:rPr>
                <w:b/>
                <w:bCs/>
              </w:rPr>
            </w:pPr>
            <w:r>
              <w:rPr>
                <w:b/>
                <w:bCs/>
              </w:rPr>
              <w:t>Phthalate</w:t>
            </w:r>
          </w:p>
        </w:tc>
        <w:tc>
          <w:tcPr>
            <w:tcW w:w="0" w:type="auto"/>
            <w:vAlign w:val="center"/>
            <w:hideMark/>
          </w:tcPr>
          <w:p w14:paraId="4893A8AD" w14:textId="77777777" w:rsidR="00FC7BD9" w:rsidRDefault="00FC7BD9">
            <w:pPr>
              <w:jc w:val="center"/>
              <w:rPr>
                <w:b/>
                <w:bCs/>
              </w:rPr>
            </w:pPr>
            <w:r>
              <w:rPr>
                <w:b/>
                <w:bCs/>
              </w:rPr>
              <w:t>EFSA TDI (mg/kg-day)</w:t>
            </w:r>
          </w:p>
        </w:tc>
        <w:tc>
          <w:tcPr>
            <w:tcW w:w="0" w:type="auto"/>
            <w:vAlign w:val="center"/>
            <w:hideMark/>
          </w:tcPr>
          <w:p w14:paraId="63BAD8F3" w14:textId="77777777" w:rsidR="00FC7BD9" w:rsidRDefault="00FC7BD9">
            <w:pPr>
              <w:jc w:val="center"/>
              <w:rPr>
                <w:b/>
                <w:bCs/>
              </w:rPr>
            </w:pPr>
            <w:r>
              <w:rPr>
                <w:b/>
                <w:bCs/>
              </w:rPr>
              <w:t>Basis / notes</w:t>
            </w:r>
          </w:p>
        </w:tc>
      </w:tr>
      <w:tr w:rsidR="00FC7BD9" w14:paraId="4B705C20" w14:textId="77777777">
        <w:trPr>
          <w:tblCellSpacing w:w="15" w:type="dxa"/>
        </w:trPr>
        <w:tc>
          <w:tcPr>
            <w:tcW w:w="0" w:type="auto"/>
            <w:vAlign w:val="center"/>
            <w:hideMark/>
          </w:tcPr>
          <w:p w14:paraId="37177015" w14:textId="77777777" w:rsidR="00FC7BD9" w:rsidRDefault="00FC7BD9">
            <w:r>
              <w:rPr>
                <w:rStyle w:val="Strong"/>
                <w:rFonts w:eastAsiaTheme="majorEastAsia"/>
              </w:rPr>
              <w:t>DBP</w:t>
            </w:r>
          </w:p>
        </w:tc>
        <w:tc>
          <w:tcPr>
            <w:tcW w:w="0" w:type="auto"/>
            <w:vAlign w:val="center"/>
            <w:hideMark/>
          </w:tcPr>
          <w:p w14:paraId="1933B0D2" w14:textId="77777777" w:rsidR="00FC7BD9" w:rsidRDefault="00FC7BD9">
            <w:r>
              <w:t>0.01</w:t>
            </w:r>
          </w:p>
        </w:tc>
        <w:tc>
          <w:tcPr>
            <w:tcW w:w="0" w:type="auto"/>
            <w:vAlign w:val="center"/>
            <w:hideMark/>
          </w:tcPr>
          <w:p w14:paraId="6F131DEF" w14:textId="77777777" w:rsidR="00FC7BD9" w:rsidRDefault="00FC7BD9">
            <w:r>
              <w:t xml:space="preserve">Reproductive/developmental toxicity; male reproductive tract in rats. </w:t>
            </w:r>
            <w:hyperlink r:id="rId49" w:tgtFrame="_blank" w:history="1">
              <w:r>
                <w:rPr>
                  <w:rStyle w:val="max-w-15ch"/>
                  <w:rFonts w:eastAsiaTheme="majorEastAsia"/>
                  <w:color w:val="0000FF"/>
                  <w:u w:val="single"/>
                </w:rPr>
                <w:t>Committee on Toxicity</w:t>
              </w:r>
            </w:hyperlink>
          </w:p>
        </w:tc>
      </w:tr>
      <w:tr w:rsidR="00FC7BD9" w14:paraId="148A7DF3" w14:textId="77777777">
        <w:trPr>
          <w:tblCellSpacing w:w="15" w:type="dxa"/>
        </w:trPr>
        <w:tc>
          <w:tcPr>
            <w:tcW w:w="0" w:type="auto"/>
            <w:vAlign w:val="center"/>
            <w:hideMark/>
          </w:tcPr>
          <w:p w14:paraId="308B0CAB" w14:textId="77777777" w:rsidR="00FC7BD9" w:rsidRDefault="00FC7BD9">
            <w:r>
              <w:rPr>
                <w:rStyle w:val="Strong"/>
                <w:rFonts w:eastAsiaTheme="majorEastAsia"/>
              </w:rPr>
              <w:t>BBP</w:t>
            </w:r>
          </w:p>
        </w:tc>
        <w:tc>
          <w:tcPr>
            <w:tcW w:w="0" w:type="auto"/>
            <w:vAlign w:val="center"/>
            <w:hideMark/>
          </w:tcPr>
          <w:p w14:paraId="6171DC2D" w14:textId="77777777" w:rsidR="00FC7BD9" w:rsidRDefault="00FC7BD9">
            <w:r>
              <w:t>0.5</w:t>
            </w:r>
          </w:p>
        </w:tc>
        <w:tc>
          <w:tcPr>
            <w:tcW w:w="0" w:type="auto"/>
            <w:vAlign w:val="center"/>
            <w:hideMark/>
          </w:tcPr>
          <w:p w14:paraId="6818A54E" w14:textId="77777777" w:rsidR="00FC7BD9" w:rsidRDefault="00FC7BD9">
            <w:r>
              <w:t xml:space="preserve">Reproductive endpoints. </w:t>
            </w:r>
            <w:hyperlink r:id="rId50" w:tgtFrame="_blank" w:history="1">
              <w:r>
                <w:rPr>
                  <w:rStyle w:val="max-w-15ch"/>
                  <w:rFonts w:eastAsiaTheme="majorEastAsia"/>
                  <w:color w:val="0000FF"/>
                  <w:u w:val="single"/>
                </w:rPr>
                <w:t>Committee on Toxicity</w:t>
              </w:r>
              <w:r>
                <w:rPr>
                  <w:rStyle w:val="-me-1"/>
                  <w:color w:val="0000FF"/>
                  <w:u w:val="single"/>
                </w:rPr>
                <w:t>+1</w:t>
              </w:r>
            </w:hyperlink>
          </w:p>
        </w:tc>
      </w:tr>
      <w:tr w:rsidR="00FC7BD9" w14:paraId="46511A2A" w14:textId="77777777">
        <w:trPr>
          <w:tblCellSpacing w:w="15" w:type="dxa"/>
        </w:trPr>
        <w:tc>
          <w:tcPr>
            <w:tcW w:w="0" w:type="auto"/>
            <w:vAlign w:val="center"/>
            <w:hideMark/>
          </w:tcPr>
          <w:p w14:paraId="200E9A3D" w14:textId="77777777" w:rsidR="00FC7BD9" w:rsidRDefault="00FC7BD9">
            <w:r>
              <w:rPr>
                <w:rStyle w:val="Strong"/>
                <w:rFonts w:eastAsiaTheme="majorEastAsia"/>
              </w:rPr>
              <w:t>DEHP</w:t>
            </w:r>
          </w:p>
        </w:tc>
        <w:tc>
          <w:tcPr>
            <w:tcW w:w="0" w:type="auto"/>
            <w:vAlign w:val="center"/>
            <w:hideMark/>
          </w:tcPr>
          <w:p w14:paraId="6B3FCA28" w14:textId="77777777" w:rsidR="00FC7BD9" w:rsidRDefault="00FC7BD9">
            <w:r>
              <w:t>0.05</w:t>
            </w:r>
          </w:p>
        </w:tc>
        <w:tc>
          <w:tcPr>
            <w:tcW w:w="0" w:type="auto"/>
            <w:vAlign w:val="center"/>
            <w:hideMark/>
          </w:tcPr>
          <w:p w14:paraId="093B62FC" w14:textId="77777777" w:rsidR="00FC7BD9" w:rsidRDefault="00FC7BD9">
            <w:r>
              <w:t xml:space="preserve">Reproductive toxicity; fetal testosterone reduction. </w:t>
            </w:r>
            <w:hyperlink r:id="rId51" w:tgtFrame="_blank" w:history="1">
              <w:r>
                <w:rPr>
                  <w:rStyle w:val="max-w-15ch"/>
                  <w:rFonts w:eastAsiaTheme="majorEastAsia"/>
                  <w:color w:val="0000FF"/>
                  <w:u w:val="single"/>
                </w:rPr>
                <w:t>Zendy</w:t>
              </w:r>
              <w:r>
                <w:rPr>
                  <w:rStyle w:val="-me-1"/>
                  <w:color w:val="0000FF"/>
                  <w:u w:val="single"/>
                </w:rPr>
                <w:t>+1</w:t>
              </w:r>
            </w:hyperlink>
          </w:p>
        </w:tc>
      </w:tr>
      <w:tr w:rsidR="00FC7BD9" w14:paraId="02C3419E" w14:textId="77777777">
        <w:trPr>
          <w:tblCellSpacing w:w="15" w:type="dxa"/>
        </w:trPr>
        <w:tc>
          <w:tcPr>
            <w:tcW w:w="0" w:type="auto"/>
            <w:vAlign w:val="center"/>
            <w:hideMark/>
          </w:tcPr>
          <w:p w14:paraId="30659513" w14:textId="77777777" w:rsidR="00FC7BD9" w:rsidRDefault="00FC7BD9">
            <w:r>
              <w:rPr>
                <w:rStyle w:val="Strong"/>
                <w:rFonts w:eastAsiaTheme="majorEastAsia"/>
              </w:rPr>
              <w:t>DINP</w:t>
            </w:r>
          </w:p>
        </w:tc>
        <w:tc>
          <w:tcPr>
            <w:tcW w:w="0" w:type="auto"/>
            <w:vAlign w:val="center"/>
            <w:hideMark/>
          </w:tcPr>
          <w:p w14:paraId="4414CF3F" w14:textId="77777777" w:rsidR="00FC7BD9" w:rsidRDefault="00FC7BD9">
            <w:r>
              <w:t>0.15</w:t>
            </w:r>
          </w:p>
        </w:tc>
        <w:tc>
          <w:tcPr>
            <w:tcW w:w="0" w:type="auto"/>
            <w:vAlign w:val="center"/>
            <w:hideMark/>
          </w:tcPr>
          <w:p w14:paraId="6D5F7974" w14:textId="77777777" w:rsidR="00FC7BD9" w:rsidRDefault="00FC7BD9">
            <w:r>
              <w:t xml:space="preserve">Hepatic and reproductive effects; included in </w:t>
            </w:r>
            <w:r>
              <w:rPr>
                <w:rStyle w:val="Strong"/>
                <w:rFonts w:eastAsiaTheme="majorEastAsia"/>
              </w:rPr>
              <w:t>group TDI</w:t>
            </w:r>
            <w:r>
              <w:t xml:space="preserve"> based on fetal testosterone. </w:t>
            </w:r>
            <w:hyperlink r:id="rId52" w:tgtFrame="_blank" w:history="1">
              <w:r>
                <w:rPr>
                  <w:rStyle w:val="max-w-15ch"/>
                  <w:rFonts w:eastAsiaTheme="majorEastAsia"/>
                  <w:color w:val="0000FF"/>
                  <w:u w:val="single"/>
                </w:rPr>
                <w:t>Zendy</w:t>
              </w:r>
              <w:r>
                <w:rPr>
                  <w:rStyle w:val="-me-1"/>
                  <w:color w:val="0000FF"/>
                  <w:u w:val="single"/>
                </w:rPr>
                <w:t>+1</w:t>
              </w:r>
            </w:hyperlink>
          </w:p>
        </w:tc>
      </w:tr>
      <w:tr w:rsidR="00FC7BD9" w14:paraId="557DD508" w14:textId="77777777">
        <w:trPr>
          <w:tblCellSpacing w:w="15" w:type="dxa"/>
        </w:trPr>
        <w:tc>
          <w:tcPr>
            <w:tcW w:w="0" w:type="auto"/>
            <w:vAlign w:val="center"/>
            <w:hideMark/>
          </w:tcPr>
          <w:p w14:paraId="17B90239" w14:textId="77777777" w:rsidR="00FC7BD9" w:rsidRDefault="00FC7BD9">
            <w:r>
              <w:rPr>
                <w:rStyle w:val="Strong"/>
                <w:rFonts w:eastAsiaTheme="majorEastAsia"/>
              </w:rPr>
              <w:t>DIDP</w:t>
            </w:r>
          </w:p>
        </w:tc>
        <w:tc>
          <w:tcPr>
            <w:tcW w:w="0" w:type="auto"/>
            <w:vAlign w:val="center"/>
            <w:hideMark/>
          </w:tcPr>
          <w:p w14:paraId="2F97048D" w14:textId="77777777" w:rsidR="00FC7BD9" w:rsidRDefault="00FC7BD9">
            <w:r>
              <w:t>0.15</w:t>
            </w:r>
          </w:p>
        </w:tc>
        <w:tc>
          <w:tcPr>
            <w:tcW w:w="0" w:type="auto"/>
            <w:vAlign w:val="center"/>
            <w:hideMark/>
          </w:tcPr>
          <w:p w14:paraId="4F965669" w14:textId="77777777" w:rsidR="00FC7BD9" w:rsidRDefault="00FC7BD9">
            <w:r>
              <w:t xml:space="preserve">Liver effects (hepatotoxicity) – separate TDI. </w:t>
            </w:r>
            <w:hyperlink r:id="rId53" w:tgtFrame="_blank" w:history="1">
              <w:r>
                <w:rPr>
                  <w:rStyle w:val="max-w-15ch"/>
                  <w:rFonts w:eastAsiaTheme="majorEastAsia"/>
                  <w:color w:val="0000FF"/>
                  <w:u w:val="single"/>
                </w:rPr>
                <w:t>Food Packaging Forum</w:t>
              </w:r>
              <w:r>
                <w:rPr>
                  <w:rStyle w:val="-me-1"/>
                  <w:color w:val="0000FF"/>
                  <w:u w:val="single"/>
                </w:rPr>
                <w:t>+1</w:t>
              </w:r>
            </w:hyperlink>
          </w:p>
        </w:tc>
      </w:tr>
    </w:tbl>
    <w:p w14:paraId="57627A68" w14:textId="77777777" w:rsidR="00FC7BD9" w:rsidRDefault="00FC7BD9" w:rsidP="00FC7BD9">
      <w:pPr>
        <w:pStyle w:val="NormalWeb"/>
        <w:numPr>
          <w:ilvl w:val="0"/>
          <w:numId w:val="79"/>
        </w:numPr>
      </w:pPr>
      <w:r>
        <w:rPr>
          <w:rStyle w:val="Strong"/>
          <w:rFonts w:eastAsiaTheme="majorEastAsia"/>
        </w:rPr>
        <w:t>2019 EFSA update</w:t>
      </w:r>
      <w:r>
        <w:t xml:space="preserve">: introduced a </w:t>
      </w:r>
      <w:r>
        <w:rPr>
          <w:rStyle w:val="Strong"/>
          <w:rFonts w:eastAsiaTheme="majorEastAsia"/>
        </w:rPr>
        <w:t>group TDI of 0.05 mg/kg-day</w:t>
      </w:r>
      <w:r>
        <w:t xml:space="preserve"> (50 µg/kg-day, expressed as DEHP-equivalents) for </w:t>
      </w:r>
      <w:r>
        <w:rPr>
          <w:rStyle w:val="Strong"/>
          <w:rFonts w:eastAsiaTheme="majorEastAsia"/>
        </w:rPr>
        <w:t>DBP, BBP, DEHP, DINP</w:t>
      </w:r>
      <w:r>
        <w:t xml:space="preserve"> based on common MoA (reduced fetal testosterone) with </w:t>
      </w:r>
      <w:r>
        <w:rPr>
          <w:rStyle w:val="Strong"/>
          <w:rFonts w:eastAsiaTheme="majorEastAsia"/>
        </w:rPr>
        <w:t>relative potency factors</w:t>
      </w:r>
      <w:r>
        <w:t xml:space="preserve">. DIDP retained separate TDI (0.15 mg/kg-day). </w:t>
      </w:r>
      <w:hyperlink r:id="rId54" w:tgtFrame="_blank" w:history="1">
        <w:r>
          <w:rPr>
            <w:rStyle w:val="max-w-15ch"/>
            <w:rFonts w:eastAsiaTheme="majorEastAsia"/>
            <w:color w:val="0000FF"/>
            <w:u w:val="single"/>
          </w:rPr>
          <w:t>Zendy</w:t>
        </w:r>
        <w:r>
          <w:rPr>
            <w:rStyle w:val="-me-1"/>
            <w:color w:val="0000FF"/>
            <w:u w:val="single"/>
          </w:rPr>
          <w:t>+2</w:t>
        </w:r>
        <w:r>
          <w:rPr>
            <w:rStyle w:val="max-w-15ch"/>
            <w:rFonts w:eastAsiaTheme="majorEastAsia"/>
            <w:color w:val="0000FF"/>
            <w:u w:val="single"/>
          </w:rPr>
          <w:t>European Chemicals Agency</w:t>
        </w:r>
        <w:r>
          <w:rPr>
            <w:rStyle w:val="-me-1"/>
            <w:color w:val="0000FF"/>
            <w:u w:val="single"/>
          </w:rPr>
          <w:t>+2</w:t>
        </w:r>
      </w:hyperlink>
    </w:p>
    <w:p w14:paraId="77FED433" w14:textId="77777777" w:rsidR="00FC7BD9" w:rsidRDefault="00FC7BD9" w:rsidP="00FC7BD9">
      <w:pPr>
        <w:pStyle w:val="Heading3"/>
      </w:pPr>
      <w:r>
        <w:t>7.2 US EPA RfDs (IRIS)</w:t>
      </w:r>
    </w:p>
    <w:p w14:paraId="061FA25D" w14:textId="77777777" w:rsidR="00FC7BD9" w:rsidRDefault="00FC7BD9" w:rsidP="00FC7BD9">
      <w:pPr>
        <w:pStyle w:val="NormalWeb"/>
        <w:numPr>
          <w:ilvl w:val="0"/>
          <w:numId w:val="80"/>
        </w:numPr>
      </w:pPr>
      <w:r>
        <w:rPr>
          <w:rStyle w:val="Strong"/>
          <w:rFonts w:eastAsiaTheme="majorEastAsia"/>
        </w:rPr>
        <w:t>DEHP</w:t>
      </w:r>
    </w:p>
    <w:p w14:paraId="06A48AC0" w14:textId="77777777" w:rsidR="00FC7BD9" w:rsidRDefault="00FC7BD9" w:rsidP="00FC7BD9">
      <w:pPr>
        <w:pStyle w:val="NormalWeb"/>
        <w:numPr>
          <w:ilvl w:val="1"/>
          <w:numId w:val="80"/>
        </w:numPr>
      </w:pPr>
      <w:r>
        <w:rPr>
          <w:rStyle w:val="Strong"/>
          <w:rFonts w:eastAsiaTheme="majorEastAsia"/>
        </w:rPr>
        <w:lastRenderedPageBreak/>
        <w:t>RfD</w:t>
      </w:r>
      <w:r>
        <w:t xml:space="preserve">: </w:t>
      </w:r>
      <w:r>
        <w:rPr>
          <w:rStyle w:val="Strong"/>
          <w:rFonts w:eastAsiaTheme="majorEastAsia"/>
        </w:rPr>
        <w:t>0.02 mg/kg-day</w:t>
      </w:r>
      <w:r>
        <w:t xml:space="preserve"> based on </w:t>
      </w:r>
      <w:r>
        <w:rPr>
          <w:rStyle w:val="Strong"/>
          <w:rFonts w:eastAsiaTheme="majorEastAsia"/>
        </w:rPr>
        <w:t>increased liver weight</w:t>
      </w:r>
      <w:r>
        <w:t xml:space="preserve"> in rodents (non-cancer). </w:t>
      </w:r>
      <w:hyperlink r:id="rId55" w:tgtFrame="_blank" w:history="1">
        <w:r>
          <w:rPr>
            <w:rStyle w:val="max-w-15ch"/>
            <w:rFonts w:eastAsiaTheme="majorEastAsia"/>
            <w:color w:val="0000FF"/>
            <w:u w:val="single"/>
          </w:rPr>
          <w:t>iris.epa.gov</w:t>
        </w:r>
        <w:r>
          <w:rPr>
            <w:rStyle w:val="-me-1"/>
            <w:color w:val="0000FF"/>
            <w:u w:val="single"/>
          </w:rPr>
          <w:t>+1</w:t>
        </w:r>
      </w:hyperlink>
    </w:p>
    <w:p w14:paraId="716BADBB" w14:textId="77777777" w:rsidR="00FC7BD9" w:rsidRDefault="00FC7BD9" w:rsidP="00FC7BD9">
      <w:pPr>
        <w:pStyle w:val="NormalWeb"/>
        <w:numPr>
          <w:ilvl w:val="1"/>
          <w:numId w:val="80"/>
        </w:numPr>
      </w:pPr>
      <w:r>
        <w:t xml:space="preserve">Classified as </w:t>
      </w:r>
      <w:r>
        <w:rPr>
          <w:rStyle w:val="Strong"/>
          <w:rFonts w:eastAsiaTheme="majorEastAsia"/>
        </w:rPr>
        <w:t>B2 – probable human carcinogen</w:t>
      </w:r>
      <w:r>
        <w:t xml:space="preserve"> based on rodent liver tumors. </w:t>
      </w:r>
      <w:hyperlink r:id="rId56" w:tgtFrame="_blank" w:history="1">
        <w:r>
          <w:rPr>
            <w:rStyle w:val="max-w-15ch"/>
            <w:rFonts w:eastAsiaTheme="majorEastAsia"/>
            <w:color w:val="0000FF"/>
            <w:u w:val="single"/>
          </w:rPr>
          <w:t>iris.epa.gov</w:t>
        </w:r>
      </w:hyperlink>
    </w:p>
    <w:p w14:paraId="4AF4D1CC" w14:textId="77777777" w:rsidR="00FC7BD9" w:rsidRDefault="00FC7BD9" w:rsidP="00FC7BD9">
      <w:pPr>
        <w:pStyle w:val="NormalWeb"/>
        <w:numPr>
          <w:ilvl w:val="0"/>
          <w:numId w:val="80"/>
        </w:numPr>
      </w:pPr>
      <w:r>
        <w:rPr>
          <w:rStyle w:val="Strong"/>
          <w:rFonts w:eastAsiaTheme="majorEastAsia"/>
        </w:rPr>
        <w:t>DBP</w:t>
      </w:r>
    </w:p>
    <w:p w14:paraId="2D216A7C" w14:textId="77777777" w:rsidR="00FC7BD9" w:rsidRDefault="00FC7BD9" w:rsidP="00FC7BD9">
      <w:pPr>
        <w:pStyle w:val="NormalWeb"/>
        <w:numPr>
          <w:ilvl w:val="1"/>
          <w:numId w:val="80"/>
        </w:numPr>
      </w:pPr>
      <w:r>
        <w:rPr>
          <w:rStyle w:val="Strong"/>
          <w:rFonts w:eastAsiaTheme="majorEastAsia"/>
        </w:rPr>
        <w:t>RfD</w:t>
      </w:r>
      <w:r>
        <w:t xml:space="preserve">: </w:t>
      </w:r>
      <w:r>
        <w:rPr>
          <w:rStyle w:val="Strong"/>
          <w:rFonts w:eastAsiaTheme="majorEastAsia"/>
        </w:rPr>
        <w:t>0.1 mg/kg-day</w:t>
      </w:r>
      <w:r>
        <w:t xml:space="preserve"> based on increased mortality in chronic rat studies; cancer classification </w:t>
      </w:r>
      <w:r>
        <w:rPr>
          <w:rStyle w:val="Strong"/>
          <w:rFonts w:eastAsiaTheme="majorEastAsia"/>
        </w:rPr>
        <w:t>D (not classifiable)</w:t>
      </w:r>
      <w:r>
        <w:t xml:space="preserve">. </w:t>
      </w:r>
      <w:hyperlink r:id="rId57" w:tgtFrame="_blank" w:history="1">
        <w:r>
          <w:rPr>
            <w:rStyle w:val="max-w-15ch"/>
            <w:rFonts w:eastAsiaTheme="majorEastAsia"/>
            <w:color w:val="0000FF"/>
            <w:u w:val="single"/>
          </w:rPr>
          <w:t>iris.epa.gov</w:t>
        </w:r>
      </w:hyperlink>
    </w:p>
    <w:p w14:paraId="75FED5AF" w14:textId="77777777" w:rsidR="00FC7BD9" w:rsidRDefault="00FC7BD9" w:rsidP="00FC7BD9">
      <w:pPr>
        <w:pStyle w:val="NormalWeb"/>
      </w:pPr>
      <w:r>
        <w:rPr>
          <w:rStyle w:val="Emphasis"/>
          <w:rFonts w:eastAsiaTheme="majorEastAsia"/>
        </w:rPr>
        <w:t>(For some other phthalates such as DEP, DINP, DIBP, IRIS values are absent or pending, though TSCA risk evaluations are ongoing.)</w:t>
      </w:r>
      <w:r>
        <w:t xml:space="preserve"> </w:t>
      </w:r>
      <w:hyperlink r:id="rId58" w:tgtFrame="_blank" w:history="1">
        <w:r>
          <w:rPr>
            <w:rStyle w:val="max-w-15ch"/>
            <w:rFonts w:eastAsiaTheme="majorEastAsia"/>
            <w:color w:val="0000FF"/>
            <w:u w:val="single"/>
          </w:rPr>
          <w:t>Environmental Protection Agency</w:t>
        </w:r>
        <w:r>
          <w:rPr>
            <w:rStyle w:val="-me-1"/>
            <w:color w:val="0000FF"/>
            <w:u w:val="single"/>
          </w:rPr>
          <w:t>+1</w:t>
        </w:r>
      </w:hyperlink>
    </w:p>
    <w:p w14:paraId="4C589515" w14:textId="77777777" w:rsidR="00FC7BD9" w:rsidRDefault="00FC7BD9" w:rsidP="00FC7BD9">
      <w:pPr>
        <w:pStyle w:val="Heading3"/>
      </w:pPr>
      <w:r>
        <w:t>7.3 Cumulative Risk &amp; Mixture Assessment</w:t>
      </w:r>
    </w:p>
    <w:p w14:paraId="7D5C1FDD" w14:textId="77777777" w:rsidR="00FC7BD9" w:rsidRDefault="00FC7BD9" w:rsidP="00FC7BD9">
      <w:pPr>
        <w:pStyle w:val="NormalWeb"/>
        <w:numPr>
          <w:ilvl w:val="0"/>
          <w:numId w:val="81"/>
        </w:numPr>
      </w:pPr>
      <w:r>
        <w:rPr>
          <w:rStyle w:val="Strong"/>
          <w:rFonts w:eastAsiaTheme="majorEastAsia"/>
        </w:rPr>
        <w:t>Rationale</w:t>
      </w:r>
    </w:p>
    <w:p w14:paraId="523F6E4D" w14:textId="77777777" w:rsidR="00FC7BD9" w:rsidRDefault="00FC7BD9" w:rsidP="00FC7BD9">
      <w:pPr>
        <w:pStyle w:val="NormalWeb"/>
        <w:numPr>
          <w:ilvl w:val="1"/>
          <w:numId w:val="81"/>
        </w:numPr>
      </w:pPr>
      <w:r>
        <w:t xml:space="preserve">Evidence of </w:t>
      </w:r>
      <w:r>
        <w:rPr>
          <w:rStyle w:val="Strong"/>
          <w:rFonts w:eastAsiaTheme="majorEastAsia"/>
        </w:rPr>
        <w:t>common anti-androgenic MoA</w:t>
      </w:r>
      <w:r>
        <w:t xml:space="preserve"> for several ortho-phthalates affecting </w:t>
      </w:r>
      <w:r>
        <w:rPr>
          <w:rStyle w:val="Strong"/>
          <w:rFonts w:eastAsiaTheme="majorEastAsia"/>
        </w:rPr>
        <w:t>fetal testosterone and male reproductive development</w:t>
      </w:r>
      <w:r>
        <w:t xml:space="preserve"> → </w:t>
      </w:r>
      <w:r>
        <w:rPr>
          <w:rStyle w:val="Strong"/>
          <w:rFonts w:eastAsiaTheme="majorEastAsia"/>
        </w:rPr>
        <w:t>dose addition</w:t>
      </w:r>
      <w:r>
        <w:t xml:space="preserve"> is appropriate.</w:t>
      </w:r>
    </w:p>
    <w:p w14:paraId="6677541D" w14:textId="77777777" w:rsidR="00FC7BD9" w:rsidRDefault="00FC7BD9" w:rsidP="00FC7BD9">
      <w:pPr>
        <w:pStyle w:val="NormalWeb"/>
        <w:numPr>
          <w:ilvl w:val="1"/>
          <w:numId w:val="81"/>
        </w:numPr>
      </w:pPr>
      <w:r>
        <w:t xml:space="preserve">EFSA’s group TDI for DBP, BBP, DEHP, DINP explicitly implements </w:t>
      </w:r>
      <w:r>
        <w:rPr>
          <w:rStyle w:val="Strong"/>
          <w:rFonts w:eastAsiaTheme="majorEastAsia"/>
        </w:rPr>
        <w:t>relative potency factors</w:t>
      </w:r>
      <w:r>
        <w:t xml:space="preserve"> with DEHP as index compound. </w:t>
      </w:r>
      <w:hyperlink r:id="rId59" w:tgtFrame="_blank" w:history="1">
        <w:r>
          <w:rPr>
            <w:rStyle w:val="max-w-15ch"/>
            <w:rFonts w:eastAsiaTheme="majorEastAsia"/>
            <w:color w:val="0000FF"/>
            <w:u w:val="single"/>
          </w:rPr>
          <w:t>Zendy</w:t>
        </w:r>
        <w:r>
          <w:rPr>
            <w:rStyle w:val="-me-1"/>
            <w:color w:val="0000FF"/>
            <w:u w:val="single"/>
          </w:rPr>
          <w:t>+1</w:t>
        </w:r>
      </w:hyperlink>
    </w:p>
    <w:p w14:paraId="0AE2DC11" w14:textId="77777777" w:rsidR="00FC7BD9" w:rsidRDefault="00FC7BD9" w:rsidP="00FC7BD9">
      <w:pPr>
        <w:pStyle w:val="NormalWeb"/>
        <w:numPr>
          <w:ilvl w:val="0"/>
          <w:numId w:val="81"/>
        </w:numPr>
      </w:pPr>
      <w:r>
        <w:rPr>
          <w:rStyle w:val="Strong"/>
          <w:rFonts w:eastAsiaTheme="majorEastAsia"/>
        </w:rPr>
        <w:t>Approaches</w:t>
      </w:r>
    </w:p>
    <w:p w14:paraId="3C21317F" w14:textId="77777777" w:rsidR="00FC7BD9" w:rsidRDefault="00FC7BD9" w:rsidP="00FC7BD9">
      <w:pPr>
        <w:pStyle w:val="NormalWeb"/>
        <w:numPr>
          <w:ilvl w:val="1"/>
          <w:numId w:val="81"/>
        </w:numPr>
      </w:pPr>
      <w:r>
        <w:rPr>
          <w:rStyle w:val="Strong"/>
          <w:rFonts w:eastAsiaTheme="majorEastAsia"/>
        </w:rPr>
        <w:t>Hazard index (HI)</w:t>
      </w:r>
      <w:r>
        <w:t xml:space="preserve"> / </w:t>
      </w:r>
      <w:r>
        <w:rPr>
          <w:rStyle w:val="Strong"/>
          <w:rFonts w:eastAsiaTheme="majorEastAsia"/>
        </w:rPr>
        <w:t>relative potency factor</w:t>
      </w:r>
      <w:r>
        <w:t xml:space="preserve"> frameworks increasingly used by EFSA, ECHA and national agencies for:</w:t>
      </w:r>
    </w:p>
    <w:p w14:paraId="6074AD40" w14:textId="77777777" w:rsidR="00FC7BD9" w:rsidRDefault="00FC7BD9" w:rsidP="00FC7BD9">
      <w:pPr>
        <w:pStyle w:val="NormalWeb"/>
        <w:numPr>
          <w:ilvl w:val="2"/>
          <w:numId w:val="81"/>
        </w:numPr>
      </w:pPr>
      <w:r>
        <w:rPr>
          <w:rStyle w:val="Strong"/>
          <w:rFonts w:eastAsiaTheme="majorEastAsia"/>
        </w:rPr>
        <w:t>Dietary exposure</w:t>
      </w:r>
      <w:r>
        <w:t xml:space="preserve"> from food-contact materials.</w:t>
      </w:r>
    </w:p>
    <w:p w14:paraId="77276177" w14:textId="77777777" w:rsidR="00FC7BD9" w:rsidRDefault="00FC7BD9" w:rsidP="00FC7BD9">
      <w:pPr>
        <w:pStyle w:val="NormalWeb"/>
        <w:numPr>
          <w:ilvl w:val="2"/>
          <w:numId w:val="81"/>
        </w:numPr>
      </w:pPr>
      <w:r>
        <w:rPr>
          <w:rStyle w:val="Strong"/>
          <w:rFonts w:eastAsiaTheme="majorEastAsia"/>
        </w:rPr>
        <w:t>Aggregate exposure</w:t>
      </w:r>
      <w:r>
        <w:t xml:space="preserve"> (diet + environment + consumer products).</w:t>
      </w:r>
    </w:p>
    <w:p w14:paraId="3CD2FDAE" w14:textId="77777777" w:rsidR="00FC7BD9" w:rsidRDefault="00FC7BD9" w:rsidP="00FC7BD9">
      <w:pPr>
        <w:pStyle w:val="NormalWeb"/>
        <w:numPr>
          <w:ilvl w:val="1"/>
          <w:numId w:val="81"/>
        </w:numPr>
      </w:pPr>
      <w:r>
        <w:t xml:space="preserve">U.S. agencies (EPA, CPSC, FDA) have considered </w:t>
      </w:r>
      <w:r>
        <w:rPr>
          <w:rStyle w:val="Strong"/>
          <w:rFonts w:eastAsiaTheme="majorEastAsia"/>
        </w:rPr>
        <w:t>phthalate cumulative risk</w:t>
      </w:r>
      <w:r>
        <w:t xml:space="preserve"> in TSCA and consumer product regulations, especially for </w:t>
      </w:r>
      <w:r>
        <w:rPr>
          <w:rStyle w:val="Strong"/>
          <w:rFonts w:eastAsiaTheme="majorEastAsia"/>
        </w:rPr>
        <w:t>children’s toys</w:t>
      </w:r>
      <w:r>
        <w:t xml:space="preserve"> and </w:t>
      </w:r>
      <w:r>
        <w:rPr>
          <w:rStyle w:val="Strong"/>
          <w:rFonts w:eastAsiaTheme="majorEastAsia"/>
        </w:rPr>
        <w:t>childcare articles</w:t>
      </w:r>
      <w:r>
        <w:t>.</w:t>
      </w:r>
    </w:p>
    <w:p w14:paraId="055AC1F9" w14:textId="77777777" w:rsidR="00FC7BD9" w:rsidRDefault="00F573BC" w:rsidP="00FC7BD9">
      <w:r w:rsidRPr="00F573BC">
        <w:rPr>
          <w:noProof/>
          <w14:ligatures w14:val="standardContextual"/>
        </w:rPr>
        <w:pict w14:anchorId="6A965E37">
          <v:rect id="_x0000_i1027" alt="" style="width:468pt;height:.05pt;mso-width-percent:0;mso-height-percent:0;mso-width-percent:0;mso-height-percent:0" o:hralign="center" o:hrstd="t" o:hr="t" fillcolor="#a0a0a0" stroked="f"/>
        </w:pict>
      </w:r>
    </w:p>
    <w:p w14:paraId="05D0250F" w14:textId="77777777" w:rsidR="00FC7BD9" w:rsidRDefault="00FC7BD9" w:rsidP="00FC7BD9">
      <w:pPr>
        <w:pStyle w:val="Heading2"/>
      </w:pPr>
      <w:r>
        <w:t>8. Emerging Science &amp; Alternatives</w:t>
      </w:r>
    </w:p>
    <w:p w14:paraId="1D2A5B63" w14:textId="77777777" w:rsidR="00FC7BD9" w:rsidRDefault="00FC7BD9" w:rsidP="00FC7BD9">
      <w:pPr>
        <w:pStyle w:val="Heading3"/>
      </w:pPr>
      <w:r>
        <w:t>8.1 Replacement Plasticizers</w:t>
      </w:r>
    </w:p>
    <w:p w14:paraId="7D009B82" w14:textId="77777777" w:rsidR="00FC7BD9" w:rsidRDefault="00FC7BD9" w:rsidP="00FC7BD9">
      <w:pPr>
        <w:pStyle w:val="NormalWeb"/>
      </w:pPr>
      <w:r>
        <w:t xml:space="preserve">Common replacements include </w:t>
      </w:r>
      <w:r>
        <w:rPr>
          <w:rStyle w:val="Strong"/>
          <w:rFonts w:eastAsiaTheme="majorEastAsia"/>
        </w:rPr>
        <w:t>non-phthalate plasticizers</w:t>
      </w:r>
      <w:r>
        <w:t xml:space="preserve"> such as:</w:t>
      </w:r>
    </w:p>
    <w:p w14:paraId="1B5AD36C" w14:textId="77777777" w:rsidR="00FC7BD9" w:rsidRDefault="00FC7BD9" w:rsidP="00FC7BD9">
      <w:pPr>
        <w:pStyle w:val="NormalWeb"/>
        <w:numPr>
          <w:ilvl w:val="0"/>
          <w:numId w:val="82"/>
        </w:numPr>
      </w:pPr>
      <w:r>
        <w:rPr>
          <w:rStyle w:val="Strong"/>
          <w:rFonts w:eastAsiaTheme="majorEastAsia"/>
        </w:rPr>
        <w:t>DEHT/DOTP (di-2-ethylhexyl terephthalate / dioctyl terephthalate)</w:t>
      </w:r>
    </w:p>
    <w:p w14:paraId="066DA031" w14:textId="77777777" w:rsidR="00FC7BD9" w:rsidRDefault="00FC7BD9" w:rsidP="00FC7BD9">
      <w:pPr>
        <w:pStyle w:val="NormalWeb"/>
        <w:numPr>
          <w:ilvl w:val="0"/>
          <w:numId w:val="82"/>
        </w:numPr>
      </w:pPr>
      <w:r>
        <w:rPr>
          <w:rStyle w:val="Strong"/>
          <w:rFonts w:eastAsiaTheme="majorEastAsia"/>
        </w:rPr>
        <w:t>DINCH (1,2-cyclohexane dicarboxylic acid diisononyl ester)</w:t>
      </w:r>
    </w:p>
    <w:p w14:paraId="36A735FE" w14:textId="77777777" w:rsidR="00FC7BD9" w:rsidRDefault="00FC7BD9" w:rsidP="00FC7BD9">
      <w:pPr>
        <w:pStyle w:val="NormalWeb"/>
        <w:numPr>
          <w:ilvl w:val="0"/>
          <w:numId w:val="82"/>
        </w:numPr>
      </w:pPr>
      <w:r>
        <w:rPr>
          <w:rStyle w:val="Strong"/>
          <w:rFonts w:eastAsiaTheme="majorEastAsia"/>
        </w:rPr>
        <w:t>ATBC (acetyltributyl citrate)</w:t>
      </w:r>
    </w:p>
    <w:p w14:paraId="47CF21F9" w14:textId="77777777" w:rsidR="00FC7BD9" w:rsidRDefault="00FC7BD9" w:rsidP="00FC7BD9">
      <w:pPr>
        <w:pStyle w:val="Heading3"/>
      </w:pPr>
      <w:r>
        <w:t>8.2 Current Evidence on Safety</w:t>
      </w:r>
    </w:p>
    <w:p w14:paraId="705718FB" w14:textId="77777777" w:rsidR="00FC7BD9" w:rsidRDefault="00FC7BD9" w:rsidP="00FC7BD9">
      <w:pPr>
        <w:pStyle w:val="NormalWeb"/>
        <w:numPr>
          <w:ilvl w:val="0"/>
          <w:numId w:val="83"/>
        </w:numPr>
      </w:pPr>
      <w:r>
        <w:rPr>
          <w:rStyle w:val="Strong"/>
          <w:rFonts w:eastAsiaTheme="majorEastAsia"/>
        </w:rPr>
        <w:t>DEHT/DOTP (terephthalate)</w:t>
      </w:r>
    </w:p>
    <w:p w14:paraId="586658FB" w14:textId="77777777" w:rsidR="00FC7BD9" w:rsidRDefault="00FC7BD9" w:rsidP="00FC7BD9">
      <w:pPr>
        <w:pStyle w:val="NormalWeb"/>
        <w:numPr>
          <w:ilvl w:val="1"/>
          <w:numId w:val="83"/>
        </w:numPr>
      </w:pPr>
      <w:r>
        <w:t xml:space="preserve">Structurally related but </w:t>
      </w:r>
      <w:r>
        <w:rPr>
          <w:rStyle w:val="Strong"/>
          <w:rFonts w:eastAsiaTheme="majorEastAsia"/>
        </w:rPr>
        <w:t>terephthalate</w:t>
      </w:r>
      <w:r>
        <w:t xml:space="preserve"> rather than </w:t>
      </w:r>
      <w:r>
        <w:rPr>
          <w:rStyle w:val="Strong"/>
          <w:rFonts w:eastAsiaTheme="majorEastAsia"/>
        </w:rPr>
        <w:t>phthalate</w:t>
      </w:r>
      <w:r>
        <w:t>.</w:t>
      </w:r>
    </w:p>
    <w:p w14:paraId="69708280" w14:textId="77777777" w:rsidR="00FC7BD9" w:rsidRDefault="00FC7BD9" w:rsidP="00FC7BD9">
      <w:pPr>
        <w:pStyle w:val="NormalWeb"/>
        <w:numPr>
          <w:ilvl w:val="1"/>
          <w:numId w:val="83"/>
        </w:numPr>
      </w:pPr>
      <w:r>
        <w:lastRenderedPageBreak/>
        <w:t xml:space="preserve">Available animal data suggest </w:t>
      </w:r>
      <w:r>
        <w:rPr>
          <w:rStyle w:val="Strong"/>
          <w:rFonts w:eastAsiaTheme="majorEastAsia"/>
        </w:rPr>
        <w:t>lower reproductive toxicity</w:t>
      </w:r>
      <w:r>
        <w:t xml:space="preserve"> and </w:t>
      </w:r>
      <w:r>
        <w:rPr>
          <w:rStyle w:val="Strong"/>
          <w:rFonts w:eastAsiaTheme="majorEastAsia"/>
        </w:rPr>
        <w:t>limited PPARα activation</w:t>
      </w:r>
      <w:r>
        <w:t xml:space="preserve"> compared with DEHP; however, </w:t>
      </w:r>
      <w:r>
        <w:rPr>
          <w:rStyle w:val="Strong"/>
          <w:rFonts w:eastAsiaTheme="majorEastAsia"/>
        </w:rPr>
        <w:t>chronic and developmental neurotoxicity data are limited</w:t>
      </w:r>
      <w:r>
        <w:t>.</w:t>
      </w:r>
    </w:p>
    <w:p w14:paraId="1C4B693B" w14:textId="77777777" w:rsidR="00FC7BD9" w:rsidRDefault="00FC7BD9" w:rsidP="00FC7BD9">
      <w:pPr>
        <w:pStyle w:val="NormalWeb"/>
        <w:numPr>
          <w:ilvl w:val="0"/>
          <w:numId w:val="83"/>
        </w:numPr>
      </w:pPr>
      <w:r>
        <w:rPr>
          <w:rStyle w:val="Strong"/>
          <w:rFonts w:eastAsiaTheme="majorEastAsia"/>
        </w:rPr>
        <w:t>DINCH</w:t>
      </w:r>
    </w:p>
    <w:p w14:paraId="1410B229" w14:textId="77777777" w:rsidR="00FC7BD9" w:rsidRDefault="00FC7BD9" w:rsidP="00FC7BD9">
      <w:pPr>
        <w:pStyle w:val="NormalWeb"/>
        <w:numPr>
          <w:ilvl w:val="1"/>
          <w:numId w:val="83"/>
        </w:numPr>
      </w:pPr>
      <w:r>
        <w:t xml:space="preserve">Widely used in </w:t>
      </w:r>
      <w:r>
        <w:rPr>
          <w:rStyle w:val="Strong"/>
          <w:rFonts w:eastAsiaTheme="majorEastAsia"/>
        </w:rPr>
        <w:t>food-contact and medical devices</w:t>
      </w:r>
      <w:r>
        <w:t xml:space="preserve"> as a </w:t>
      </w:r>
      <w:r>
        <w:rPr>
          <w:rStyle w:val="Strong"/>
          <w:rFonts w:eastAsiaTheme="majorEastAsia"/>
        </w:rPr>
        <w:t>DEHP substitute</w:t>
      </w:r>
      <w:r>
        <w:t>.</w:t>
      </w:r>
    </w:p>
    <w:p w14:paraId="5F8F8B6F" w14:textId="77777777" w:rsidR="00FC7BD9" w:rsidRDefault="00FC7BD9" w:rsidP="00FC7BD9">
      <w:pPr>
        <w:pStyle w:val="NormalWeb"/>
        <w:numPr>
          <w:ilvl w:val="1"/>
          <w:numId w:val="83"/>
        </w:numPr>
      </w:pPr>
      <w:r>
        <w:t>Subchronic and developmental studies indicate lower potency for reproductive and liver toxicity, but:</w:t>
      </w:r>
    </w:p>
    <w:p w14:paraId="20E5188A" w14:textId="77777777" w:rsidR="00FC7BD9" w:rsidRDefault="00FC7BD9" w:rsidP="00FC7BD9">
      <w:pPr>
        <w:pStyle w:val="NormalWeb"/>
        <w:numPr>
          <w:ilvl w:val="2"/>
          <w:numId w:val="83"/>
        </w:numPr>
      </w:pPr>
      <w:r>
        <w:t xml:space="preserve">Signs of </w:t>
      </w:r>
      <w:r>
        <w:rPr>
          <w:rStyle w:val="Strong"/>
          <w:rFonts w:eastAsiaTheme="majorEastAsia"/>
        </w:rPr>
        <w:t>metabolic and liver changes</w:t>
      </w:r>
      <w:r>
        <w:t xml:space="preserve"> at high doses in rodents.</w:t>
      </w:r>
    </w:p>
    <w:p w14:paraId="0FEB193D" w14:textId="77777777" w:rsidR="00FC7BD9" w:rsidRDefault="00FC7BD9" w:rsidP="00FC7BD9">
      <w:pPr>
        <w:pStyle w:val="NormalWeb"/>
        <w:numPr>
          <w:ilvl w:val="2"/>
          <w:numId w:val="83"/>
        </w:numPr>
      </w:pPr>
      <w:r>
        <w:t xml:space="preserve">Biomonitoring shows </w:t>
      </w:r>
      <w:r>
        <w:rPr>
          <w:rStyle w:val="Strong"/>
          <w:rFonts w:eastAsiaTheme="majorEastAsia"/>
        </w:rPr>
        <w:t>rapidly increasing human exposure</w:t>
      </w:r>
      <w:r>
        <w:t xml:space="preserve">, particularly in Europe, but with </w:t>
      </w:r>
      <w:r>
        <w:rPr>
          <w:rStyle w:val="Strong"/>
          <w:rFonts w:eastAsiaTheme="majorEastAsia"/>
        </w:rPr>
        <w:t>limited epidemiology</w:t>
      </w:r>
      <w:r>
        <w:t>.</w:t>
      </w:r>
    </w:p>
    <w:p w14:paraId="4933E7FD" w14:textId="77777777" w:rsidR="00FC7BD9" w:rsidRDefault="00FC7BD9" w:rsidP="00FC7BD9">
      <w:pPr>
        <w:pStyle w:val="NormalWeb"/>
        <w:numPr>
          <w:ilvl w:val="0"/>
          <w:numId w:val="83"/>
        </w:numPr>
      </w:pPr>
      <w:r>
        <w:rPr>
          <w:rStyle w:val="Strong"/>
          <w:rFonts w:eastAsiaTheme="majorEastAsia"/>
        </w:rPr>
        <w:t>“Regrettable substitution” concern</w:t>
      </w:r>
    </w:p>
    <w:p w14:paraId="6757C2E7" w14:textId="77777777" w:rsidR="00FC7BD9" w:rsidRDefault="00FC7BD9" w:rsidP="00FC7BD9">
      <w:pPr>
        <w:pStyle w:val="NormalWeb"/>
        <w:numPr>
          <w:ilvl w:val="1"/>
          <w:numId w:val="83"/>
        </w:numPr>
      </w:pPr>
      <w:r>
        <w:t xml:space="preserve">Reviews highlight that </w:t>
      </w:r>
      <w:r>
        <w:rPr>
          <w:rStyle w:val="Strong"/>
          <w:rFonts w:eastAsiaTheme="majorEastAsia"/>
        </w:rPr>
        <w:t>toxicological characterization lags behind market penetration</w:t>
      </w:r>
      <w:r>
        <w:t xml:space="preserve"> for several alternatives and that some display </w:t>
      </w:r>
      <w:r>
        <w:rPr>
          <w:rStyle w:val="Strong"/>
          <w:rFonts w:eastAsiaTheme="majorEastAsia"/>
        </w:rPr>
        <w:t>PPAR activation and metabolic perturbations</w:t>
      </w:r>
      <w:r>
        <w:t>, albeit typically at higher doses than DEHP/DBP.</w:t>
      </w:r>
    </w:p>
    <w:p w14:paraId="2CDD0AA2" w14:textId="77777777" w:rsidR="00FC7BD9" w:rsidRDefault="00FC7BD9" w:rsidP="00FC7BD9">
      <w:pPr>
        <w:pStyle w:val="NormalWeb"/>
        <w:numPr>
          <w:ilvl w:val="1"/>
          <w:numId w:val="83"/>
        </w:numPr>
      </w:pPr>
      <w:r>
        <w:t xml:space="preserve">Regulatory bodies (EFSA, ECHA, national agencies) emphasize </w:t>
      </w:r>
      <w:r>
        <w:rPr>
          <w:rStyle w:val="Strong"/>
          <w:rFonts w:eastAsiaTheme="majorEastAsia"/>
        </w:rPr>
        <w:t>case-by-case risk assessment</w:t>
      </w:r>
      <w:r>
        <w:t xml:space="preserve"> rather than assuming alternatives are inherently safe.</w:t>
      </w:r>
    </w:p>
    <w:p w14:paraId="36EDC637" w14:textId="77777777" w:rsidR="00FC7BD9" w:rsidRDefault="00FC7BD9" w:rsidP="00FC7BD9">
      <w:pPr>
        <w:pStyle w:val="NormalWeb"/>
      </w:pPr>
      <w:r>
        <w:rPr>
          <w:rStyle w:val="Emphasis"/>
          <w:rFonts w:eastAsiaTheme="majorEastAsia"/>
        </w:rPr>
        <w:t>(Most alternative-specific data are from regulatory dossiers and emerging literature; high-quality human data remain sparse.)</w:t>
      </w:r>
    </w:p>
    <w:p w14:paraId="5AD9EBE5" w14:textId="77777777" w:rsidR="00FC7BD9" w:rsidRDefault="00F573BC" w:rsidP="00FC7BD9">
      <w:r w:rsidRPr="00F573BC">
        <w:rPr>
          <w:noProof/>
          <w14:ligatures w14:val="standardContextual"/>
        </w:rPr>
        <w:pict w14:anchorId="2AABA6BA">
          <v:rect id="_x0000_i1026" alt="" style="width:468pt;height:.05pt;mso-width-percent:0;mso-height-percent:0;mso-width-percent:0;mso-height-percent:0" o:hralign="center" o:hrstd="t" o:hr="t" fillcolor="#a0a0a0" stroked="f"/>
        </w:pict>
      </w:r>
    </w:p>
    <w:p w14:paraId="753B87B4" w14:textId="77777777" w:rsidR="00FC7BD9" w:rsidRDefault="00FC7BD9" w:rsidP="00FC7BD9">
      <w:pPr>
        <w:pStyle w:val="Heading2"/>
      </w:pPr>
      <w:r>
        <w:t>9. Conclusion &amp; Future Directions</w:t>
      </w:r>
    </w:p>
    <w:p w14:paraId="07D20A97" w14:textId="77777777" w:rsidR="00FC7BD9" w:rsidRDefault="00FC7BD9" w:rsidP="00FC7BD9">
      <w:pPr>
        <w:pStyle w:val="Heading3"/>
      </w:pPr>
      <w:r>
        <w:t>9.1 Synthesis</w:t>
      </w:r>
    </w:p>
    <w:p w14:paraId="1FED029F" w14:textId="77777777" w:rsidR="00FC7BD9" w:rsidRDefault="00FC7BD9" w:rsidP="00FC7BD9">
      <w:pPr>
        <w:pStyle w:val="NormalWeb"/>
        <w:numPr>
          <w:ilvl w:val="0"/>
          <w:numId w:val="84"/>
        </w:numPr>
      </w:pPr>
      <w:r>
        <w:rPr>
          <w:rStyle w:val="Strong"/>
          <w:rFonts w:eastAsiaTheme="majorEastAsia"/>
        </w:rPr>
        <w:t>Mechanistic toxicology</w:t>
      </w:r>
    </w:p>
    <w:p w14:paraId="628A5757" w14:textId="77777777" w:rsidR="00FC7BD9" w:rsidRDefault="00FC7BD9" w:rsidP="00FC7BD9">
      <w:pPr>
        <w:pStyle w:val="NormalWeb"/>
        <w:numPr>
          <w:ilvl w:val="1"/>
          <w:numId w:val="84"/>
        </w:numPr>
      </w:pPr>
      <w:r>
        <w:t>Clear mechanistic basis for:</w:t>
      </w:r>
    </w:p>
    <w:p w14:paraId="70458CAE" w14:textId="77777777" w:rsidR="00FC7BD9" w:rsidRDefault="00FC7BD9" w:rsidP="00FC7BD9">
      <w:pPr>
        <w:pStyle w:val="NormalWeb"/>
        <w:numPr>
          <w:ilvl w:val="2"/>
          <w:numId w:val="84"/>
        </w:numPr>
      </w:pPr>
      <w:r>
        <w:rPr>
          <w:rStyle w:val="Strong"/>
          <w:rFonts w:eastAsiaTheme="majorEastAsia"/>
        </w:rPr>
        <w:t>Anti-androgenic reproductive toxicity</w:t>
      </w:r>
      <w:r>
        <w:t xml:space="preserve"> via </w:t>
      </w:r>
      <w:r>
        <w:rPr>
          <w:rStyle w:val="Strong"/>
          <w:rFonts w:eastAsiaTheme="majorEastAsia"/>
        </w:rPr>
        <w:t>fetal Leydig/Sertoli dysfunction</w:t>
      </w:r>
      <w:r>
        <w:t>.</w:t>
      </w:r>
    </w:p>
    <w:p w14:paraId="3732D484" w14:textId="77777777" w:rsidR="00FC7BD9" w:rsidRDefault="00FC7BD9" w:rsidP="00FC7BD9">
      <w:pPr>
        <w:pStyle w:val="NormalWeb"/>
        <w:numPr>
          <w:ilvl w:val="2"/>
          <w:numId w:val="84"/>
        </w:numPr>
      </w:pPr>
      <w:r>
        <w:rPr>
          <w:rStyle w:val="Strong"/>
          <w:rFonts w:eastAsiaTheme="majorEastAsia"/>
        </w:rPr>
        <w:t>PPARα/γ-mediated hepatic and metabolic effects</w:t>
      </w:r>
      <w:r>
        <w:t>.</w:t>
      </w:r>
    </w:p>
    <w:p w14:paraId="340F959C" w14:textId="77777777" w:rsidR="00FC7BD9" w:rsidRDefault="00FC7BD9" w:rsidP="00FC7BD9">
      <w:pPr>
        <w:pStyle w:val="NormalWeb"/>
        <w:numPr>
          <w:ilvl w:val="2"/>
          <w:numId w:val="84"/>
        </w:numPr>
      </w:pPr>
      <w:r>
        <w:rPr>
          <w:rStyle w:val="Strong"/>
          <w:rFonts w:eastAsiaTheme="majorEastAsia"/>
        </w:rPr>
        <w:t>Mitochondrial dysfunction and oxidative stress</w:t>
      </w:r>
      <w:r>
        <w:t xml:space="preserve"> in placenta, liver, and other tissues.</w:t>
      </w:r>
    </w:p>
    <w:p w14:paraId="54EB4A5A" w14:textId="77777777" w:rsidR="00FC7BD9" w:rsidRDefault="00FC7BD9" w:rsidP="00FC7BD9">
      <w:pPr>
        <w:pStyle w:val="NormalWeb"/>
        <w:numPr>
          <w:ilvl w:val="0"/>
          <w:numId w:val="84"/>
        </w:numPr>
      </w:pPr>
      <w:r>
        <w:rPr>
          <w:rStyle w:val="Strong"/>
          <w:rFonts w:eastAsiaTheme="majorEastAsia"/>
        </w:rPr>
        <w:t>Human epidemiology</w:t>
      </w:r>
    </w:p>
    <w:p w14:paraId="61903FE0" w14:textId="77777777" w:rsidR="00FC7BD9" w:rsidRDefault="00FC7BD9" w:rsidP="00FC7BD9">
      <w:pPr>
        <w:pStyle w:val="NormalWeb"/>
        <w:numPr>
          <w:ilvl w:val="1"/>
          <w:numId w:val="84"/>
        </w:numPr>
      </w:pPr>
      <w:r>
        <w:rPr>
          <w:rStyle w:val="Strong"/>
          <w:rFonts w:eastAsiaTheme="majorEastAsia"/>
        </w:rPr>
        <w:t>Consistent signals</w:t>
      </w:r>
      <w:r>
        <w:t>:</w:t>
      </w:r>
    </w:p>
    <w:p w14:paraId="75EF64C4" w14:textId="77777777" w:rsidR="00FC7BD9" w:rsidRDefault="00FC7BD9" w:rsidP="00FC7BD9">
      <w:pPr>
        <w:pStyle w:val="NormalWeb"/>
        <w:numPr>
          <w:ilvl w:val="2"/>
          <w:numId w:val="84"/>
        </w:numPr>
      </w:pPr>
      <w:r>
        <w:t>Male reproductive endpoints (AGD, testicular descent).</w:t>
      </w:r>
    </w:p>
    <w:p w14:paraId="7BF99EB9" w14:textId="77777777" w:rsidR="00FC7BD9" w:rsidRDefault="00FC7BD9" w:rsidP="00FC7BD9">
      <w:pPr>
        <w:pStyle w:val="NormalWeb"/>
        <w:numPr>
          <w:ilvl w:val="2"/>
          <w:numId w:val="84"/>
        </w:numPr>
      </w:pPr>
      <w:r>
        <w:t>Metabolic outcomes (insulin resistance, metabolic syndrome components).</w:t>
      </w:r>
    </w:p>
    <w:p w14:paraId="324B1239" w14:textId="77777777" w:rsidR="00FC7BD9" w:rsidRDefault="00FC7BD9" w:rsidP="00FC7BD9">
      <w:pPr>
        <w:pStyle w:val="NormalWeb"/>
        <w:numPr>
          <w:ilvl w:val="2"/>
          <w:numId w:val="84"/>
        </w:numPr>
      </w:pPr>
      <w:r>
        <w:t>Neurodevelopmental endpoints (ADHD-like behaviors, some evidence for reduced IQ and ASD-related behaviors).</w:t>
      </w:r>
    </w:p>
    <w:p w14:paraId="0506E7A8" w14:textId="77777777" w:rsidR="00FC7BD9" w:rsidRDefault="00FC7BD9" w:rsidP="00FC7BD9">
      <w:pPr>
        <w:pStyle w:val="NormalWeb"/>
        <w:numPr>
          <w:ilvl w:val="1"/>
          <w:numId w:val="84"/>
        </w:numPr>
      </w:pPr>
      <w:r>
        <w:rPr>
          <w:rStyle w:val="Strong"/>
          <w:rFonts w:eastAsiaTheme="majorEastAsia"/>
        </w:rPr>
        <w:t>Heterogeneity and residual confounding</w:t>
      </w:r>
      <w:r>
        <w:t xml:space="preserve"> remain substantial; causality is best supported for </w:t>
      </w:r>
      <w:r>
        <w:rPr>
          <w:rStyle w:val="Strong"/>
          <w:rFonts w:eastAsiaTheme="majorEastAsia"/>
        </w:rPr>
        <w:t>male reproductive development</w:t>
      </w:r>
      <w:r>
        <w:t>.</w:t>
      </w:r>
    </w:p>
    <w:p w14:paraId="74F1CE6D" w14:textId="77777777" w:rsidR="00FC7BD9" w:rsidRDefault="00FC7BD9" w:rsidP="00FC7BD9">
      <w:pPr>
        <w:pStyle w:val="Heading3"/>
      </w:pPr>
      <w:r>
        <w:t>9.2 Key Gaps and Research Needs</w:t>
      </w:r>
    </w:p>
    <w:p w14:paraId="7B8926DA" w14:textId="77777777" w:rsidR="00FC7BD9" w:rsidRDefault="00FC7BD9" w:rsidP="00FC7BD9">
      <w:pPr>
        <w:pStyle w:val="NormalWeb"/>
        <w:numPr>
          <w:ilvl w:val="0"/>
          <w:numId w:val="85"/>
        </w:numPr>
      </w:pPr>
      <w:r>
        <w:rPr>
          <w:rStyle w:val="Strong"/>
          <w:rFonts w:eastAsiaTheme="majorEastAsia"/>
        </w:rPr>
        <w:t>Transgenerational &amp; epigenetic inheritance</w:t>
      </w:r>
    </w:p>
    <w:p w14:paraId="57A471C1" w14:textId="77777777" w:rsidR="00FC7BD9" w:rsidRDefault="00FC7BD9" w:rsidP="00FC7BD9">
      <w:pPr>
        <w:pStyle w:val="NormalWeb"/>
        <w:numPr>
          <w:ilvl w:val="1"/>
          <w:numId w:val="85"/>
        </w:numPr>
      </w:pPr>
      <w:r>
        <w:lastRenderedPageBreak/>
        <w:t xml:space="preserve">Rodent studies suggest </w:t>
      </w:r>
      <w:r>
        <w:rPr>
          <w:rStyle w:val="Strong"/>
          <w:rFonts w:eastAsiaTheme="majorEastAsia"/>
        </w:rPr>
        <w:t>germline epigenetic marks and transgenerational phenotypes</w:t>
      </w:r>
      <w:r>
        <w:t xml:space="preserve"> following in utero phthalate exposure; robust </w:t>
      </w:r>
      <w:r>
        <w:rPr>
          <w:rStyle w:val="Strong"/>
          <w:rFonts w:eastAsiaTheme="majorEastAsia"/>
        </w:rPr>
        <w:t>multi-generation human data are lacking</w:t>
      </w:r>
      <w:r>
        <w:t>.</w:t>
      </w:r>
    </w:p>
    <w:p w14:paraId="5AACDCFE" w14:textId="77777777" w:rsidR="00FC7BD9" w:rsidRDefault="00FC7BD9" w:rsidP="00FC7BD9">
      <w:pPr>
        <w:pStyle w:val="NormalWeb"/>
        <w:numPr>
          <w:ilvl w:val="0"/>
          <w:numId w:val="85"/>
        </w:numPr>
      </w:pPr>
      <w:r>
        <w:rPr>
          <w:rStyle w:val="Strong"/>
          <w:rFonts w:eastAsiaTheme="majorEastAsia"/>
        </w:rPr>
        <w:t>Mixture and low-dose effects</w:t>
      </w:r>
    </w:p>
    <w:p w14:paraId="34A6DAFC" w14:textId="77777777" w:rsidR="00FC7BD9" w:rsidRDefault="00FC7BD9" w:rsidP="00FC7BD9">
      <w:pPr>
        <w:pStyle w:val="NormalWeb"/>
        <w:numPr>
          <w:ilvl w:val="1"/>
          <w:numId w:val="85"/>
        </w:numPr>
      </w:pPr>
      <w:r>
        <w:t>Need for:</w:t>
      </w:r>
    </w:p>
    <w:p w14:paraId="002BBFCE" w14:textId="77777777" w:rsidR="00FC7BD9" w:rsidRDefault="00FC7BD9" w:rsidP="00FC7BD9">
      <w:pPr>
        <w:pStyle w:val="NormalWeb"/>
        <w:numPr>
          <w:ilvl w:val="2"/>
          <w:numId w:val="85"/>
        </w:numPr>
      </w:pPr>
      <w:r>
        <w:rPr>
          <w:rStyle w:val="Strong"/>
          <w:rFonts w:eastAsiaTheme="majorEastAsia"/>
        </w:rPr>
        <w:t>Refined mixture risk models</w:t>
      </w:r>
      <w:r>
        <w:t xml:space="preserve"> incorporating </w:t>
      </w:r>
      <w:r>
        <w:rPr>
          <w:rStyle w:val="Strong"/>
          <w:rFonts w:eastAsiaTheme="majorEastAsia"/>
        </w:rPr>
        <w:t>phthalates + other EDCs (bisphenols, PFAS, flame retardants)</w:t>
      </w:r>
      <w:r>
        <w:t>.</w:t>
      </w:r>
    </w:p>
    <w:p w14:paraId="2969F58A" w14:textId="77777777" w:rsidR="00FC7BD9" w:rsidRDefault="00FC7BD9" w:rsidP="00FC7BD9">
      <w:pPr>
        <w:pStyle w:val="NormalWeb"/>
        <w:numPr>
          <w:ilvl w:val="2"/>
          <w:numId w:val="85"/>
        </w:numPr>
      </w:pPr>
      <w:r>
        <w:t xml:space="preserve">Better characterization of </w:t>
      </w:r>
      <w:r>
        <w:rPr>
          <w:rStyle w:val="Strong"/>
          <w:rFonts w:eastAsiaTheme="majorEastAsia"/>
        </w:rPr>
        <w:t>non-monotonic dose–response</w:t>
      </w:r>
      <w:r>
        <w:t xml:space="preserve"> relationships (notably in placenta and neurodevelopment).</w:t>
      </w:r>
    </w:p>
    <w:p w14:paraId="60FD6F59" w14:textId="77777777" w:rsidR="00FC7BD9" w:rsidRDefault="00FC7BD9" w:rsidP="00FC7BD9">
      <w:pPr>
        <w:pStyle w:val="NormalWeb"/>
        <w:numPr>
          <w:ilvl w:val="0"/>
          <w:numId w:val="85"/>
        </w:numPr>
      </w:pPr>
      <w:r>
        <w:rPr>
          <w:rStyle w:val="Strong"/>
          <w:rFonts w:eastAsiaTheme="majorEastAsia"/>
        </w:rPr>
        <w:t>Alternative plasticizers</w:t>
      </w:r>
    </w:p>
    <w:p w14:paraId="75A584BE" w14:textId="77777777" w:rsidR="00FC7BD9" w:rsidRDefault="00FC7BD9" w:rsidP="00FC7BD9">
      <w:pPr>
        <w:pStyle w:val="NormalWeb"/>
        <w:numPr>
          <w:ilvl w:val="1"/>
          <w:numId w:val="85"/>
        </w:numPr>
      </w:pPr>
      <w:r>
        <w:t xml:space="preserve">Systematic </w:t>
      </w:r>
      <w:r>
        <w:rPr>
          <w:rStyle w:val="Strong"/>
          <w:rFonts w:eastAsiaTheme="majorEastAsia"/>
        </w:rPr>
        <w:t>toxicokinetic and mechanistic profiling</w:t>
      </w:r>
      <w:r>
        <w:t xml:space="preserve"> (PPAR activation, mitochondrial effects) of </w:t>
      </w:r>
      <w:r>
        <w:rPr>
          <w:rStyle w:val="Strong"/>
          <w:rFonts w:eastAsiaTheme="majorEastAsia"/>
        </w:rPr>
        <w:t>DEHT, DINCH, ATBC and others</w:t>
      </w:r>
      <w:r>
        <w:t>, including:</w:t>
      </w:r>
    </w:p>
    <w:p w14:paraId="69E25DF0" w14:textId="77777777" w:rsidR="00FC7BD9" w:rsidRDefault="00FC7BD9" w:rsidP="00FC7BD9">
      <w:pPr>
        <w:pStyle w:val="NormalWeb"/>
        <w:numPr>
          <w:ilvl w:val="2"/>
          <w:numId w:val="85"/>
        </w:numPr>
      </w:pPr>
      <w:r>
        <w:t>Developmental and neurodevelopmental endpoints.</w:t>
      </w:r>
    </w:p>
    <w:p w14:paraId="2C3AB633" w14:textId="77777777" w:rsidR="00FC7BD9" w:rsidRDefault="00FC7BD9" w:rsidP="00FC7BD9">
      <w:pPr>
        <w:pStyle w:val="NormalWeb"/>
        <w:numPr>
          <w:ilvl w:val="2"/>
          <w:numId w:val="85"/>
        </w:numPr>
      </w:pPr>
      <w:r>
        <w:t>Large-scale biomonitoring with health outcome linkage.</w:t>
      </w:r>
    </w:p>
    <w:p w14:paraId="636C9F96" w14:textId="77777777" w:rsidR="00FC7BD9" w:rsidRDefault="00FC7BD9" w:rsidP="00FC7BD9">
      <w:pPr>
        <w:pStyle w:val="NormalWeb"/>
        <w:numPr>
          <w:ilvl w:val="0"/>
          <w:numId w:val="85"/>
        </w:numPr>
      </w:pPr>
      <w:r>
        <w:rPr>
          <w:rStyle w:val="Strong"/>
          <w:rFonts w:eastAsiaTheme="majorEastAsia"/>
        </w:rPr>
        <w:t>Clinical and policy translation</w:t>
      </w:r>
    </w:p>
    <w:p w14:paraId="59332E42" w14:textId="77777777" w:rsidR="00FC7BD9" w:rsidRDefault="00FC7BD9" w:rsidP="00FC7BD9">
      <w:pPr>
        <w:pStyle w:val="NormalWeb"/>
        <w:numPr>
          <w:ilvl w:val="1"/>
          <w:numId w:val="85"/>
        </w:numPr>
      </w:pPr>
      <w:r>
        <w:t xml:space="preserve">Improved </w:t>
      </w:r>
      <w:r>
        <w:rPr>
          <w:rStyle w:val="Strong"/>
          <w:rFonts w:eastAsiaTheme="majorEastAsia"/>
        </w:rPr>
        <w:t>exposure assessment in critical windows</w:t>
      </w:r>
      <w:r>
        <w:t xml:space="preserve"> (early pregnancy, NICU care).</w:t>
      </w:r>
    </w:p>
    <w:p w14:paraId="1B8281FB" w14:textId="77777777" w:rsidR="00FC7BD9" w:rsidRDefault="00FC7BD9" w:rsidP="00FC7BD9">
      <w:pPr>
        <w:pStyle w:val="NormalWeb"/>
        <w:numPr>
          <w:ilvl w:val="1"/>
          <w:numId w:val="85"/>
        </w:numPr>
      </w:pPr>
      <w:r>
        <w:t xml:space="preserve">Development and evaluation of </w:t>
      </w:r>
      <w:r>
        <w:rPr>
          <w:rStyle w:val="Strong"/>
          <w:rFonts w:eastAsiaTheme="majorEastAsia"/>
        </w:rPr>
        <w:t>safer materials</w:t>
      </w:r>
      <w:r>
        <w:t xml:space="preserve"> for </w:t>
      </w:r>
      <w:r>
        <w:rPr>
          <w:rStyle w:val="Strong"/>
          <w:rFonts w:eastAsiaTheme="majorEastAsia"/>
        </w:rPr>
        <w:t>medical devices and food-contact</w:t>
      </w:r>
      <w:r>
        <w:t>.</w:t>
      </w:r>
    </w:p>
    <w:p w14:paraId="78C13227" w14:textId="77777777" w:rsidR="00FC7BD9" w:rsidRDefault="00FC7BD9" w:rsidP="00FC7BD9">
      <w:pPr>
        <w:pStyle w:val="NormalWeb"/>
        <w:numPr>
          <w:ilvl w:val="1"/>
          <w:numId w:val="85"/>
        </w:numPr>
      </w:pPr>
      <w:r>
        <w:t xml:space="preserve">Integration of </w:t>
      </w:r>
      <w:r>
        <w:rPr>
          <w:rStyle w:val="Strong"/>
          <w:rFonts w:eastAsiaTheme="majorEastAsia"/>
        </w:rPr>
        <w:t>cumulative and life-course risk frameworks</w:t>
      </w:r>
      <w:r>
        <w:t xml:space="preserve"> into regulatory decision-making.</w:t>
      </w:r>
    </w:p>
    <w:p w14:paraId="26ADF64F" w14:textId="77777777" w:rsidR="00FC7BD9" w:rsidRDefault="00F573BC" w:rsidP="00FC7BD9">
      <w:r w:rsidRPr="00F573BC">
        <w:rPr>
          <w:noProof/>
          <w14:ligatures w14:val="standardContextual"/>
        </w:rPr>
        <w:pict w14:anchorId="37E74999">
          <v:rect id="_x0000_i1025" alt="" style="width:468pt;height:.05pt;mso-width-percent:0;mso-height-percent:0;mso-width-percent:0;mso-height-percent:0" o:hralign="center" o:hrstd="t" o:hr="t" fillcolor="#a0a0a0" stroked="f"/>
        </w:pict>
      </w:r>
    </w:p>
    <w:p w14:paraId="7ACEFD27" w14:textId="77777777" w:rsidR="00FC7BD9" w:rsidRDefault="00FC7BD9" w:rsidP="00FC7BD9">
      <w:pPr>
        <w:pStyle w:val="NormalWeb"/>
      </w:pPr>
      <w:r>
        <w:t>If you’d like, I can next:</w:t>
      </w:r>
    </w:p>
    <w:p w14:paraId="71D2B3CE" w14:textId="77777777" w:rsidR="00FC7BD9" w:rsidRDefault="00FC7BD9" w:rsidP="00FC7BD9">
      <w:pPr>
        <w:pStyle w:val="NormalWeb"/>
        <w:numPr>
          <w:ilvl w:val="0"/>
          <w:numId w:val="86"/>
        </w:numPr>
      </w:pPr>
      <w:r>
        <w:t xml:space="preserve">Build a </w:t>
      </w:r>
      <w:r>
        <w:rPr>
          <w:rStyle w:val="Strong"/>
          <w:rFonts w:eastAsiaTheme="majorEastAsia"/>
        </w:rPr>
        <w:t>one-page policy brief</w:t>
      </w:r>
      <w:r>
        <w:t xml:space="preserve"> from this for regulators,</w:t>
      </w:r>
    </w:p>
    <w:p w14:paraId="3B48E2BE" w14:textId="77777777" w:rsidR="00FC7BD9" w:rsidRDefault="00FC7BD9" w:rsidP="00FC7BD9">
      <w:pPr>
        <w:pStyle w:val="NormalWeb"/>
        <w:numPr>
          <w:ilvl w:val="0"/>
          <w:numId w:val="86"/>
        </w:numPr>
      </w:pPr>
      <w:r>
        <w:t xml:space="preserve">Or draft a </w:t>
      </w:r>
      <w:r>
        <w:rPr>
          <w:rStyle w:val="Strong"/>
          <w:rFonts w:eastAsiaTheme="majorEastAsia"/>
        </w:rPr>
        <w:t>clinical guidance summary</w:t>
      </w:r>
      <w:r>
        <w:t xml:space="preserve"> (e.g., NICU material choices, counseling for pregnant patients) based on this mechanistic and regulatory overview.</w:t>
      </w:r>
    </w:p>
    <w:p w14:paraId="7068F9A2" w14:textId="35D6EB58" w:rsidR="00996264" w:rsidRDefault="00996264">
      <w:pPr>
        <w:spacing w:after="160" w:line="278" w:lineRule="auto"/>
      </w:pPr>
      <w:r>
        <w:br w:type="page"/>
      </w:r>
    </w:p>
    <w:p w14:paraId="3D1F2042" w14:textId="77777777" w:rsidR="00996264" w:rsidRDefault="00996264" w:rsidP="00996264">
      <w:pPr>
        <w:jc w:val="center"/>
      </w:pPr>
    </w:p>
    <w:p w14:paraId="28C1014B" w14:textId="77777777" w:rsidR="00996264" w:rsidRDefault="00996264" w:rsidP="00996264">
      <w:pPr>
        <w:jc w:val="center"/>
      </w:pPr>
    </w:p>
    <w:p w14:paraId="3DC9F7FB" w14:textId="77777777" w:rsidR="00996264" w:rsidRDefault="00996264" w:rsidP="00996264">
      <w:pPr>
        <w:jc w:val="center"/>
      </w:pPr>
    </w:p>
    <w:p w14:paraId="62961ADE" w14:textId="77777777" w:rsidR="00996264" w:rsidRDefault="00996264" w:rsidP="00996264">
      <w:pPr>
        <w:jc w:val="center"/>
      </w:pPr>
    </w:p>
    <w:p w14:paraId="7374D0AA" w14:textId="77777777" w:rsidR="00996264" w:rsidRDefault="00996264" w:rsidP="00996264">
      <w:pPr>
        <w:jc w:val="center"/>
      </w:pPr>
    </w:p>
    <w:p w14:paraId="408BC995" w14:textId="77777777" w:rsidR="00996264" w:rsidRDefault="00996264" w:rsidP="00996264">
      <w:pPr>
        <w:jc w:val="center"/>
      </w:pPr>
    </w:p>
    <w:p w14:paraId="07D005A4" w14:textId="77777777" w:rsidR="00996264" w:rsidRDefault="00996264" w:rsidP="00996264">
      <w:pPr>
        <w:jc w:val="center"/>
      </w:pPr>
    </w:p>
    <w:p w14:paraId="70794AA5" w14:textId="77777777" w:rsidR="00996264" w:rsidRDefault="00996264" w:rsidP="00996264">
      <w:pPr>
        <w:jc w:val="center"/>
      </w:pPr>
    </w:p>
    <w:p w14:paraId="1F9C8782" w14:textId="77777777" w:rsidR="00996264" w:rsidRDefault="00996264" w:rsidP="00996264">
      <w:pPr>
        <w:jc w:val="center"/>
      </w:pPr>
    </w:p>
    <w:p w14:paraId="5896708B" w14:textId="77777777" w:rsidR="00996264" w:rsidRDefault="00996264" w:rsidP="00996264">
      <w:pPr>
        <w:jc w:val="center"/>
      </w:pPr>
    </w:p>
    <w:p w14:paraId="25879473" w14:textId="77777777" w:rsidR="00996264" w:rsidRDefault="00996264" w:rsidP="00996264">
      <w:pPr>
        <w:jc w:val="center"/>
      </w:pPr>
    </w:p>
    <w:p w14:paraId="65B3ED6B" w14:textId="77777777" w:rsidR="00996264" w:rsidRDefault="00996264" w:rsidP="00996264">
      <w:pPr>
        <w:jc w:val="center"/>
      </w:pPr>
    </w:p>
    <w:p w14:paraId="41AF83F2" w14:textId="77777777" w:rsidR="00996264" w:rsidRDefault="00996264" w:rsidP="00996264">
      <w:pPr>
        <w:jc w:val="center"/>
      </w:pPr>
    </w:p>
    <w:p w14:paraId="27AC3A9E" w14:textId="77777777" w:rsidR="00996264" w:rsidRDefault="00996264" w:rsidP="00996264">
      <w:pPr>
        <w:jc w:val="center"/>
      </w:pPr>
    </w:p>
    <w:p w14:paraId="74376470" w14:textId="77777777" w:rsidR="00996264" w:rsidRDefault="00996264" w:rsidP="00996264">
      <w:pPr>
        <w:jc w:val="center"/>
      </w:pPr>
    </w:p>
    <w:p w14:paraId="1CBDD9B9" w14:textId="77777777" w:rsidR="00996264" w:rsidRDefault="00996264" w:rsidP="00996264">
      <w:pPr>
        <w:jc w:val="center"/>
      </w:pPr>
    </w:p>
    <w:p w14:paraId="1A1448E5" w14:textId="77777777" w:rsidR="00996264" w:rsidRDefault="00996264" w:rsidP="00996264">
      <w:pPr>
        <w:jc w:val="center"/>
      </w:pPr>
    </w:p>
    <w:p w14:paraId="23ECAB02" w14:textId="77777777" w:rsidR="00996264" w:rsidRDefault="00996264" w:rsidP="00996264">
      <w:pPr>
        <w:jc w:val="center"/>
      </w:pPr>
    </w:p>
    <w:p w14:paraId="6165F97C" w14:textId="77777777" w:rsidR="00996264" w:rsidRDefault="00996264" w:rsidP="00996264">
      <w:pPr>
        <w:jc w:val="center"/>
      </w:pPr>
    </w:p>
    <w:p w14:paraId="287A3126" w14:textId="77777777" w:rsidR="00996264" w:rsidRDefault="00996264" w:rsidP="00996264">
      <w:pPr>
        <w:jc w:val="center"/>
      </w:pPr>
    </w:p>
    <w:p w14:paraId="3AB650C0" w14:textId="77777777" w:rsidR="00996264" w:rsidRDefault="00996264" w:rsidP="00996264">
      <w:pPr>
        <w:jc w:val="center"/>
      </w:pPr>
    </w:p>
    <w:p w14:paraId="110F5DDF" w14:textId="72BC3E7E" w:rsidR="00EA4776" w:rsidRDefault="00996264" w:rsidP="00996264">
      <w:pPr>
        <w:jc w:val="center"/>
        <w:rPr>
          <w:sz w:val="40"/>
          <w:szCs w:val="40"/>
        </w:rPr>
      </w:pPr>
      <w:r w:rsidRPr="00996264">
        <w:rPr>
          <w:sz w:val="40"/>
          <w:szCs w:val="40"/>
        </w:rPr>
        <w:t>MANUS response</w:t>
      </w:r>
    </w:p>
    <w:p w14:paraId="0DD0C143" w14:textId="77777777" w:rsidR="00996264" w:rsidRDefault="00996264" w:rsidP="00996264">
      <w:pPr>
        <w:jc w:val="center"/>
        <w:rPr>
          <w:sz w:val="40"/>
          <w:szCs w:val="40"/>
        </w:rPr>
      </w:pPr>
    </w:p>
    <w:p w14:paraId="4ABE8021" w14:textId="094651D3" w:rsidR="00996264" w:rsidRDefault="00996264">
      <w:pPr>
        <w:spacing w:after="160" w:line="278" w:lineRule="auto"/>
        <w:rPr>
          <w:sz w:val="40"/>
          <w:szCs w:val="40"/>
        </w:rPr>
      </w:pPr>
      <w:r>
        <w:rPr>
          <w:sz w:val="40"/>
          <w:szCs w:val="40"/>
        </w:rPr>
        <w:br w:type="page"/>
      </w:r>
    </w:p>
    <w:p w14:paraId="70E951F9" w14:textId="77777777" w:rsidR="00996264" w:rsidRPr="00996264" w:rsidRDefault="00996264" w:rsidP="00996264">
      <w:pPr>
        <w:spacing w:before="100" w:beforeAutospacing="1" w:after="100" w:afterAutospacing="1"/>
        <w:outlineLvl w:val="0"/>
        <w:rPr>
          <w:rFonts w:ascii="Georgia" w:hAnsi="Georgia"/>
          <w:b/>
          <w:bCs/>
          <w:kern w:val="36"/>
          <w:sz w:val="48"/>
          <w:szCs w:val="48"/>
        </w:rPr>
      </w:pPr>
      <w:r w:rsidRPr="00996264">
        <w:rPr>
          <w:rFonts w:ascii="Georgia" w:hAnsi="Georgia"/>
          <w:b/>
          <w:bCs/>
          <w:kern w:val="36"/>
          <w:sz w:val="48"/>
          <w:szCs w:val="48"/>
        </w:rPr>
        <w:lastRenderedPageBreak/>
        <w:t>Comprehensive Report on Phthalates Toxicology</w:t>
      </w:r>
    </w:p>
    <w:p w14:paraId="41FABCD6" w14:textId="77777777" w:rsidR="00996264" w:rsidRPr="00996264" w:rsidRDefault="00996264" w:rsidP="00996264">
      <w:r w:rsidRPr="00996264">
        <w:t>Author: Manus AI</w:t>
      </w:r>
    </w:p>
    <w:p w14:paraId="4B2B2F7D" w14:textId="77777777" w:rsidR="00996264" w:rsidRPr="00996264" w:rsidRDefault="00996264" w:rsidP="00996264">
      <w:r w:rsidRPr="00996264">
        <w:t>Date: December 09, 2025</w:t>
      </w:r>
    </w:p>
    <w:p w14:paraId="52C9AEC4"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Introduction</w:t>
      </w:r>
    </w:p>
    <w:p w14:paraId="1E4285AC" w14:textId="77777777" w:rsidR="00996264" w:rsidRPr="00996264" w:rsidRDefault="00996264" w:rsidP="00996264">
      <w:r w:rsidRPr="00996264">
        <w:t>Phthalates are a class of synthetic chemicals widely used in a vast array of consumer and industrial products. Their primary function is as plasticizers, substances added to plastics, particularly polyvinyl chloride (PVC), to enhance flexibility, durability, and transparency. However, their widespread use has led to ubiquitous human exposure and growing concern over their potential adverse health effects. Phthalates are classified as endocrine-disrupting chemicals (EDCs), meaning they can interfere with the body's hormonal systems, leading to a range of health problems. This report provides a comprehensive overview of the toxicology of phthalates, covering their chemical structure, health concerns, classification, toxicokinetics, mechanisms of action, organ-specific toxicity, and the populations most vulnerable to their effects.</w:t>
      </w:r>
    </w:p>
    <w:p w14:paraId="790EE39C"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Chemical Structure and Industrial Applications</w:t>
      </w:r>
    </w:p>
    <w:p w14:paraId="4B3EC67E" w14:textId="77777777" w:rsidR="00996264" w:rsidRPr="00996264" w:rsidRDefault="00996264" w:rsidP="00996264">
      <w:r w:rsidRPr="00996264">
        <w:t>Phthalates, or phthalate esters, are diesters of phthalic acid. The basic chemical structure consists of a benzene ring with two adjacent carboxylic acid groups, which are esterified with various alcohol side chains. The length and branching of these alkyl side chains determine the physical and chemical properties of the different phthalate compounds and, consequently, their industrial applications and toxicological profiles 1.</w:t>
      </w:r>
    </w:p>
    <w:p w14:paraId="42519C20" w14:textId="77777777" w:rsidR="00996264" w:rsidRPr="00996264" w:rsidRDefault="00996264" w:rsidP="00996264">
      <w:r w:rsidRPr="00996264">
        <w:t>Phthalates are broadly categorized into two main groups based on their molecular weight:</w:t>
      </w:r>
    </w:p>
    <w:p w14:paraId="4FDF54FC" w14:textId="77777777" w:rsidR="00996264" w:rsidRPr="00996264" w:rsidRDefault="00996264" w:rsidP="00996264">
      <w:r w:rsidRPr="00996264">
        <w:rPr>
          <w:rFonts w:ascii="Arial" w:hAnsi="Arial" w:cs="Arial"/>
        </w:rPr>
        <w:t>•</w:t>
      </w:r>
      <w:r w:rsidRPr="00996264">
        <w:t>Low Molecular Weight (LMW) Phthalates: These compounds, such as diethyl phthalate (DEP) and dibutyl phthalate (DBP), have shorter alkyl chains. They are commonly used in personal care products like cosmetics, fragrances, and lotions, as well as in some food packaging and medical applications.</w:t>
      </w:r>
    </w:p>
    <w:p w14:paraId="45CC2DD3" w14:textId="77777777" w:rsidR="00996264" w:rsidRPr="00996264" w:rsidRDefault="00996264" w:rsidP="00996264">
      <w:r w:rsidRPr="00996264">
        <w:rPr>
          <w:rFonts w:ascii="Arial" w:hAnsi="Arial" w:cs="Arial"/>
        </w:rPr>
        <w:t>•</w:t>
      </w:r>
      <w:r w:rsidRPr="00996264">
        <w:t>High Molecular Weight (HMW) Phthalates: These compounds, including di(2-ethylhexyl) phthalate (DEHP), diisononyl phthalate (DINP), and diisodecyl phthalate (DIDP), have longer and more complex alkyl chains. They are primarily used as plasticizers in PVC to make it flexible for use in products like vinyl flooring, wall coverings, medical devices (e.g., IV tubing, blood bags), and some toys.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327"/>
        <w:gridCol w:w="1557"/>
        <w:gridCol w:w="4334"/>
      </w:tblGrid>
      <w:tr w:rsidR="00996264" w:rsidRPr="00996264" w14:paraId="2A74F434" w14:textId="77777777">
        <w:trPr>
          <w:tblCellSpacing w:w="15" w:type="dxa"/>
        </w:trPr>
        <w:tc>
          <w:tcPr>
            <w:tcW w:w="0" w:type="auto"/>
            <w:vAlign w:val="center"/>
            <w:hideMark/>
          </w:tcPr>
          <w:p w14:paraId="4506CF2B" w14:textId="77777777" w:rsidR="00996264" w:rsidRPr="00996264" w:rsidRDefault="00996264" w:rsidP="00996264">
            <w:r w:rsidRPr="00996264">
              <w:t>Phthalate</w:t>
            </w:r>
          </w:p>
        </w:tc>
        <w:tc>
          <w:tcPr>
            <w:tcW w:w="0" w:type="auto"/>
            <w:vAlign w:val="center"/>
            <w:hideMark/>
          </w:tcPr>
          <w:p w14:paraId="31468475" w14:textId="77777777" w:rsidR="00996264" w:rsidRPr="00996264" w:rsidRDefault="00996264" w:rsidP="00996264">
            <w:r w:rsidRPr="00996264">
              <w:t>Abbreviation</w:t>
            </w:r>
          </w:p>
        </w:tc>
        <w:tc>
          <w:tcPr>
            <w:tcW w:w="0" w:type="auto"/>
            <w:vAlign w:val="center"/>
            <w:hideMark/>
          </w:tcPr>
          <w:p w14:paraId="79543C31" w14:textId="77777777" w:rsidR="00996264" w:rsidRPr="00996264" w:rsidRDefault="00996264" w:rsidP="00996264">
            <w:r w:rsidRPr="00996264">
              <w:t>Molecular Weight</w:t>
            </w:r>
          </w:p>
        </w:tc>
        <w:tc>
          <w:tcPr>
            <w:tcW w:w="0" w:type="auto"/>
            <w:vAlign w:val="center"/>
            <w:hideMark/>
          </w:tcPr>
          <w:p w14:paraId="2F960CC7" w14:textId="77777777" w:rsidR="00996264" w:rsidRPr="00996264" w:rsidRDefault="00996264" w:rsidP="00996264">
            <w:r w:rsidRPr="00996264">
              <w:t>Primary Applications</w:t>
            </w:r>
          </w:p>
        </w:tc>
      </w:tr>
      <w:tr w:rsidR="00996264" w:rsidRPr="00996264" w14:paraId="0C87EF72" w14:textId="77777777">
        <w:trPr>
          <w:tblCellSpacing w:w="15" w:type="dxa"/>
        </w:trPr>
        <w:tc>
          <w:tcPr>
            <w:tcW w:w="0" w:type="auto"/>
            <w:vAlign w:val="center"/>
            <w:hideMark/>
          </w:tcPr>
          <w:p w14:paraId="63C9346C" w14:textId="77777777" w:rsidR="00996264" w:rsidRPr="00996264" w:rsidRDefault="00996264" w:rsidP="00996264">
            <w:r w:rsidRPr="00996264">
              <w:t>Di(2-ethylhexyl) phthalate</w:t>
            </w:r>
          </w:p>
        </w:tc>
        <w:tc>
          <w:tcPr>
            <w:tcW w:w="0" w:type="auto"/>
            <w:vAlign w:val="center"/>
            <w:hideMark/>
          </w:tcPr>
          <w:p w14:paraId="38ED02A7" w14:textId="77777777" w:rsidR="00996264" w:rsidRPr="00996264" w:rsidRDefault="00996264" w:rsidP="00996264">
            <w:r w:rsidRPr="00996264">
              <w:t>DEHP</w:t>
            </w:r>
          </w:p>
        </w:tc>
        <w:tc>
          <w:tcPr>
            <w:tcW w:w="0" w:type="auto"/>
            <w:vAlign w:val="center"/>
            <w:hideMark/>
          </w:tcPr>
          <w:p w14:paraId="778B9E53" w14:textId="77777777" w:rsidR="00996264" w:rsidRPr="00996264" w:rsidRDefault="00996264" w:rsidP="00996264">
            <w:r w:rsidRPr="00996264">
              <w:t>High</w:t>
            </w:r>
          </w:p>
        </w:tc>
        <w:tc>
          <w:tcPr>
            <w:tcW w:w="0" w:type="auto"/>
            <w:vAlign w:val="center"/>
            <w:hideMark/>
          </w:tcPr>
          <w:p w14:paraId="4245D84E" w14:textId="77777777" w:rsidR="00996264" w:rsidRPr="00996264" w:rsidRDefault="00996264" w:rsidP="00996264">
            <w:r w:rsidRPr="00996264">
              <w:t>PVC plasticizer, medical devices, building materials</w:t>
            </w:r>
          </w:p>
        </w:tc>
      </w:tr>
      <w:tr w:rsidR="00996264" w:rsidRPr="00996264" w14:paraId="0C97AE0F" w14:textId="77777777">
        <w:trPr>
          <w:tblCellSpacing w:w="15" w:type="dxa"/>
        </w:trPr>
        <w:tc>
          <w:tcPr>
            <w:tcW w:w="0" w:type="auto"/>
            <w:vAlign w:val="center"/>
            <w:hideMark/>
          </w:tcPr>
          <w:p w14:paraId="55F9AA5A" w14:textId="77777777" w:rsidR="00996264" w:rsidRPr="00996264" w:rsidRDefault="00996264" w:rsidP="00996264">
            <w:r w:rsidRPr="00996264">
              <w:t>Dibutyl phthalate</w:t>
            </w:r>
          </w:p>
        </w:tc>
        <w:tc>
          <w:tcPr>
            <w:tcW w:w="0" w:type="auto"/>
            <w:vAlign w:val="center"/>
            <w:hideMark/>
          </w:tcPr>
          <w:p w14:paraId="6609128A" w14:textId="77777777" w:rsidR="00996264" w:rsidRPr="00996264" w:rsidRDefault="00996264" w:rsidP="00996264">
            <w:r w:rsidRPr="00996264">
              <w:t>DBP</w:t>
            </w:r>
          </w:p>
        </w:tc>
        <w:tc>
          <w:tcPr>
            <w:tcW w:w="0" w:type="auto"/>
            <w:vAlign w:val="center"/>
            <w:hideMark/>
          </w:tcPr>
          <w:p w14:paraId="05191BCB" w14:textId="77777777" w:rsidR="00996264" w:rsidRPr="00996264" w:rsidRDefault="00996264" w:rsidP="00996264">
            <w:r w:rsidRPr="00996264">
              <w:t>Low</w:t>
            </w:r>
          </w:p>
        </w:tc>
        <w:tc>
          <w:tcPr>
            <w:tcW w:w="0" w:type="auto"/>
            <w:vAlign w:val="center"/>
            <w:hideMark/>
          </w:tcPr>
          <w:p w14:paraId="2F4BDE30" w14:textId="77777777" w:rsidR="00996264" w:rsidRPr="00996264" w:rsidRDefault="00996264" w:rsidP="00996264">
            <w:r w:rsidRPr="00996264">
              <w:t>Personal care products, adhesives, printing inks</w:t>
            </w:r>
          </w:p>
        </w:tc>
      </w:tr>
      <w:tr w:rsidR="00996264" w:rsidRPr="00996264" w14:paraId="480FFAC2" w14:textId="77777777">
        <w:trPr>
          <w:tblCellSpacing w:w="15" w:type="dxa"/>
        </w:trPr>
        <w:tc>
          <w:tcPr>
            <w:tcW w:w="0" w:type="auto"/>
            <w:vAlign w:val="center"/>
            <w:hideMark/>
          </w:tcPr>
          <w:p w14:paraId="31FD2807" w14:textId="77777777" w:rsidR="00996264" w:rsidRPr="00996264" w:rsidRDefault="00996264" w:rsidP="00996264">
            <w:r w:rsidRPr="00996264">
              <w:t>Diethyl phthalate</w:t>
            </w:r>
          </w:p>
        </w:tc>
        <w:tc>
          <w:tcPr>
            <w:tcW w:w="0" w:type="auto"/>
            <w:vAlign w:val="center"/>
            <w:hideMark/>
          </w:tcPr>
          <w:p w14:paraId="57F55F52" w14:textId="77777777" w:rsidR="00996264" w:rsidRPr="00996264" w:rsidRDefault="00996264" w:rsidP="00996264">
            <w:r w:rsidRPr="00996264">
              <w:t>DEP</w:t>
            </w:r>
          </w:p>
        </w:tc>
        <w:tc>
          <w:tcPr>
            <w:tcW w:w="0" w:type="auto"/>
            <w:vAlign w:val="center"/>
            <w:hideMark/>
          </w:tcPr>
          <w:p w14:paraId="7B56B144" w14:textId="77777777" w:rsidR="00996264" w:rsidRPr="00996264" w:rsidRDefault="00996264" w:rsidP="00996264">
            <w:r w:rsidRPr="00996264">
              <w:t>Low</w:t>
            </w:r>
          </w:p>
        </w:tc>
        <w:tc>
          <w:tcPr>
            <w:tcW w:w="0" w:type="auto"/>
            <w:vAlign w:val="center"/>
            <w:hideMark/>
          </w:tcPr>
          <w:p w14:paraId="47DB6DCC" w14:textId="77777777" w:rsidR="00996264" w:rsidRPr="00996264" w:rsidRDefault="00996264" w:rsidP="00996264">
            <w:r w:rsidRPr="00996264">
              <w:t>Fragrances, cosmetics, personal care products</w:t>
            </w:r>
          </w:p>
        </w:tc>
      </w:tr>
      <w:tr w:rsidR="00996264" w:rsidRPr="00996264" w14:paraId="71A972C4" w14:textId="77777777">
        <w:trPr>
          <w:tblCellSpacing w:w="15" w:type="dxa"/>
        </w:trPr>
        <w:tc>
          <w:tcPr>
            <w:tcW w:w="0" w:type="auto"/>
            <w:vAlign w:val="center"/>
            <w:hideMark/>
          </w:tcPr>
          <w:p w14:paraId="2813C18A" w14:textId="77777777" w:rsidR="00996264" w:rsidRPr="00996264" w:rsidRDefault="00996264" w:rsidP="00996264">
            <w:r w:rsidRPr="00996264">
              <w:lastRenderedPageBreak/>
              <w:t>Diisononyl phthalate</w:t>
            </w:r>
          </w:p>
        </w:tc>
        <w:tc>
          <w:tcPr>
            <w:tcW w:w="0" w:type="auto"/>
            <w:vAlign w:val="center"/>
            <w:hideMark/>
          </w:tcPr>
          <w:p w14:paraId="18F4958A" w14:textId="77777777" w:rsidR="00996264" w:rsidRPr="00996264" w:rsidRDefault="00996264" w:rsidP="00996264">
            <w:r w:rsidRPr="00996264">
              <w:t>DINP</w:t>
            </w:r>
          </w:p>
        </w:tc>
        <w:tc>
          <w:tcPr>
            <w:tcW w:w="0" w:type="auto"/>
            <w:vAlign w:val="center"/>
            <w:hideMark/>
          </w:tcPr>
          <w:p w14:paraId="7A1990C4" w14:textId="77777777" w:rsidR="00996264" w:rsidRPr="00996264" w:rsidRDefault="00996264" w:rsidP="00996264">
            <w:r w:rsidRPr="00996264">
              <w:t>High</w:t>
            </w:r>
          </w:p>
        </w:tc>
        <w:tc>
          <w:tcPr>
            <w:tcW w:w="0" w:type="auto"/>
            <w:vAlign w:val="center"/>
            <w:hideMark/>
          </w:tcPr>
          <w:p w14:paraId="41D3B3E7" w14:textId="77777777" w:rsidR="00996264" w:rsidRPr="00996264" w:rsidRDefault="00996264" w:rsidP="00996264">
            <w:r w:rsidRPr="00996264">
              <w:t>PVC plasticizer, toys, vinyl flooring</w:t>
            </w:r>
          </w:p>
        </w:tc>
      </w:tr>
      <w:tr w:rsidR="00996264" w:rsidRPr="00996264" w14:paraId="40E7960E" w14:textId="77777777">
        <w:trPr>
          <w:tblCellSpacing w:w="15" w:type="dxa"/>
        </w:trPr>
        <w:tc>
          <w:tcPr>
            <w:tcW w:w="0" w:type="auto"/>
            <w:vAlign w:val="center"/>
            <w:hideMark/>
          </w:tcPr>
          <w:p w14:paraId="0CA4BED8" w14:textId="77777777" w:rsidR="00996264" w:rsidRPr="00996264" w:rsidRDefault="00996264" w:rsidP="00996264">
            <w:r w:rsidRPr="00996264">
              <w:t>Diisodecyl phthalate</w:t>
            </w:r>
          </w:p>
        </w:tc>
        <w:tc>
          <w:tcPr>
            <w:tcW w:w="0" w:type="auto"/>
            <w:vAlign w:val="center"/>
            <w:hideMark/>
          </w:tcPr>
          <w:p w14:paraId="273A1ED7" w14:textId="77777777" w:rsidR="00996264" w:rsidRPr="00996264" w:rsidRDefault="00996264" w:rsidP="00996264">
            <w:r w:rsidRPr="00996264">
              <w:t>DIDP</w:t>
            </w:r>
          </w:p>
        </w:tc>
        <w:tc>
          <w:tcPr>
            <w:tcW w:w="0" w:type="auto"/>
            <w:vAlign w:val="center"/>
            <w:hideMark/>
          </w:tcPr>
          <w:p w14:paraId="7BBDE4AF" w14:textId="77777777" w:rsidR="00996264" w:rsidRPr="00996264" w:rsidRDefault="00996264" w:rsidP="00996264">
            <w:r w:rsidRPr="00996264">
              <w:t>High</w:t>
            </w:r>
          </w:p>
        </w:tc>
        <w:tc>
          <w:tcPr>
            <w:tcW w:w="0" w:type="auto"/>
            <w:vAlign w:val="center"/>
            <w:hideMark/>
          </w:tcPr>
          <w:p w14:paraId="3EFB11D3" w14:textId="77777777" w:rsidR="00996264" w:rsidRPr="00996264" w:rsidRDefault="00996264" w:rsidP="00996264">
            <w:r w:rsidRPr="00996264">
              <w:t>PVC plasticizer, wire and cable insulation, car undercoating</w:t>
            </w:r>
          </w:p>
        </w:tc>
      </w:tr>
      <w:tr w:rsidR="00996264" w:rsidRPr="00996264" w14:paraId="48B2F2EE" w14:textId="77777777">
        <w:trPr>
          <w:tblCellSpacing w:w="15" w:type="dxa"/>
        </w:trPr>
        <w:tc>
          <w:tcPr>
            <w:tcW w:w="0" w:type="auto"/>
            <w:vAlign w:val="center"/>
            <w:hideMark/>
          </w:tcPr>
          <w:p w14:paraId="0F747F17" w14:textId="77777777" w:rsidR="00996264" w:rsidRPr="00996264" w:rsidRDefault="00996264" w:rsidP="00996264">
            <w:r w:rsidRPr="00996264">
              <w:t>Butyl benzyl phthalate</w:t>
            </w:r>
          </w:p>
        </w:tc>
        <w:tc>
          <w:tcPr>
            <w:tcW w:w="0" w:type="auto"/>
            <w:vAlign w:val="center"/>
            <w:hideMark/>
          </w:tcPr>
          <w:p w14:paraId="033C4D55" w14:textId="77777777" w:rsidR="00996264" w:rsidRPr="00996264" w:rsidRDefault="00996264" w:rsidP="00996264">
            <w:r w:rsidRPr="00996264">
              <w:t>BBP</w:t>
            </w:r>
          </w:p>
        </w:tc>
        <w:tc>
          <w:tcPr>
            <w:tcW w:w="0" w:type="auto"/>
            <w:vAlign w:val="center"/>
            <w:hideMark/>
          </w:tcPr>
          <w:p w14:paraId="3B6F5D4B" w14:textId="77777777" w:rsidR="00996264" w:rsidRPr="00996264" w:rsidRDefault="00996264" w:rsidP="00996264">
            <w:r w:rsidRPr="00996264">
              <w:t>High</w:t>
            </w:r>
          </w:p>
        </w:tc>
        <w:tc>
          <w:tcPr>
            <w:tcW w:w="0" w:type="auto"/>
            <w:vAlign w:val="center"/>
            <w:hideMark/>
          </w:tcPr>
          <w:p w14:paraId="3A5ACE8E" w14:textId="77777777" w:rsidR="00996264" w:rsidRPr="00996264" w:rsidRDefault="00996264" w:rsidP="00996264">
            <w:r w:rsidRPr="00996264">
              <w:t>Vinyl flooring, sealants, adhesives</w:t>
            </w:r>
          </w:p>
        </w:tc>
      </w:tr>
    </w:tbl>
    <w:p w14:paraId="141E6A08"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Health Concerns as Endocrine Disrupting Chemicals (EDCs)</w:t>
      </w:r>
    </w:p>
    <w:p w14:paraId="6DD67903" w14:textId="77777777" w:rsidR="00996264" w:rsidRPr="00996264" w:rsidRDefault="00996264" w:rsidP="00996264">
      <w:r w:rsidRPr="00996264">
        <w:t>The primary toxicological concern with phthalates is their ability to act as endocrine disruptors. EDCs can mimic, block, or otherwise interfere with the body's natural hormones, such as estrogens and androgens. Phthalates are particularly known for their anti-androgenic effects, meaning they can disrupt the function of male hormones like testosterone. This disruption can have profound effects on reproductive development and function, as well as other hormone-regulated processes in the body 2.</w:t>
      </w:r>
    </w:p>
    <w:p w14:paraId="57ED6C90" w14:textId="77777777" w:rsidR="00996264" w:rsidRPr="00996264" w:rsidRDefault="00996264" w:rsidP="00996264">
      <w:r w:rsidRPr="00996264">
        <w:t>Exposure to phthalates has been linked to a variety of adverse health outcomes, including:</w:t>
      </w:r>
    </w:p>
    <w:p w14:paraId="4A6AAF8C" w14:textId="77777777" w:rsidR="00996264" w:rsidRPr="00996264" w:rsidRDefault="00996264" w:rsidP="00996264">
      <w:r w:rsidRPr="00996264">
        <w:rPr>
          <w:rFonts w:ascii="Arial" w:hAnsi="Arial" w:cs="Arial"/>
        </w:rPr>
        <w:t>•</w:t>
      </w:r>
      <w:r w:rsidRPr="00996264">
        <w:t>Reproductive and developmental toxicity: This is the most well-documented health effect of phthalates. In males, exposure has been associated with testicular dysgenesis syndrome, which includes conditions like cryptorchidism (undescended testes), hypospadias (abnormal urethral opening), and reduced sperm quality. In females, phthalate exposure has been linked to an increased risk of endometriosis, uterine fibroids, and adverse pregnancy outcomes.</w:t>
      </w:r>
    </w:p>
    <w:p w14:paraId="79DD6286" w14:textId="77777777" w:rsidR="00996264" w:rsidRPr="00996264" w:rsidRDefault="00996264" w:rsidP="00996264">
      <w:r w:rsidRPr="00996264">
        <w:rPr>
          <w:rFonts w:ascii="Arial" w:hAnsi="Arial" w:cs="Arial"/>
        </w:rPr>
        <w:t>•</w:t>
      </w:r>
      <w:r w:rsidRPr="00996264">
        <w:t>Neurodevelopmental effects: Emerging evidence suggests that prenatal and early childhood exposure to phthalates may be associated with an increased risk of neurodevelopmental disorders, including attention-deficit/hyperactivity disorder (ADHD), autism spectrum disorder (ASD), and cognitive and motor deficits 3.</w:t>
      </w:r>
    </w:p>
    <w:p w14:paraId="3D19B8A0" w14:textId="77777777" w:rsidR="00996264" w:rsidRPr="00996264" w:rsidRDefault="00996264" w:rsidP="00996264">
      <w:r w:rsidRPr="00996264">
        <w:rPr>
          <w:rFonts w:ascii="Arial" w:hAnsi="Arial" w:cs="Arial"/>
        </w:rPr>
        <w:t>•</w:t>
      </w:r>
      <w:r w:rsidRPr="00996264">
        <w:t>Metabolic disorders: Some studies have found associations between phthalate exposure and an increased risk of obesity, insulin resistance, and type 2 diabetes.</w:t>
      </w:r>
    </w:p>
    <w:p w14:paraId="1ECC950A" w14:textId="77777777" w:rsidR="00996264" w:rsidRPr="00996264" w:rsidRDefault="00996264" w:rsidP="00996264">
      <w:r w:rsidRPr="00996264">
        <w:rPr>
          <w:rFonts w:ascii="Arial" w:hAnsi="Arial" w:cs="Arial"/>
        </w:rPr>
        <w:t>•</w:t>
      </w:r>
      <w:r w:rsidRPr="00996264">
        <w:t>Respiratory effects: Phthalate exposure has been linked to an increased risk of asthma and allergies, particularly in children.</w:t>
      </w:r>
    </w:p>
    <w:p w14:paraId="297E5BFA"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Classification and Exposure Assessment</w:t>
      </w:r>
    </w:p>
    <w:p w14:paraId="6F9B5A43" w14:textId="77777777" w:rsidR="00996264" w:rsidRPr="00996264" w:rsidRDefault="00996264" w:rsidP="00996264">
      <w:r w:rsidRPr="00996264">
        <w:t>As mentioned, phthalates are classified as LMW or HMW based on their molecular weight. This classification is important because it often correlates with their uses and exposure pathways. Humans are exposed to phthalates through multiple routes, including ingestion, inhalation, and dermal absorption.</w:t>
      </w:r>
    </w:p>
    <w:p w14:paraId="35E2B161" w14:textId="77777777" w:rsidR="00996264" w:rsidRPr="00996264" w:rsidRDefault="00996264" w:rsidP="00996264">
      <w:r w:rsidRPr="00996264">
        <w:rPr>
          <w:rFonts w:ascii="Arial" w:hAnsi="Arial" w:cs="Arial"/>
        </w:rPr>
        <w:t>•</w:t>
      </w:r>
      <w:r w:rsidRPr="00996264">
        <w:t>Ingestion: This is considered the primary route of exposure for the general population. Phthalates can leach from food packaging materials into food and beverages. Fatty foods are particularly susceptible to contamination with HMW phthalates like DEHP.</w:t>
      </w:r>
    </w:p>
    <w:p w14:paraId="54BBA596" w14:textId="77777777" w:rsidR="00996264" w:rsidRPr="00996264" w:rsidRDefault="00996264" w:rsidP="00996264">
      <w:r w:rsidRPr="00996264">
        <w:rPr>
          <w:rFonts w:ascii="Arial" w:hAnsi="Arial" w:cs="Arial"/>
        </w:rPr>
        <w:t>•</w:t>
      </w:r>
      <w:r w:rsidRPr="00996264">
        <w:t>Inhalation: Phthalates are semi-volatile organic compounds (SVOCs) and can be released from products into the air. They can then be inhaled as vapor or attached to dust particles. Indoor environments, such as homes and offices, often have higher concentrations of phthalates in the air and dust than outdoor environments.</w:t>
      </w:r>
    </w:p>
    <w:p w14:paraId="3DCC530B" w14:textId="77777777" w:rsidR="00996264" w:rsidRPr="00996264" w:rsidRDefault="00996264" w:rsidP="00996264">
      <w:r w:rsidRPr="00996264">
        <w:rPr>
          <w:rFonts w:ascii="Arial" w:hAnsi="Arial" w:cs="Arial"/>
        </w:rPr>
        <w:lastRenderedPageBreak/>
        <w:t>•</w:t>
      </w:r>
      <w:r w:rsidRPr="00996264">
        <w:t>Dermal absorption: LMW phthalates, which are commonly used in personal care products, can be absorbed through the skin.</w:t>
      </w:r>
    </w:p>
    <w:p w14:paraId="629AA7E2" w14:textId="77777777" w:rsidR="00996264" w:rsidRPr="00996264" w:rsidRDefault="00996264" w:rsidP="00996264">
      <w:r w:rsidRPr="00996264">
        <w:rPr>
          <w:rFonts w:ascii="Arial" w:hAnsi="Arial" w:cs="Arial"/>
        </w:rPr>
        <w:t>•</w:t>
      </w:r>
      <w:r w:rsidRPr="00996264">
        <w:t>Medical exposure: Patients undergoing certain medical procedures, such as blood transfusions, dialysis, or intravenous therapy, can have high levels of exposure to DEHP from PVC-based medical devices.</w:t>
      </w:r>
    </w:p>
    <w:p w14:paraId="62276F9A"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Toxicokinetics (ADME)</w:t>
      </w:r>
    </w:p>
    <w:p w14:paraId="1DF1535E" w14:textId="77777777" w:rsidR="00996264" w:rsidRPr="00996264" w:rsidRDefault="00996264" w:rsidP="00996264">
      <w:r w:rsidRPr="00996264">
        <w:t>The toxicokinetics of phthalates—their absorption, distribution, metabolism, and excretion (ADME)—are crucial for understanding their potential health effects. Phthalates are generally rapidly metabolized and excreted from the body, with half-lives typically ranging from a few hours to a day. However, because exposure is often continuous, measurable levels of phthalate metabolites are commonly found in the urine of the general population.</w:t>
      </w:r>
    </w:p>
    <w:p w14:paraId="4E18109E" w14:textId="77777777" w:rsidR="00996264" w:rsidRPr="00996264" w:rsidRDefault="00996264" w:rsidP="00996264">
      <w:r w:rsidRPr="00996264">
        <w:rPr>
          <w:rFonts w:ascii="Arial" w:hAnsi="Arial" w:cs="Arial"/>
        </w:rPr>
        <w:t>•</w:t>
      </w:r>
      <w:r w:rsidRPr="00996264">
        <w:t>Absorption: Phthalates are readily absorbed from the gastrointestinal tract after ingestion. Dermal absorption is also a significant route of exposure for LMW phthalates in personal care products.</w:t>
      </w:r>
    </w:p>
    <w:p w14:paraId="0C426494" w14:textId="77777777" w:rsidR="00996264" w:rsidRPr="00996264" w:rsidRDefault="00996264" w:rsidP="00996264">
      <w:r w:rsidRPr="00996264">
        <w:rPr>
          <w:rFonts w:ascii="Arial" w:hAnsi="Arial" w:cs="Arial"/>
        </w:rPr>
        <w:t>•</w:t>
      </w:r>
      <w:r w:rsidRPr="00996264">
        <w:t>Distribution: Once absorbed, phthalates are distributed throughout the body. Being lipophilic, they can accumulate in fatty tissues.</w:t>
      </w:r>
    </w:p>
    <w:p w14:paraId="6A1939CF" w14:textId="77777777" w:rsidR="00996264" w:rsidRPr="00996264" w:rsidRDefault="00996264" w:rsidP="00996264">
      <w:r w:rsidRPr="00996264">
        <w:rPr>
          <w:rFonts w:ascii="Arial" w:hAnsi="Arial" w:cs="Arial"/>
        </w:rPr>
        <w:t>•</w:t>
      </w:r>
      <w:r w:rsidRPr="00996264">
        <w:t>Metabolism: The initial step in phthalate metabolism is the hydrolysis of the diester to its corresponding monoester metabolite. For example, DEHP is metabolized to mono(2-ethylhexyl) phthalate (MEHP). These monoesters are often the biologically active metabolites responsible for the toxic effects of phthalates. The monoesters can then undergo further metabolism through oxidation and conjugation with glucuronic acid to form more water-soluble compounds that can be easily excreted.</w:t>
      </w:r>
    </w:p>
    <w:p w14:paraId="64CBB54E" w14:textId="77777777" w:rsidR="00996264" w:rsidRPr="00996264" w:rsidRDefault="00996264" w:rsidP="00996264">
      <w:r w:rsidRPr="00996264">
        <w:rPr>
          <w:rFonts w:ascii="Arial" w:hAnsi="Arial" w:cs="Arial"/>
        </w:rPr>
        <w:t>•</w:t>
      </w:r>
      <w:r w:rsidRPr="00996264">
        <w:t>Excretion: Phthalate metabolites are primarily excreted in the urine.</w:t>
      </w:r>
    </w:p>
    <w:p w14:paraId="75F75BE2"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Molecular Mechanisms of Action</w:t>
      </w:r>
    </w:p>
    <w:p w14:paraId="2D8CD22E" w14:textId="77777777" w:rsidR="00996264" w:rsidRPr="00996264" w:rsidRDefault="00996264" w:rsidP="00996264">
      <w:r w:rsidRPr="00996264">
        <w:t>Phthalates exert their toxic effects through several molecular mechanisms, the most prominent of which is their interference with nuclear receptors that regulate gene expression.</w:t>
      </w:r>
    </w:p>
    <w:p w14:paraId="0E6809E7" w14:textId="77777777" w:rsidR="00996264" w:rsidRPr="00996264" w:rsidRDefault="00996264" w:rsidP="00996264">
      <w:r w:rsidRPr="00996264">
        <w:rPr>
          <w:rFonts w:ascii="Arial" w:hAnsi="Arial" w:cs="Arial"/>
        </w:rPr>
        <w:t>•</w:t>
      </w:r>
      <w:r w:rsidRPr="00996264">
        <w:t>Anti-androgenic effects: Phthalates, particularly their monoester metabolites, can act as antagonists of the androgen receptor, blocking the action of testosterone. They can also inhibit the synthesis of testosterone in the Leydig cells of the testes. This disruption of androgen signaling is thought to be the primary mechanism underlying the adverse effects of phthalates on male reproductive development.</w:t>
      </w:r>
    </w:p>
    <w:p w14:paraId="48509891" w14:textId="77777777" w:rsidR="00996264" w:rsidRPr="00996264" w:rsidRDefault="00996264" w:rsidP="00996264">
      <w:r w:rsidRPr="00996264">
        <w:rPr>
          <w:rFonts w:ascii="Arial" w:hAnsi="Arial" w:cs="Arial"/>
        </w:rPr>
        <w:t>•</w:t>
      </w:r>
      <w:r w:rsidRPr="00996264">
        <w:t>Peroxisome Proliferator-Activated Receptors (PPARs): Phthalates can activate PPARs, a group of nuclear receptors involved in the regulation of lipid metabolism and inflammation. Activation of PPARs by phthalates is thought to contribute to their effects on the liver and may also play a role in their metabolic and reproductive toxicity.</w:t>
      </w:r>
    </w:p>
    <w:p w14:paraId="56F9CE9D" w14:textId="77777777" w:rsidR="00996264" w:rsidRPr="00996264" w:rsidRDefault="00996264" w:rsidP="00996264">
      <w:r w:rsidRPr="00996264">
        <w:rPr>
          <w:rFonts w:ascii="Arial" w:hAnsi="Arial" w:cs="Arial"/>
        </w:rPr>
        <w:t>•</w:t>
      </w:r>
      <w:r w:rsidRPr="00996264">
        <w:t>Aryl Hydrocarbon Receptor (AhR): Some phthalates have been shown to interact with the AhR, a receptor involved in the metabolism of xenobiotics and the regulation of immune responses.</w:t>
      </w:r>
    </w:p>
    <w:p w14:paraId="48783201"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Organ-Specific Toxicity</w:t>
      </w:r>
    </w:p>
    <w:p w14:paraId="46232974" w14:textId="77777777" w:rsidR="00996264" w:rsidRPr="00996264" w:rsidRDefault="00996264" w:rsidP="00996264">
      <w:pPr>
        <w:spacing w:before="100" w:beforeAutospacing="1" w:after="100" w:afterAutospacing="1"/>
        <w:outlineLvl w:val="2"/>
        <w:rPr>
          <w:b/>
          <w:bCs/>
          <w:sz w:val="27"/>
          <w:szCs w:val="27"/>
        </w:rPr>
      </w:pPr>
      <w:r w:rsidRPr="00996264">
        <w:rPr>
          <w:b/>
          <w:bCs/>
          <w:sz w:val="27"/>
          <w:szCs w:val="27"/>
        </w:rPr>
        <w:t>Reproductive System</w:t>
      </w:r>
    </w:p>
    <w:p w14:paraId="4DFA1FDB" w14:textId="77777777" w:rsidR="00996264" w:rsidRPr="00996264" w:rsidRDefault="00996264" w:rsidP="00996264">
      <w:r w:rsidRPr="00996264">
        <w:lastRenderedPageBreak/>
        <w:t>The reproductive system is a primary target for phthalate toxicity. As discussed, phthalates can disrupt male reproductive development, leading to testicular dysgenesis syndrome. In adult males, phthalate exposure has been associated with reduced sperm quality and altered levels of reproductive hormones. In females, phthalates have been linked to a range of reproductive health problems, including endometriosis, uterine fibroids, and adverse pregnancy outcomes such as preterm birth and low birth weight.</w:t>
      </w:r>
    </w:p>
    <w:p w14:paraId="0FA4F0CC" w14:textId="77777777" w:rsidR="00996264" w:rsidRPr="00996264" w:rsidRDefault="00996264" w:rsidP="00996264">
      <w:pPr>
        <w:spacing w:before="100" w:beforeAutospacing="1" w:after="100" w:afterAutospacing="1"/>
        <w:outlineLvl w:val="2"/>
        <w:rPr>
          <w:b/>
          <w:bCs/>
          <w:sz w:val="27"/>
          <w:szCs w:val="27"/>
        </w:rPr>
      </w:pPr>
      <w:r w:rsidRPr="00996264">
        <w:rPr>
          <w:b/>
          <w:bCs/>
          <w:sz w:val="27"/>
          <w:szCs w:val="27"/>
        </w:rPr>
        <w:t>Neurodevelopmental and Metabolic Systems</w:t>
      </w:r>
    </w:p>
    <w:p w14:paraId="45B68C97" w14:textId="77777777" w:rsidR="00996264" w:rsidRPr="00996264" w:rsidRDefault="00996264" w:rsidP="00996264">
      <w:r w:rsidRPr="00996264">
        <w:t>There is growing evidence that phthalates can also affect the developing nervous system. Prenatal and early childhood exposure to phthalates has been associated with an increased risk of ADHD, ASD, and cognitive and motor deficits. The mechanisms underlying these neurodevelopmental effects are not yet fully understood but may involve the disruption of thyroid hormone function or other endocrine pathways important for brain development.</w:t>
      </w:r>
    </w:p>
    <w:p w14:paraId="073C4577" w14:textId="77777777" w:rsidR="00996264" w:rsidRPr="00996264" w:rsidRDefault="00996264" w:rsidP="00996264">
      <w:r w:rsidRPr="00996264">
        <w:t>Phthalates have also been implicated in the development of metabolic disorders. Some studies have found associations between phthalate exposure and an increased risk of obesity, insulin resistance, and type 2 diabetes. These effects may be mediated by the activation of PPARs or other mechanisms that disrupt lipid and glucose metabolism.</w:t>
      </w:r>
    </w:p>
    <w:p w14:paraId="2E419A15"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Vulnerable Populations</w:t>
      </w:r>
    </w:p>
    <w:p w14:paraId="25C0E5C8" w14:textId="77777777" w:rsidR="00996264" w:rsidRPr="00996264" w:rsidRDefault="00996264" w:rsidP="00996264">
      <w:r w:rsidRPr="00996264">
        <w:t>Certain populations are particularly vulnerable to the health effects of phthalates. These include:</w:t>
      </w:r>
    </w:p>
    <w:p w14:paraId="743BEE70" w14:textId="77777777" w:rsidR="00996264" w:rsidRPr="00996264" w:rsidRDefault="00996264" w:rsidP="00996264">
      <w:r w:rsidRPr="00996264">
        <w:rPr>
          <w:rFonts w:ascii="Arial" w:hAnsi="Arial" w:cs="Arial"/>
        </w:rPr>
        <w:t>•</w:t>
      </w:r>
      <w:r w:rsidRPr="00996264">
        <w:t>The developing fetus: The prenatal period is a critical window of susceptibility for the effects of EDCs like phthalates. Exposure during this time can have permanent effects on reproductive and neurodevelopment.</w:t>
      </w:r>
    </w:p>
    <w:p w14:paraId="3A373526" w14:textId="77777777" w:rsidR="00996264" w:rsidRPr="00996264" w:rsidRDefault="00996264" w:rsidP="00996264">
      <w:r w:rsidRPr="00996264">
        <w:rPr>
          <w:rFonts w:ascii="Arial" w:hAnsi="Arial" w:cs="Arial"/>
        </w:rPr>
        <w:t>•</w:t>
      </w:r>
      <w:r w:rsidRPr="00996264">
        <w:t>Infants and children: Infants and children have higher exposures to phthalates on a body weight basis than adults. They are also more vulnerable to the effects of these chemicals because their bodies are still developing.</w:t>
      </w:r>
    </w:p>
    <w:p w14:paraId="72FED362" w14:textId="77777777" w:rsidR="00996264" w:rsidRPr="00996264" w:rsidRDefault="00996264" w:rsidP="00996264">
      <w:r w:rsidRPr="00996264">
        <w:rPr>
          <w:rFonts w:ascii="Arial" w:hAnsi="Arial" w:cs="Arial"/>
        </w:rPr>
        <w:t>•</w:t>
      </w:r>
      <w:r w:rsidRPr="00996264">
        <w:t>Women of reproductive age: Women of reproductive age may have higher exposures to phthalates from personal care products. Exposure during pregnancy can affect the developing fetus.</w:t>
      </w:r>
    </w:p>
    <w:p w14:paraId="35005BFA" w14:textId="77777777" w:rsidR="00996264" w:rsidRPr="00996264" w:rsidRDefault="00996264" w:rsidP="00996264">
      <w:r w:rsidRPr="00996264">
        <w:rPr>
          <w:rFonts w:ascii="Arial" w:hAnsi="Arial" w:cs="Arial"/>
        </w:rPr>
        <w:t>•</w:t>
      </w:r>
      <w:r w:rsidRPr="00996264">
        <w:t>Individuals with high medical exposures: Patients undergoing frequent or long-term medical procedures involving PVC devices can have very high exposures to DEHP.</w:t>
      </w:r>
    </w:p>
    <w:p w14:paraId="69D54595"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t>Conclusion</w:t>
      </w:r>
    </w:p>
    <w:p w14:paraId="35DB5513" w14:textId="77777777" w:rsidR="00996264" w:rsidRPr="00996264" w:rsidRDefault="00996264" w:rsidP="00996264">
      <w:r w:rsidRPr="00996264">
        <w:t>Phthalates are ubiquitous environmental contaminants that pose a significant risk to human health. Their ability to disrupt the endocrine system, particularly their anti-androgenic effects, is a major concern. A growing body of evidence links phthalate exposure to a range of adverse health outcomes, including reproductive and developmental toxicity, neurodevelopmental disorders, and metabolic diseases. Vulnerable populations, such as the developing fetus, infants, and children, are at greatest risk. Given the widespread exposure and potential for harm, there is a clear need for continued research into the health effects of phthalates and for policies to reduce human exposure to these harmful chemicals.</w:t>
      </w:r>
    </w:p>
    <w:p w14:paraId="3A5B7B9D" w14:textId="77777777" w:rsidR="00996264" w:rsidRPr="00996264" w:rsidRDefault="00996264" w:rsidP="00996264">
      <w:pPr>
        <w:spacing w:before="100" w:beforeAutospacing="1" w:after="100" w:afterAutospacing="1"/>
        <w:outlineLvl w:val="1"/>
        <w:rPr>
          <w:b/>
          <w:bCs/>
          <w:sz w:val="36"/>
          <w:szCs w:val="36"/>
        </w:rPr>
      </w:pPr>
      <w:r w:rsidRPr="00996264">
        <w:rPr>
          <w:b/>
          <w:bCs/>
          <w:sz w:val="36"/>
          <w:szCs w:val="36"/>
        </w:rPr>
        <w:lastRenderedPageBreak/>
        <w:t>References</w:t>
      </w:r>
    </w:p>
    <w:p w14:paraId="62A21B56" w14:textId="77777777" w:rsidR="00996264" w:rsidRPr="00996264" w:rsidRDefault="00996264" w:rsidP="00996264">
      <w:hyperlink r:id="rId60" w:tgtFrame="_blank" w:history="1">
        <w:r w:rsidRPr="00996264">
          <w:rPr>
            <w:color w:val="0000FF"/>
            <w:u w:val="single"/>
          </w:rPr>
          <w:t>[1] Wang, Y., &amp; Qian, H. (2021). Phthalates and Their Impacts on Human Health. Healthcare (Basel), 9(5), 603.</w:t>
        </w:r>
      </w:hyperlink>
    </w:p>
    <w:p w14:paraId="7FFFA242" w14:textId="77777777" w:rsidR="00996264" w:rsidRPr="00996264" w:rsidRDefault="00996264" w:rsidP="00996264">
      <w:hyperlink r:id="rId61" w:tgtFrame="_blank" w:history="1">
        <w:r w:rsidRPr="00996264">
          <w:rPr>
            <w:color w:val="0000FF"/>
            <w:u w:val="single"/>
          </w:rPr>
          <w:t>[2] Hlisníková, H., Petrovičová, I., Kolena, B., Šidlovská, M., &amp; Sirotkin, A. (2020 ). Effects and Mechanisms of Phthalates’ Action on Reproductive Processes and Reproductive Health: A Literature Review. International Journal of Environmental Research and Public Health, 17(18), 6811.</w:t>
        </w:r>
      </w:hyperlink>
    </w:p>
    <w:p w14:paraId="0D00AD06" w14:textId="77777777" w:rsidR="00996264" w:rsidRPr="00996264" w:rsidRDefault="00996264" w:rsidP="00996264">
      <w:hyperlink r:id="rId62" w:tgtFrame="_blank" w:history="1">
        <w:r w:rsidRPr="00996264">
          <w:rPr>
            <w:color w:val="0000FF"/>
            <w:u w:val="single"/>
          </w:rPr>
          <w:t>[3] Radke, E. G., Braun, J. M., Nachman, R. M., &amp; Cooper, G. S. (2020 ). Phthalate exposure and neurodevelopment: A systematic review and meta-analysis of human epidemiological evidence. Environment International, 137, 105408.</w:t>
        </w:r>
      </w:hyperlink>
    </w:p>
    <w:p w14:paraId="69BDCB57" w14:textId="19AC452C" w:rsidR="0046400B" w:rsidRDefault="0046400B">
      <w:pPr>
        <w:spacing w:after="160" w:line="278" w:lineRule="auto"/>
        <w:rPr>
          <w:sz w:val="40"/>
          <w:szCs w:val="40"/>
        </w:rPr>
      </w:pPr>
      <w:r>
        <w:rPr>
          <w:sz w:val="40"/>
          <w:szCs w:val="40"/>
        </w:rPr>
        <w:br w:type="page"/>
      </w:r>
    </w:p>
    <w:p w14:paraId="056CF6A7" w14:textId="77777777" w:rsidR="0046400B" w:rsidRPr="0046400B" w:rsidRDefault="0046400B" w:rsidP="0046400B">
      <w:pPr>
        <w:spacing w:before="100" w:beforeAutospacing="1" w:after="100" w:afterAutospacing="1"/>
        <w:outlineLvl w:val="0"/>
        <w:rPr>
          <w:rFonts w:ascii="Georgia" w:hAnsi="Georgia"/>
          <w:b/>
          <w:bCs/>
          <w:kern w:val="36"/>
          <w:sz w:val="48"/>
          <w:szCs w:val="48"/>
        </w:rPr>
      </w:pPr>
      <w:r w:rsidRPr="0046400B">
        <w:rPr>
          <w:rFonts w:ascii="Georgia" w:hAnsi="Georgia"/>
          <w:b/>
          <w:bCs/>
          <w:kern w:val="36"/>
          <w:sz w:val="48"/>
          <w:szCs w:val="48"/>
        </w:rPr>
        <w:lastRenderedPageBreak/>
        <w:t>Health Impacts of Per- and Polyfluoroalkyl Substances (PFASs): A Comprehensive Review</w:t>
      </w:r>
    </w:p>
    <w:p w14:paraId="403F23E8" w14:textId="77777777" w:rsidR="0046400B" w:rsidRPr="0046400B" w:rsidRDefault="0046400B" w:rsidP="0046400B">
      <w:r w:rsidRPr="0046400B">
        <w:t>Author: Manus AI, Senior Environmental Epidemiologist and Toxicologist</w:t>
      </w:r>
    </w:p>
    <w:p w14:paraId="515160CF"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Abstract</w:t>
      </w:r>
    </w:p>
    <w:p w14:paraId="39FBC3C2" w14:textId="77777777" w:rsidR="0046400B" w:rsidRPr="0046400B" w:rsidRDefault="0046400B" w:rsidP="0046400B">
      <w:r w:rsidRPr="0046400B">
        <w:t>Per- and polyfluoroalkyl substances (PFASs) represent a diverse class of persistent organic pollutants ubiquitously detected in the environment and human populations globally 1. This comprehensive review synthesizes current epidemiological human data and toxicological animal studies to evaluate the health risks associated with legacy PFAS, such as perfluorooctanoic acid (PFOA) and perfluorooctane sulfonic acid (PFOS), and emerging replacements, including GenX and perfluorobutane sulfonic acid (PFBS). The primary health concerns center on immunotoxicity, carcinogenicity, developmental, and metabolic disruption. Epidemiological evidence consistently links exposure to elevated serum PFAS concentrations with adverse outcomes, including reduced vaccine response in children, altered lipid metabolism, and increased risk of certain cancers 2 3. Toxicological studies provide biological plausibility, primarily through the activation of peroxisome proliferator-activated receptor alpha (PPAR-$\alpha$) and induction of oxidative stress 4. A critical consensus is that while the substitution of long-chain PFAS with shorter-chain alternatives was intended to reduce bioaccumulation, the newer compounds often exhibit similar toxicity profiles, raising concerns about "regrettable substitution." This review underscores the need for a unified regulatory approach and further research into mixture toxicity to address the significant public health implications of these "forever chemicals."</w:t>
      </w:r>
    </w:p>
    <w:p w14:paraId="0A91CC29"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1. Introduction &amp; Chemical Background</w:t>
      </w:r>
    </w:p>
    <w:p w14:paraId="1651FCD7" w14:textId="77777777" w:rsidR="0046400B" w:rsidRPr="0046400B" w:rsidRDefault="0046400B" w:rsidP="0046400B">
      <w:r w:rsidRPr="0046400B">
        <w:t>Per- and polyfluoroalkyl substances (PFASs) are a large family of synthetic organofluorine compounds characterized by a fully or partially fluorinated carbon chain attached to a functional group 5. Their widespread use since the 1940s in industrial and consumer products—including non-stick coatings, fire-fighting foams, and stain-resistant fabrics—stems from the exceptional stability imparted by the carbon-fluorine (C-F) bond. This bond is one of the strongest in organic chemistry, contributing to the extreme persistence of PFAS in the environment and biological systems, earning them the moniker "forever chemicals" 6.</w:t>
      </w:r>
    </w:p>
    <w:p w14:paraId="625D8391" w14:textId="77777777" w:rsidR="0046400B" w:rsidRPr="0046400B" w:rsidRDefault="0046400B" w:rsidP="0046400B">
      <w:r w:rsidRPr="0046400B">
        <w:t>Chemically, PFASs are often distinguished by the length of their fluorinated carbon chain:</w:t>
      </w:r>
    </w:p>
    <w:p w14:paraId="388D4C1C" w14:textId="77777777" w:rsidR="0046400B" w:rsidRPr="0046400B" w:rsidRDefault="0046400B" w:rsidP="0046400B">
      <w:r w:rsidRPr="0046400B">
        <w:rPr>
          <w:rFonts w:ascii="Arial" w:hAnsi="Arial" w:cs="Arial"/>
        </w:rPr>
        <w:t>•</w:t>
      </w:r>
      <w:r w:rsidRPr="0046400B">
        <w:t>Long-chain compounds: Typically defined as those with eight or more carbons for perfluoroalkyl carboxylates (PFCAs, e.g., PFOA, C8) and six or more carbons for perfluoroalkyl sulfonates (PFSAs, e.g., PFOS, C8) 7. These compounds generally exhibit greater bioaccumulation potential.</w:t>
      </w:r>
    </w:p>
    <w:p w14:paraId="1FADA05F" w14:textId="77777777" w:rsidR="0046400B" w:rsidRPr="0046400B" w:rsidRDefault="0046400B" w:rsidP="0046400B">
      <w:r w:rsidRPr="0046400B">
        <w:rPr>
          <w:rFonts w:ascii="Arial" w:hAnsi="Arial" w:cs="Arial"/>
        </w:rPr>
        <w:t>•</w:t>
      </w:r>
      <w:r w:rsidRPr="0046400B">
        <w:t xml:space="preserve">Short-chain compounds: Defined as those with fewer than eight carbons for PFCAs (e.g., perfluorohexanoic acid, PFHxA, C6) and fewer than six carbons for PFSAs (e.g., PFBS, C4) 7. </w:t>
      </w:r>
      <w:r w:rsidRPr="0046400B">
        <w:lastRenderedPageBreak/>
        <w:t>These were introduced as replacements due to their lower tendency to bioaccumulate, though they are often more mobile in water.</w:t>
      </w:r>
    </w:p>
    <w:p w14:paraId="62EE19F3"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2. Exposure Pathways &amp; Toxicokinetics</w:t>
      </w:r>
    </w:p>
    <w:p w14:paraId="63667D61"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2.1. Exposure Pathways</w:t>
      </w:r>
    </w:p>
    <w:p w14:paraId="6DE4E6F9" w14:textId="77777777" w:rsidR="0046400B" w:rsidRPr="0046400B" w:rsidRDefault="0046400B" w:rsidP="0046400B">
      <w:r w:rsidRPr="0046400B">
        <w:t>Human exposure to PFAS is nearly ubiquitous and occurs through multiple primary routes 8:</w:t>
      </w:r>
    </w:p>
    <w:p w14:paraId="017DDE83" w14:textId="77777777" w:rsidR="0046400B" w:rsidRPr="0046400B" w:rsidRDefault="0046400B" w:rsidP="0046400B">
      <w:r w:rsidRPr="0046400B">
        <w:t>1.Drinking Water: Contamination of public and private water supplies, particularly near manufacturing sites, military bases, and fire-training areas, is a major source of exposure 9.</w:t>
      </w:r>
    </w:p>
    <w:p w14:paraId="54CE0B66" w14:textId="77777777" w:rsidR="0046400B" w:rsidRPr="0046400B" w:rsidRDefault="0046400B" w:rsidP="0046400B">
      <w:r w:rsidRPr="0046400B">
        <w:t>2.Food: Ingestion of contaminated food, including fish and seafood from contaminated waters, and food packaged in materials treated with PFAS (e.g., grease-resistant paper) 10.</w:t>
      </w:r>
    </w:p>
    <w:p w14:paraId="7F9830A7" w14:textId="77777777" w:rsidR="0046400B" w:rsidRPr="0046400B" w:rsidRDefault="0046400B" w:rsidP="0046400B">
      <w:r w:rsidRPr="0046400B">
        <w:t>3.Dust and Indoor Air: Inhalation and ingestion of house dust containing PFAS shed from consumer products like carpets and upholstery 11.</w:t>
      </w:r>
    </w:p>
    <w:p w14:paraId="0C8F71DB" w14:textId="77777777" w:rsidR="0046400B" w:rsidRPr="0046400B" w:rsidRDefault="0046400B" w:rsidP="0046400B">
      <w:r w:rsidRPr="0046400B">
        <w:t>4.Dermal Absorption: While generally considered limited, some dermal exposure can occur through contact with contaminated water or products 12.</w:t>
      </w:r>
    </w:p>
    <w:p w14:paraId="760F8358"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2.2. Toxicokinetics</w:t>
      </w:r>
    </w:p>
    <w:p w14:paraId="4C2ECE4A" w14:textId="77777777" w:rsidR="0046400B" w:rsidRPr="0046400B" w:rsidRDefault="0046400B" w:rsidP="0046400B">
      <w:r w:rsidRPr="0046400B">
        <w:t>PFAS are readily absorbed and distributed throughout the body, primarily binding to serum proteins. Their toxicokinetics are characterized by significant differences between humans and laboratory animals, particularly concerning elimination half-lives 13.</w:t>
      </w:r>
    </w:p>
    <w:p w14:paraId="3AACC885" w14:textId="77777777" w:rsidR="0046400B" w:rsidRPr="0046400B" w:rsidRDefault="0046400B" w:rsidP="0046400B">
      <w:r w:rsidRPr="0046400B">
        <w:rPr>
          <w:rFonts w:ascii="Arial" w:hAnsi="Arial" w:cs="Arial"/>
        </w:rPr>
        <w:t>•</w:t>
      </w:r>
      <w:r w:rsidRPr="0046400B">
        <w:t>Bioaccumulation and Biomagnification: Long-chain PFAS, such as PFOA and PFOS, exhibit high bioaccumulation potential in humans and wildlife. They are resistant to metabolic breakdown and are primarily eliminated unchanged through the kidneys. Biomagnification, the increase in concentration at successive trophic levels, has been observed in aquatic and terrestrial food chains 14.</w:t>
      </w:r>
    </w:p>
    <w:p w14:paraId="119575C7" w14:textId="77777777" w:rsidR="0046400B" w:rsidRPr="0046400B" w:rsidRDefault="0046400B" w:rsidP="0046400B">
      <w:r w:rsidRPr="0046400B">
        <w:rPr>
          <w:rFonts w:ascii="Arial" w:hAnsi="Arial" w:cs="Arial"/>
        </w:rPr>
        <w:t>•</w:t>
      </w:r>
      <w:r w:rsidRPr="0046400B">
        <w:t>Serum Half-Lives: The most striking toxicokinetic difference is the elimination half-life ($T_{1/2}$). In humans, the estimated serum half-lives for legacy PFAS are exceptionally long, reflecting their persistence 15:</w:t>
      </w:r>
    </w:p>
    <w:p w14:paraId="2DD41681" w14:textId="77777777" w:rsidR="0046400B" w:rsidRPr="0046400B" w:rsidRDefault="0046400B" w:rsidP="0046400B">
      <w:r w:rsidRPr="0046400B">
        <w:rPr>
          <w:rFonts w:ascii="Arial" w:hAnsi="Arial" w:cs="Arial"/>
        </w:rPr>
        <w:t>•</w:t>
      </w:r>
      <w:r w:rsidRPr="0046400B">
        <w:t>PFOA: Estimated human $T_{1/2}$ ranges from approximately 2.1 to 4 years.</w:t>
      </w:r>
    </w:p>
    <w:p w14:paraId="3C702A15" w14:textId="77777777" w:rsidR="0046400B" w:rsidRPr="0046400B" w:rsidRDefault="0046400B" w:rsidP="0046400B">
      <w:r w:rsidRPr="0046400B">
        <w:rPr>
          <w:rFonts w:ascii="Arial" w:hAnsi="Arial" w:cs="Arial"/>
        </w:rPr>
        <w:t>•</w:t>
      </w:r>
      <w:r w:rsidRPr="0046400B">
        <w:t>PFOS: Estimated human $T_{1/2}$ ranges from approximately 3.3 to 7 years.</w:t>
      </w:r>
    </w:p>
    <w:p w14:paraId="360B2B97" w14:textId="77777777" w:rsidR="0046400B" w:rsidRPr="0046400B" w:rsidRDefault="0046400B" w:rsidP="0046400B">
      <w:r w:rsidRPr="0046400B">
        <w:rPr>
          <w:rFonts w:ascii="Arial" w:hAnsi="Arial" w:cs="Arial"/>
        </w:rPr>
        <w:t>•</w:t>
      </w:r>
      <w:r w:rsidRPr="0046400B">
        <w:t>Animal Data Discrepancy: In contrast, the half-lives in common laboratory animals (e.g., rats, mice) are typically much shorter, often measured in days or weeks 15. This discrepancy is a critical consideration when extrapolating animal toxicity data to human risk assessment, as it suggests that animals clear the compounds much faster, potentially requiring higher doses to achieve equivalent human body burdens.</w:t>
      </w:r>
    </w:p>
    <w:p w14:paraId="65941007"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3. System-Specific Health Impacts (The Core Analysis)</w:t>
      </w:r>
    </w:p>
    <w:p w14:paraId="7C37C404" w14:textId="77777777" w:rsidR="0046400B" w:rsidRPr="0046400B" w:rsidRDefault="0046400B" w:rsidP="0046400B">
      <w:r w:rsidRPr="0046400B">
        <w:t>The evaluation of health impacts is based on the weight of evidence from major regulatory and scientific assessments, including the U.S. Environmental Protection Agency (EPA), the International Agency for Research on Cancer (IARC), and the European Food Safety Authority (EFSA).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586"/>
        <w:gridCol w:w="2238"/>
        <w:gridCol w:w="3722"/>
      </w:tblGrid>
      <w:tr w:rsidR="0046400B" w:rsidRPr="0046400B" w14:paraId="1BA1CF01" w14:textId="77777777">
        <w:trPr>
          <w:tblCellSpacing w:w="15" w:type="dxa"/>
        </w:trPr>
        <w:tc>
          <w:tcPr>
            <w:tcW w:w="0" w:type="auto"/>
            <w:vAlign w:val="center"/>
            <w:hideMark/>
          </w:tcPr>
          <w:p w14:paraId="0267C7BD" w14:textId="77777777" w:rsidR="0046400B" w:rsidRPr="0046400B" w:rsidRDefault="0046400B" w:rsidP="0046400B">
            <w:r w:rsidRPr="0046400B">
              <w:lastRenderedPageBreak/>
              <w:t>Health Endpoint</w:t>
            </w:r>
          </w:p>
        </w:tc>
        <w:tc>
          <w:tcPr>
            <w:tcW w:w="0" w:type="auto"/>
            <w:vAlign w:val="center"/>
            <w:hideMark/>
          </w:tcPr>
          <w:p w14:paraId="626661EB" w14:textId="77777777" w:rsidR="0046400B" w:rsidRPr="0046400B" w:rsidRDefault="0046400B" w:rsidP="0046400B">
            <w:r w:rsidRPr="0046400B">
              <w:t>Legacy PFAS (PFOA/PFOS)</w:t>
            </w:r>
          </w:p>
        </w:tc>
        <w:tc>
          <w:tcPr>
            <w:tcW w:w="0" w:type="auto"/>
            <w:vAlign w:val="center"/>
            <w:hideMark/>
          </w:tcPr>
          <w:p w14:paraId="0CC7606C" w14:textId="77777777" w:rsidR="0046400B" w:rsidRPr="0046400B" w:rsidRDefault="0046400B" w:rsidP="0046400B">
            <w:r w:rsidRPr="0046400B">
              <w:t>Evidence Classification (Based on Regulatory Consensus)</w:t>
            </w:r>
          </w:p>
        </w:tc>
        <w:tc>
          <w:tcPr>
            <w:tcW w:w="0" w:type="auto"/>
            <w:vAlign w:val="center"/>
            <w:hideMark/>
          </w:tcPr>
          <w:p w14:paraId="57CAD6DD" w14:textId="77777777" w:rsidR="0046400B" w:rsidRPr="0046400B" w:rsidRDefault="0046400B" w:rsidP="0046400B">
            <w:r w:rsidRPr="0046400B">
              <w:t>Key Findings &amp; Discrepancies</w:t>
            </w:r>
          </w:p>
        </w:tc>
      </w:tr>
      <w:tr w:rsidR="0046400B" w:rsidRPr="0046400B" w14:paraId="022FD592" w14:textId="77777777">
        <w:trPr>
          <w:tblCellSpacing w:w="15" w:type="dxa"/>
        </w:trPr>
        <w:tc>
          <w:tcPr>
            <w:tcW w:w="0" w:type="auto"/>
            <w:vAlign w:val="center"/>
            <w:hideMark/>
          </w:tcPr>
          <w:p w14:paraId="298F105D" w14:textId="77777777" w:rsidR="0046400B" w:rsidRPr="0046400B" w:rsidRDefault="0046400B" w:rsidP="0046400B">
            <w:r w:rsidRPr="0046400B">
              <w:t>Immunotoxicity</w:t>
            </w:r>
          </w:p>
        </w:tc>
        <w:tc>
          <w:tcPr>
            <w:tcW w:w="0" w:type="auto"/>
            <w:vAlign w:val="center"/>
            <w:hideMark/>
          </w:tcPr>
          <w:p w14:paraId="70737FB2" w14:textId="77777777" w:rsidR="0046400B" w:rsidRPr="0046400B" w:rsidRDefault="0046400B" w:rsidP="0046400B">
            <w:r w:rsidRPr="0046400B">
              <w:t>PFOA, PFOS</w:t>
            </w:r>
          </w:p>
        </w:tc>
        <w:tc>
          <w:tcPr>
            <w:tcW w:w="0" w:type="auto"/>
            <w:vAlign w:val="center"/>
            <w:hideMark/>
          </w:tcPr>
          <w:p w14:paraId="19F6CD8C" w14:textId="77777777" w:rsidR="0046400B" w:rsidRPr="0046400B" w:rsidRDefault="0046400B" w:rsidP="0046400B">
            <w:r w:rsidRPr="0046400B">
              <w:t>Sufficient Evidence (Human) 16</w:t>
            </w:r>
          </w:p>
        </w:tc>
        <w:tc>
          <w:tcPr>
            <w:tcW w:w="0" w:type="auto"/>
            <w:vAlign w:val="center"/>
            <w:hideMark/>
          </w:tcPr>
          <w:p w14:paraId="2C382D55" w14:textId="77777777" w:rsidR="0046400B" w:rsidRPr="0046400B" w:rsidRDefault="0046400B" w:rsidP="0046400B">
            <w:r w:rsidRPr="0046400B">
              <w:t>Strongest human evidence is reduced antibody production following vaccination (e.g., in children) 17. Considered a highly sensitive endpoint for PFAS toxicity.</w:t>
            </w:r>
          </w:p>
        </w:tc>
      </w:tr>
      <w:tr w:rsidR="0046400B" w:rsidRPr="0046400B" w14:paraId="41B046B7" w14:textId="77777777">
        <w:trPr>
          <w:tblCellSpacing w:w="15" w:type="dxa"/>
        </w:trPr>
        <w:tc>
          <w:tcPr>
            <w:tcW w:w="0" w:type="auto"/>
            <w:vAlign w:val="center"/>
            <w:hideMark/>
          </w:tcPr>
          <w:p w14:paraId="002104A8" w14:textId="77777777" w:rsidR="0046400B" w:rsidRPr="0046400B" w:rsidRDefault="0046400B" w:rsidP="0046400B">
            <w:r w:rsidRPr="0046400B">
              <w:t>Carcinogenicity</w:t>
            </w:r>
          </w:p>
        </w:tc>
        <w:tc>
          <w:tcPr>
            <w:tcW w:w="0" w:type="auto"/>
            <w:vAlign w:val="center"/>
            <w:hideMark/>
          </w:tcPr>
          <w:p w14:paraId="0DBC4082" w14:textId="77777777" w:rsidR="0046400B" w:rsidRPr="0046400B" w:rsidRDefault="0046400B" w:rsidP="0046400B">
            <w:r w:rsidRPr="0046400B">
              <w:t>PFOA, PFOS</w:t>
            </w:r>
          </w:p>
        </w:tc>
        <w:tc>
          <w:tcPr>
            <w:tcW w:w="0" w:type="auto"/>
            <w:vAlign w:val="center"/>
            <w:hideMark/>
          </w:tcPr>
          <w:p w14:paraId="0A036A6E" w14:textId="77777777" w:rsidR="0046400B" w:rsidRPr="0046400B" w:rsidRDefault="0046400B" w:rsidP="0046400B">
            <w:r w:rsidRPr="0046400B">
              <w:t>Limited/Suggestive Evidence (Human) 18</w:t>
            </w:r>
          </w:p>
        </w:tc>
        <w:tc>
          <w:tcPr>
            <w:tcW w:w="0" w:type="auto"/>
            <w:vAlign w:val="center"/>
            <w:hideMark/>
          </w:tcPr>
          <w:p w14:paraId="4016B1D0" w14:textId="77777777" w:rsidR="0046400B" w:rsidRPr="0046400B" w:rsidRDefault="0046400B" w:rsidP="0046400B">
            <w:r w:rsidRPr="0046400B">
              <w:t>IARC classifies PFOA as Group 2B (possibly carcinogenic to humans) and PFOS as Group 3 (not classifiable as to its carcinogenicity to humans) 19. Human data links PFOA/PFOS to kidney and testicular cancer. Animal studies show liver, testicular, and mammary gland tumors 20.</w:t>
            </w:r>
          </w:p>
        </w:tc>
      </w:tr>
      <w:tr w:rsidR="0046400B" w:rsidRPr="0046400B" w14:paraId="34CD1CF5" w14:textId="77777777">
        <w:trPr>
          <w:tblCellSpacing w:w="15" w:type="dxa"/>
        </w:trPr>
        <w:tc>
          <w:tcPr>
            <w:tcW w:w="0" w:type="auto"/>
            <w:vAlign w:val="center"/>
            <w:hideMark/>
          </w:tcPr>
          <w:p w14:paraId="22959F44" w14:textId="77777777" w:rsidR="0046400B" w:rsidRPr="0046400B" w:rsidRDefault="0046400B" w:rsidP="0046400B">
            <w:r w:rsidRPr="0046400B">
              <w:t>Developmental &amp; Reproductive Toxicity</w:t>
            </w:r>
          </w:p>
        </w:tc>
        <w:tc>
          <w:tcPr>
            <w:tcW w:w="0" w:type="auto"/>
            <w:vAlign w:val="center"/>
            <w:hideMark/>
          </w:tcPr>
          <w:p w14:paraId="610BC3CD" w14:textId="77777777" w:rsidR="0046400B" w:rsidRPr="0046400B" w:rsidRDefault="0046400B" w:rsidP="0046400B">
            <w:r w:rsidRPr="0046400B">
              <w:t>PFOA, PFOS</w:t>
            </w:r>
          </w:p>
        </w:tc>
        <w:tc>
          <w:tcPr>
            <w:tcW w:w="0" w:type="auto"/>
            <w:vAlign w:val="center"/>
            <w:hideMark/>
          </w:tcPr>
          <w:p w14:paraId="1B636FFC" w14:textId="77777777" w:rsidR="0046400B" w:rsidRPr="0046400B" w:rsidRDefault="0046400B" w:rsidP="0046400B">
            <w:r w:rsidRPr="0046400B">
              <w:t>Limited/Suggestive Evidence (Human) 21</w:t>
            </w:r>
          </w:p>
        </w:tc>
        <w:tc>
          <w:tcPr>
            <w:tcW w:w="0" w:type="auto"/>
            <w:vAlign w:val="center"/>
            <w:hideMark/>
          </w:tcPr>
          <w:p w14:paraId="50CBC839" w14:textId="77777777" w:rsidR="0046400B" w:rsidRPr="0046400B" w:rsidRDefault="0046400B" w:rsidP="0046400B">
            <w:r w:rsidRPr="0046400B">
              <w:t>Epidemiological studies link exposure to decreased fetal growth (low birth weight), pre-eclampsia, and altered pubertal timing 22. Animal studies show a wider range of effects, including fetal loss and skeletal variations.</w:t>
            </w:r>
          </w:p>
        </w:tc>
      </w:tr>
      <w:tr w:rsidR="0046400B" w:rsidRPr="0046400B" w14:paraId="570A9F20" w14:textId="77777777">
        <w:trPr>
          <w:tblCellSpacing w:w="15" w:type="dxa"/>
        </w:trPr>
        <w:tc>
          <w:tcPr>
            <w:tcW w:w="0" w:type="auto"/>
            <w:vAlign w:val="center"/>
            <w:hideMark/>
          </w:tcPr>
          <w:p w14:paraId="3BDCAC36" w14:textId="77777777" w:rsidR="0046400B" w:rsidRPr="0046400B" w:rsidRDefault="0046400B" w:rsidP="0046400B">
            <w:r w:rsidRPr="0046400B">
              <w:t>Metabolic &amp; Endocrine Disruption</w:t>
            </w:r>
          </w:p>
        </w:tc>
        <w:tc>
          <w:tcPr>
            <w:tcW w:w="0" w:type="auto"/>
            <w:vAlign w:val="center"/>
            <w:hideMark/>
          </w:tcPr>
          <w:p w14:paraId="1BC758DA" w14:textId="77777777" w:rsidR="0046400B" w:rsidRPr="0046400B" w:rsidRDefault="0046400B" w:rsidP="0046400B">
            <w:r w:rsidRPr="0046400B">
              <w:t>PFOA, PFOS</w:t>
            </w:r>
          </w:p>
        </w:tc>
        <w:tc>
          <w:tcPr>
            <w:tcW w:w="0" w:type="auto"/>
            <w:vAlign w:val="center"/>
            <w:hideMark/>
          </w:tcPr>
          <w:p w14:paraId="49A876BD" w14:textId="77777777" w:rsidR="0046400B" w:rsidRPr="0046400B" w:rsidRDefault="0046400B" w:rsidP="0046400B">
            <w:r w:rsidRPr="0046400B">
              <w:t>Sufficient Evidence (Human) 23</w:t>
            </w:r>
          </w:p>
        </w:tc>
        <w:tc>
          <w:tcPr>
            <w:tcW w:w="0" w:type="auto"/>
            <w:vAlign w:val="center"/>
            <w:hideMark/>
          </w:tcPr>
          <w:p w14:paraId="5EE01ECE" w14:textId="77777777" w:rsidR="0046400B" w:rsidRPr="0046400B" w:rsidRDefault="0046400B" w:rsidP="0046400B">
            <w:r w:rsidRPr="0046400B">
              <w:t>Consistent association with altered lipid metabolism (increased total and LDL cholesterol) and changes in liver enzyme levels 24. Evidence also supports links to thyroid disease and potential interference with sex hormones 25.</w:t>
            </w:r>
          </w:p>
        </w:tc>
      </w:tr>
    </w:tbl>
    <w:p w14:paraId="4D8763BE"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3.1. Immunotoxicity</w:t>
      </w:r>
    </w:p>
    <w:p w14:paraId="5E0A570C" w14:textId="77777777" w:rsidR="0046400B" w:rsidRPr="0046400B" w:rsidRDefault="0046400B" w:rsidP="0046400B">
      <w:r w:rsidRPr="0046400B">
        <w:t>Immunotoxicity is recognized as one of the most sensitive endpoints for PFAS exposure. The most compelling human evidence is the association between elevated serum PFAS levels and a reduced antibody response to routine childhood vaccines (e.g., diphtheria and tetanus) 17. This effect, particularly noted in children, suggests a compromised immune system function, even at relatively low exposure levels.</w:t>
      </w:r>
    </w:p>
    <w:p w14:paraId="4DBA5E32"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3.2. Carcinogenicity</w:t>
      </w:r>
    </w:p>
    <w:p w14:paraId="01BC8127" w14:textId="77777777" w:rsidR="0046400B" w:rsidRPr="0046400B" w:rsidRDefault="0046400B" w:rsidP="0046400B">
      <w:r w:rsidRPr="0046400B">
        <w:t xml:space="preserve">The evidence for carcinogenicity is strong in animal models, where PFOA and PFOS exposure has been linked to tumors in the liver, testes, and mammary glands 20. In humans, </w:t>
      </w:r>
      <w:r w:rsidRPr="0046400B">
        <w:lastRenderedPageBreak/>
        <w:t>epidemiological studies, notably from highly exposed communities, have shown associations with kidney cancer and testicular cancer 18. The IARC classification reflects the current weight of evidence: PFOA is classified as Group 2B (possibly carcinogenic to humans), while PFOS is classified as Group 3 (not classifiable as to its carcinogenicity to humans) 19.</w:t>
      </w:r>
    </w:p>
    <w:p w14:paraId="37B3789B"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3.3. Developmental &amp; Reproductive Toxicity</w:t>
      </w:r>
    </w:p>
    <w:p w14:paraId="7B269811" w14:textId="77777777" w:rsidR="0046400B" w:rsidRPr="0046400B" w:rsidRDefault="0046400B" w:rsidP="0046400B">
      <w:r w:rsidRPr="0046400B">
        <w:t>PFAS readily cross the placenta and are transferred through breast milk, leading to in utero and early-life exposure 26. Key findings include an association with low birth weight and other markers of decreased fetal growth. Reproductive outcomes linked to PFAS exposure include increased risk of pre-eclampsia and altered fertility parameters, such as reduced semen quality and abnormal menstrual cycles 22.</w:t>
      </w:r>
    </w:p>
    <w:p w14:paraId="12A4B924"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3.4. Metabolic &amp; Endocrine Disruption</w:t>
      </w:r>
    </w:p>
    <w:p w14:paraId="545F6262" w14:textId="77777777" w:rsidR="0046400B" w:rsidRPr="0046400B" w:rsidRDefault="0046400B" w:rsidP="0046400B">
      <w:r w:rsidRPr="0046400B">
        <w:t>PFAS are classified as endocrine-disrupting chemicals (EDCs) due to their ability to interfere with hormone systems 25. The most consistent and robust human finding is the association with dyslipidemia, specifically elevated total and low-density lipoprotein (LDL) cholesterol levels 24. Furthermore, PFAS exposure is linked to alterations in thyroid hormone homeostasis and liver enzyme levels, such as alanine aminotransferase (ALT), indicating potential hepatotoxicity 24.</w:t>
      </w:r>
    </w:p>
    <w:p w14:paraId="6A4E2E4E"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4. Mechanisms of Action</w:t>
      </w:r>
    </w:p>
    <w:p w14:paraId="545344F8" w14:textId="77777777" w:rsidR="0046400B" w:rsidRPr="0046400B" w:rsidRDefault="0046400B" w:rsidP="0046400B">
      <w:r w:rsidRPr="0046400B">
        <w:t>The biological plausibility of the observed health effects is supported by several proposed mechanisms of action:</w:t>
      </w:r>
    </w:p>
    <w:p w14:paraId="1989C7BF" w14:textId="77777777" w:rsidR="0046400B" w:rsidRPr="0046400B" w:rsidRDefault="0046400B" w:rsidP="0046400B">
      <w:r w:rsidRPr="0046400B">
        <w:rPr>
          <w:rFonts w:ascii="Arial" w:hAnsi="Arial" w:cs="Arial"/>
        </w:rPr>
        <w:t>•</w:t>
      </w:r>
      <w:r w:rsidRPr="0046400B">
        <w:t>Peroxisome Proliferator-Activated Receptor Alpha (PPAR-$\alpha$) Activation: This is a well-established mechanism, particularly for PFOA and PFOS in rodents 4. PPAR-$\alpha$ is a nuclear receptor that regulates lipid metabolism, cell proliferation, and differentiation. Activation of this receptor is thought to drive the observed hepatotoxicity and metabolic changes in animals, though the relevance of this mechanism is debated in humans, as humans express lower levels of PPAR-$\alpha$ in the liver compared to rodents 27.</w:t>
      </w:r>
    </w:p>
    <w:p w14:paraId="55C0A235" w14:textId="77777777" w:rsidR="0046400B" w:rsidRPr="0046400B" w:rsidRDefault="0046400B" w:rsidP="0046400B">
      <w:r w:rsidRPr="0046400B">
        <w:rPr>
          <w:rFonts w:ascii="Arial" w:hAnsi="Arial" w:cs="Arial"/>
        </w:rPr>
        <w:t>•</w:t>
      </w:r>
      <w:r w:rsidRPr="0046400B">
        <w:t>Oxidative Stress: Many PFAS compounds, including short-chain alternatives, have been shown to induce oxidative stress by increasing reactive oxygen species (ROS) and depleting antioxidant defenses 28. This mechanism is implicated in immunotoxicity, hepatotoxicity, and genotoxicity.</w:t>
      </w:r>
    </w:p>
    <w:p w14:paraId="5A1BB174" w14:textId="77777777" w:rsidR="0046400B" w:rsidRPr="0046400B" w:rsidRDefault="0046400B" w:rsidP="0046400B">
      <w:r w:rsidRPr="0046400B">
        <w:rPr>
          <w:rFonts w:ascii="Arial" w:hAnsi="Arial" w:cs="Arial"/>
        </w:rPr>
        <w:t>•</w:t>
      </w:r>
      <w:r w:rsidRPr="0046400B">
        <w:t>Epigenetics: Emerging research highlights the role of PFAS in altering epigenetic mechanisms, such as DNA methylation, histone modification, and non-coding RNA expression 29. In utero exposure to PFAS has been shown to alter fetal epigenetics, suggesting a mechanism for long-term, transgenerational health effects 30.</w:t>
      </w:r>
    </w:p>
    <w:p w14:paraId="7373A60D"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5. The "GenX" Problem</w:t>
      </w:r>
    </w:p>
    <w:p w14:paraId="36B624AE" w14:textId="77777777" w:rsidR="0046400B" w:rsidRPr="0046400B" w:rsidRDefault="0046400B" w:rsidP="0046400B">
      <w:r w:rsidRPr="0046400B">
        <w:t>The phase-out of PFOA and PFOS led to the introduction of replacement compounds, such as GenX (a trade name for the short-chain perfluoroether carboxylic acid, HFPO-DA) and PFBS (perfluorobutane sulfonic acid). These replacements were designed to be less bioaccumulative due to their shorter chain lengths.</w:t>
      </w:r>
    </w:p>
    <w:p w14:paraId="04A9E6AE" w14:textId="77777777" w:rsidR="0046400B" w:rsidRPr="0046400B" w:rsidRDefault="0046400B" w:rsidP="0046400B">
      <w:r w:rsidRPr="0046400B">
        <w:lastRenderedPageBreak/>
        <w:t>However, a growing body of evidence suggests that these replacements exhibit similar toxicity profiles to their predecessors, a phenomenon termed "regrettable substitution" 31.</w:t>
      </w:r>
    </w:p>
    <w:p w14:paraId="05034EEC" w14:textId="77777777" w:rsidR="0046400B" w:rsidRPr="0046400B" w:rsidRDefault="0046400B" w:rsidP="0046400B">
      <w:r w:rsidRPr="0046400B">
        <w:rPr>
          <w:rFonts w:ascii="Arial" w:hAnsi="Arial" w:cs="Arial"/>
        </w:rPr>
        <w:t>•</w:t>
      </w:r>
      <w:r w:rsidRPr="0046400B">
        <w:t>Toxicity Profile: Toxicological assessments have found that GenX and PFBS are linked to similar health harms, including effects on the liver, kidney, and immune system 32. The EPA's own assessments have indicated that GenX is nearly as toxic as PFOA and PFOS, with some studies suggesting it may be even more toxic in certain endpoints 33.</w:t>
      </w:r>
    </w:p>
    <w:p w14:paraId="6AF75F91" w14:textId="77777777" w:rsidR="0046400B" w:rsidRPr="0046400B" w:rsidRDefault="0046400B" w:rsidP="0046400B">
      <w:r w:rsidRPr="0046400B">
        <w:rPr>
          <w:rFonts w:ascii="Arial" w:hAnsi="Arial" w:cs="Arial"/>
        </w:rPr>
        <w:t>•</w:t>
      </w:r>
      <w:r w:rsidRPr="0046400B">
        <w:t>Toxicokinetics: While short-chain PFAS have shorter human half-lives, their increased mobility in water makes them harder to remove from drinking water sources, leading to persistent exposure 34. The substitution, therefore, did not eliminate the hazard but merely altered the toxicokinetic profile and environmental fate, without a clear reduction in intrinsic toxicity.</w:t>
      </w:r>
    </w:p>
    <w:p w14:paraId="2F1A217B"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6. Regulatory Context &amp; Knowledge Gaps</w:t>
      </w:r>
    </w:p>
    <w:p w14:paraId="1883436D"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6.1. Regulatory Context</w:t>
      </w:r>
    </w:p>
    <w:p w14:paraId="7EBE7AF8" w14:textId="77777777" w:rsidR="0046400B" w:rsidRPr="0046400B" w:rsidRDefault="0046400B" w:rsidP="0046400B">
      <w:r w:rsidRPr="0046400B">
        <w:t>Regulatory bodies worldwide are moving to establish enforceable limits for PFAS in drinking water.</w:t>
      </w:r>
    </w:p>
    <w:p w14:paraId="6C807C25" w14:textId="77777777" w:rsidR="0046400B" w:rsidRPr="0046400B" w:rsidRDefault="0046400B" w:rsidP="0046400B">
      <w:r w:rsidRPr="0046400B">
        <w:rPr>
          <w:rFonts w:ascii="Arial" w:hAnsi="Arial" w:cs="Arial"/>
        </w:rPr>
        <w:t>•</w:t>
      </w:r>
      <w:r w:rsidRPr="0046400B">
        <w:t>US EPA: The EPA has proposed Maximum Contaminant Levels (MCLs) for PFOA and PFOS at 4 parts per trillion (ppt), individually 35. Critically, the EPA has also proposed a Hazard Index approach to regulate mixtures of other PFAS (including PFHxS, PFNA, HFPO-DA/GenX, and PFBS), recognizing the cumulative risk posed by co-occurring contaminants 35.</w:t>
      </w:r>
    </w:p>
    <w:p w14:paraId="1827819E" w14:textId="77777777" w:rsidR="0046400B" w:rsidRPr="0046400B" w:rsidRDefault="0046400B" w:rsidP="0046400B">
      <w:r w:rsidRPr="0046400B">
        <w:rPr>
          <w:rFonts w:ascii="Arial" w:hAnsi="Arial" w:cs="Arial"/>
        </w:rPr>
        <w:t>•</w:t>
      </w:r>
      <w:r w:rsidRPr="0046400B">
        <w:t>EU REACH: The European Union's REACH regulation is moving toward broad restrictions on the manufacture, placing on the market, and use of a wide range of PFASs, aiming for a near-total ban on the entire class of chemicals 36.</w:t>
      </w:r>
    </w:p>
    <w:p w14:paraId="3EA44CB6" w14:textId="77777777" w:rsidR="0046400B" w:rsidRPr="0046400B" w:rsidRDefault="0046400B" w:rsidP="0046400B">
      <w:pPr>
        <w:spacing w:before="100" w:beforeAutospacing="1" w:after="100" w:afterAutospacing="1"/>
        <w:outlineLvl w:val="2"/>
        <w:rPr>
          <w:b/>
          <w:bCs/>
          <w:sz w:val="27"/>
          <w:szCs w:val="27"/>
        </w:rPr>
      </w:pPr>
      <w:r w:rsidRPr="0046400B">
        <w:rPr>
          <w:b/>
          <w:bCs/>
          <w:sz w:val="27"/>
          <w:szCs w:val="27"/>
        </w:rPr>
        <w:t>6.2. Knowledge Gaps</w:t>
      </w:r>
    </w:p>
    <w:p w14:paraId="401FB271" w14:textId="77777777" w:rsidR="0046400B" w:rsidRPr="0046400B" w:rsidRDefault="0046400B" w:rsidP="0046400B">
      <w:r w:rsidRPr="0046400B">
        <w:t>Despite significant research, critical knowledge gaps remain that impede comprehensive risk assessment:</w:t>
      </w:r>
    </w:p>
    <w:p w14:paraId="1B0D681A" w14:textId="77777777" w:rsidR="0046400B" w:rsidRPr="0046400B" w:rsidRDefault="0046400B" w:rsidP="0046400B">
      <w:r w:rsidRPr="0046400B">
        <w:rPr>
          <w:rFonts w:ascii="Arial" w:hAnsi="Arial" w:cs="Arial"/>
        </w:rPr>
        <w:t>•</w:t>
      </w:r>
      <w:r w:rsidRPr="0046400B">
        <w:t>Mixture Toxicity: The vast majority of human exposure involves complex mixtures of dozens of PFAS compounds, yet most toxicological studies focus on single compounds 37. Understanding the synergistic or additive effects of these mixtures is paramount, a challenge the EPA's new framework attempts to address.</w:t>
      </w:r>
    </w:p>
    <w:p w14:paraId="6C5F791F" w14:textId="77777777" w:rsidR="0046400B" w:rsidRPr="0046400B" w:rsidRDefault="0046400B" w:rsidP="0046400B">
      <w:r w:rsidRPr="0046400B">
        <w:rPr>
          <w:rFonts w:ascii="Arial" w:hAnsi="Arial" w:cs="Arial"/>
        </w:rPr>
        <w:t>•</w:t>
      </w:r>
      <w:r w:rsidRPr="0046400B">
        <w:t>Toxicity of Novel and Unknown PFAS: Thousands of PFAS exist, and the toxicity data for the vast majority of these, especially novel replacements and precursors, are lacking 38.</w:t>
      </w:r>
    </w:p>
    <w:p w14:paraId="25B685A3" w14:textId="77777777" w:rsidR="0046400B" w:rsidRPr="0046400B" w:rsidRDefault="0046400B" w:rsidP="0046400B">
      <w:r w:rsidRPr="0046400B">
        <w:rPr>
          <w:rFonts w:ascii="Arial" w:hAnsi="Arial" w:cs="Arial"/>
        </w:rPr>
        <w:t>•</w:t>
      </w:r>
      <w:r w:rsidRPr="0046400B">
        <w:t>Human Relevance of PPAR-$\alpha$ Activation: Further clarification is needed on the exact role of PPAR-$\alpha$ in human PFAS toxicity to improve the extrapolation of rodent data.</w:t>
      </w:r>
    </w:p>
    <w:p w14:paraId="66317CEE"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7. Conclusion</w:t>
      </w:r>
    </w:p>
    <w:p w14:paraId="13929194" w14:textId="77777777" w:rsidR="0046400B" w:rsidRPr="0046400B" w:rsidRDefault="0046400B" w:rsidP="0046400B">
      <w:r w:rsidRPr="0046400B">
        <w:t xml:space="preserve">The weight of evidence from both epidemiological and toxicological studies confirms that exposure to PFASs, including both legacy and emerging compounds, poses a significant public health risk. The most robust human evidence points to immunotoxicity (reduced vaccine response), metabolic disruption (dyslipidemia), and associations with kidney and testicular cancer. The stark difference in serum half-lives between humans and animals necessitates </w:t>
      </w:r>
      <w:r w:rsidRPr="0046400B">
        <w:lastRenderedPageBreak/>
        <w:t>caution in relying solely on animal toxicity data for human risk assessment. The emergence of replacements like GenX and PFBS, which demonstrate similar intrinsic toxicity, highlights the failure of a compound-by-compound regulatory approach and the urgent need to regulate PFAS as a class. Future research must prioritize the assessment of mixture toxicity and the health effects of the thousands of understudied PFAS to inform effective public health interventions and regulatory policy.</w:t>
      </w:r>
    </w:p>
    <w:p w14:paraId="78E78971" w14:textId="77777777" w:rsidR="0046400B" w:rsidRPr="0046400B" w:rsidRDefault="0046400B" w:rsidP="0046400B">
      <w:pPr>
        <w:spacing w:before="100" w:beforeAutospacing="1" w:after="100" w:afterAutospacing="1"/>
        <w:outlineLvl w:val="1"/>
        <w:rPr>
          <w:b/>
          <w:bCs/>
          <w:sz w:val="36"/>
          <w:szCs w:val="36"/>
        </w:rPr>
      </w:pPr>
      <w:r w:rsidRPr="0046400B">
        <w:rPr>
          <w:b/>
          <w:bCs/>
          <w:sz w:val="36"/>
          <w:szCs w:val="36"/>
        </w:rPr>
        <w:t>References</w:t>
      </w:r>
    </w:p>
    <w:p w14:paraId="6590BA78" w14:textId="77777777" w:rsidR="0046400B" w:rsidRPr="0046400B" w:rsidRDefault="0046400B" w:rsidP="0046400B">
      <w:hyperlink r:id="rId63" w:tgtFrame="_blank" w:history="1">
        <w:r w:rsidRPr="0046400B">
          <w:rPr>
            <w:color w:val="0000FF"/>
            <w:u w:val="single"/>
          </w:rPr>
          <w:t>[1] Fenton, S. E., Reiner, J. L., Nakayama, S. F., McHale, C. M., Lindstrom, A. B., &amp; Ryan, K. R. (2020). Per- and Polyfluoroalkyl Substance Toxicity and Human Health Review. Environmental Science &amp; Technology, 54(17), 10393–10411.</w:t>
        </w:r>
      </w:hyperlink>
    </w:p>
    <w:p w14:paraId="7C4E88B3" w14:textId="77777777" w:rsidR="0046400B" w:rsidRPr="0046400B" w:rsidRDefault="0046400B" w:rsidP="0046400B">
      <w:hyperlink r:id="rId64" w:tgtFrame="_blank" w:history="1">
        <w:r w:rsidRPr="0046400B">
          <w:rPr>
            <w:color w:val="0000FF"/>
            <w:u w:val="single"/>
          </w:rPr>
          <w:t>[2] Agency for Toxic Substances and Disease Registry (ATSDR). (2024). Health Effects: PFAS Information for Clinicians. Centers for Disease Control and Prevention.</w:t>
        </w:r>
      </w:hyperlink>
    </w:p>
    <w:p w14:paraId="6BDF2593" w14:textId="77777777" w:rsidR="0046400B" w:rsidRPr="0046400B" w:rsidRDefault="0046400B" w:rsidP="0046400B">
      <w:hyperlink r:id="rId65" w:tgtFrame="_blank" w:history="1">
        <w:r w:rsidRPr="0046400B">
          <w:rPr>
            <w:color w:val="0000FF"/>
            <w:u w:val="single"/>
          </w:rPr>
          <w:t>[3] Mišľanová, C., et al. (2025). Health Impacts of Per- and Polyfluoroalkyl Substances (PFASs): A Comprehensive Review. International Journal of Environmental Research and Public Health, 22(4), 573.</w:t>
        </w:r>
      </w:hyperlink>
    </w:p>
    <w:p w14:paraId="6AB15DA1" w14:textId="77777777" w:rsidR="0046400B" w:rsidRPr="0046400B" w:rsidRDefault="0046400B" w:rsidP="0046400B">
      <w:hyperlink r:id="rId66" w:tgtFrame="_blank" w:history="1">
        <w:r w:rsidRPr="0046400B">
          <w:rPr>
            <w:color w:val="0000FF"/>
            <w:u w:val="single"/>
          </w:rPr>
          <w:t>[4] Fenton, S. E., et al. (2020). Per- and Polyfluoroalkyl Substance Toxicity and Human Health Review. Environmental Science &amp; Technology, 54(17), 10393–10411.</w:t>
        </w:r>
      </w:hyperlink>
    </w:p>
    <w:p w14:paraId="3161D29D" w14:textId="77777777" w:rsidR="0046400B" w:rsidRPr="0046400B" w:rsidRDefault="0046400B" w:rsidP="0046400B">
      <w:hyperlink r:id="rId67" w:tgtFrame="_blank" w:history="1">
        <w:r w:rsidRPr="0046400B">
          <w:rPr>
            <w:color w:val="0000FF"/>
            <w:u w:val="single"/>
          </w:rPr>
          <w:t>[5] Interstate Technology and Regulatory Council (ITRC). (n.d.). 2.2 Chemistry, Terminology, and Acronyms. PFAS-1.</w:t>
        </w:r>
      </w:hyperlink>
    </w:p>
    <w:p w14:paraId="10D9A4CF" w14:textId="77777777" w:rsidR="0046400B" w:rsidRPr="0046400B" w:rsidRDefault="0046400B" w:rsidP="0046400B">
      <w:hyperlink r:id="rId68" w:tgtFrame="_blank" w:history="1">
        <w:r w:rsidRPr="0046400B">
          <w:rPr>
            <w:color w:val="0000FF"/>
            <w:u w:val="single"/>
          </w:rPr>
          <w:t>[6] Wee, S. Y., et al. (2023). Revisiting the “forever chemicals”, PFOA and PFOS. Nature Reviews Earth &amp; Environment, 4(10), 665–680.</w:t>
        </w:r>
      </w:hyperlink>
    </w:p>
    <w:p w14:paraId="08944F87" w14:textId="77777777" w:rsidR="0046400B" w:rsidRPr="0046400B" w:rsidRDefault="0046400B" w:rsidP="0046400B">
      <w:hyperlink r:id="rId69" w:tgtFrame="_blank" w:history="1">
        <w:r w:rsidRPr="0046400B">
          <w:rPr>
            <w:color w:val="0000FF"/>
            <w:u w:val="single"/>
          </w:rPr>
          <w:t>[7] ITRC. (n.d.). 2.2 Chemistry, Terminology, and Acronyms. PFAS-1.</w:t>
        </w:r>
      </w:hyperlink>
    </w:p>
    <w:p w14:paraId="3CBB959B" w14:textId="77777777" w:rsidR="0046400B" w:rsidRPr="0046400B" w:rsidRDefault="0046400B" w:rsidP="0046400B">
      <w:hyperlink r:id="rId70" w:tgtFrame="_blank" w:history="1">
        <w:r w:rsidRPr="0046400B">
          <w:rPr>
            <w:color w:val="0000FF"/>
            <w:u w:val="single"/>
          </w:rPr>
          <w:t>[8] Sunderland, E. M., et al. (2018). A Review of the Pathways of Human Exposure to Poly- and Perfluoroalkyl Substances (PFASs) and Present Understanding of Health Effects. Journal of Exposure Science &amp; Environmental Epidemiology, 29(2), 157–171.</w:t>
        </w:r>
      </w:hyperlink>
    </w:p>
    <w:p w14:paraId="0367318E" w14:textId="77777777" w:rsidR="0046400B" w:rsidRPr="0046400B" w:rsidRDefault="0046400B" w:rsidP="0046400B">
      <w:hyperlink r:id="rId71" w:tgtFrame="_blank" w:history="1">
        <w:r w:rsidRPr="0046400B">
          <w:rPr>
            <w:color w:val="0000FF"/>
            <w:u w:val="single"/>
          </w:rPr>
          <w:t>[9] DeLuca, N. M., et al. (2022). Human exposure pathways to poly- and perfluoroalkyl substances (PFAS) from indoor media: A systematic review. Science of The Total Environment, 810, 151268.</w:t>
        </w:r>
      </w:hyperlink>
    </w:p>
    <w:p w14:paraId="28E4CAB0" w14:textId="77777777" w:rsidR="0046400B" w:rsidRPr="0046400B" w:rsidRDefault="0046400B" w:rsidP="0046400B">
      <w:hyperlink r:id="rId72" w:tgtFrame="_blank" w:history="1">
        <w:r w:rsidRPr="0046400B">
          <w:rPr>
            <w:color w:val="0000FF"/>
            <w:u w:val="single"/>
          </w:rPr>
          <w:t>[10] Sunderland, E. M., et al. (2018). A Review of the Pathways of Human Exposure to Poly- and Perfluoroalkyl Substances (PFASs) and Present Understanding of Health Effects. Journal of Exposure Science &amp; Environmental Epidemiology, 29(2), 157–171.</w:t>
        </w:r>
      </w:hyperlink>
    </w:p>
    <w:p w14:paraId="6C407AF5" w14:textId="77777777" w:rsidR="0046400B" w:rsidRPr="0046400B" w:rsidRDefault="0046400B" w:rsidP="0046400B">
      <w:hyperlink r:id="rId73" w:tgtFrame="_blank" w:history="1">
        <w:r w:rsidRPr="0046400B">
          <w:rPr>
            <w:color w:val="0000FF"/>
            <w:u w:val="single"/>
          </w:rPr>
          <w:t>[11] DeLuca, N. M., et al. (2022). Human exposure pathways to poly- and perfluoroalkyl substances (PFAS) from indoor media: A systematic review. Science of The Total Environment, 810, 151268.</w:t>
        </w:r>
      </w:hyperlink>
    </w:p>
    <w:p w14:paraId="00B9EB9D" w14:textId="77777777" w:rsidR="0046400B" w:rsidRPr="0046400B" w:rsidRDefault="0046400B" w:rsidP="0046400B">
      <w:hyperlink r:id="rId74" w:tgtFrame="_blank" w:history="1">
        <w:r w:rsidRPr="0046400B">
          <w:rPr>
            <w:color w:val="0000FF"/>
            <w:u w:val="single"/>
          </w:rPr>
          <w:t>[12] ATSDR. (2024). Human Exposure: PFAS Information for Clinicians. Centers for Disease Control and Prevention.</w:t>
        </w:r>
      </w:hyperlink>
    </w:p>
    <w:p w14:paraId="77909B02" w14:textId="77777777" w:rsidR="0046400B" w:rsidRPr="0046400B" w:rsidRDefault="0046400B" w:rsidP="0046400B">
      <w:hyperlink r:id="rId75" w:tgtFrame="_blank" w:history="1">
        <w:r w:rsidRPr="0046400B">
          <w:rPr>
            <w:color w:val="0000FF"/>
            <w:u w:val="single"/>
          </w:rPr>
          <w:t>[13] Li, Y., et al. (2022). Determinants of serum half-lives for linear and branched perfluoroalkyl substances in a highly exposed population. Environment International, 160, 107056.</w:t>
        </w:r>
      </w:hyperlink>
    </w:p>
    <w:p w14:paraId="019785AE" w14:textId="77777777" w:rsidR="0046400B" w:rsidRPr="0046400B" w:rsidRDefault="0046400B" w:rsidP="0046400B">
      <w:hyperlink r:id="rId76" w:tgtFrame="_blank" w:history="1">
        <w:r w:rsidRPr="0046400B">
          <w:rPr>
            <w:color w:val="0000FF"/>
            <w:u w:val="single"/>
          </w:rPr>
          <w:t>[14] Wang, C., et al. (2025). Incidence of pollution, bioaccumulation, biomagnification, and toxic effects of per- and polyfluoroalkyl substances (PFAS) in aquatic ecosystems. Science of The Total Environment, 963, 170415.</w:t>
        </w:r>
      </w:hyperlink>
    </w:p>
    <w:p w14:paraId="2CF01D15" w14:textId="77777777" w:rsidR="0046400B" w:rsidRPr="0046400B" w:rsidRDefault="0046400B" w:rsidP="0046400B">
      <w:hyperlink r:id="rId77" w:tgtFrame="_blank" w:history="1">
        <w:r w:rsidRPr="0046400B">
          <w:rPr>
            <w:color w:val="0000FF"/>
            <w:u w:val="single"/>
          </w:rPr>
          <w:t>[15] Li, Y., et al. (2017). Half-lives of PFOS, PFHxS and PFOA after end of exposure to contaminated drinking water. Occupational and Environmental Medicine, 75(1), 46–51.</w:t>
        </w:r>
      </w:hyperlink>
    </w:p>
    <w:p w14:paraId="1298834D" w14:textId="77777777" w:rsidR="0046400B" w:rsidRPr="0046400B" w:rsidRDefault="0046400B" w:rsidP="0046400B">
      <w:hyperlink r:id="rId78" w:tgtFrame="_blank" w:history="1">
        <w:r w:rsidRPr="0046400B">
          <w:rPr>
            <w:color w:val="0000FF"/>
            <w:u w:val="single"/>
          </w:rPr>
          <w:t>[16] Grandjean, P., &amp; Budtz-Jørgensen, E. (2021). Immunotoxicity of perfluoroalkyl substances: evidence from animal and human studies. Toxicology and Applied Pharmacology, 420, 115532.</w:t>
        </w:r>
      </w:hyperlink>
    </w:p>
    <w:p w14:paraId="7FF1E9B0" w14:textId="77777777" w:rsidR="0046400B" w:rsidRPr="0046400B" w:rsidRDefault="0046400B" w:rsidP="0046400B">
      <w:hyperlink r:id="rId79" w:tgtFrame="_blank" w:history="1">
        <w:r w:rsidRPr="0046400B">
          <w:rPr>
            <w:color w:val="0000FF"/>
            <w:u w:val="single"/>
          </w:rPr>
          <w:t>[17] Grandjean, P., &amp; Budtz-Jørgensen, E. (2021). Immunotoxicity of perfluoroalkyl substances: evidence from animal and human studies. Toxicology and Applied Pharmacology, 420, 115532.</w:t>
        </w:r>
      </w:hyperlink>
    </w:p>
    <w:p w14:paraId="7E9EFCC8" w14:textId="77777777" w:rsidR="0046400B" w:rsidRPr="0046400B" w:rsidRDefault="0046400B" w:rsidP="0046400B">
      <w:hyperlink r:id="rId80" w:tgtFrame="_blank" w:history="1">
        <w:r w:rsidRPr="0046400B">
          <w:rPr>
            <w:color w:val="0000FF"/>
            <w:u w:val="single"/>
          </w:rPr>
          <w:t>[18] Wee, S. Y., et al. (2023). Revisiting the “forever chemicals”, PFOA and PFOS. Nature Reviews Earth &amp; Environment, 4(10), 665–680.</w:t>
        </w:r>
      </w:hyperlink>
    </w:p>
    <w:p w14:paraId="34548635" w14:textId="77777777" w:rsidR="0046400B" w:rsidRPr="0046400B" w:rsidRDefault="0046400B" w:rsidP="0046400B">
      <w:hyperlink r:id="rId81" w:tgtFrame="_blank" w:history="1">
        <w:r w:rsidRPr="0046400B">
          <w:rPr>
            <w:color w:val="0000FF"/>
            <w:u w:val="single"/>
          </w:rPr>
          <w:t>[19] International Agency for Research on Cancer (IARC). (2023). IARC Monographs Vol 135: Perfluorooctanoic acid (PFOA) and Perfluorooctanesulfonic acid (PFOS). World Health Organization.</w:t>
        </w:r>
      </w:hyperlink>
    </w:p>
    <w:p w14:paraId="29AD7B58" w14:textId="77777777" w:rsidR="0046400B" w:rsidRPr="0046400B" w:rsidRDefault="0046400B" w:rsidP="0046400B">
      <w:hyperlink r:id="rId82" w:tgtFrame="_blank" w:history="1">
        <w:r w:rsidRPr="0046400B">
          <w:rPr>
            <w:color w:val="0000FF"/>
            <w:u w:val="single"/>
          </w:rPr>
          <w:t>[20] American Cancer Society. (2024). PFOA, PFOS, and Related PFAS Chemicals.</w:t>
        </w:r>
      </w:hyperlink>
    </w:p>
    <w:p w14:paraId="7F619B82" w14:textId="77777777" w:rsidR="0046400B" w:rsidRPr="0046400B" w:rsidRDefault="0046400B" w:rsidP="0046400B">
      <w:hyperlink r:id="rId83" w:tgtFrame="_blank" w:history="1">
        <w:r w:rsidRPr="0046400B">
          <w:rPr>
            <w:color w:val="0000FF"/>
            <w:u w:val="single"/>
          </w:rPr>
          <w:t>[21] Fenton, S. E., et al. (2020). Per- and Polyfluoroalkyl Substance Toxicity and Human Health Review. Environmental Science &amp; Technology, 54(17), 10393–10411.</w:t>
        </w:r>
      </w:hyperlink>
    </w:p>
    <w:p w14:paraId="5E97C170" w14:textId="77777777" w:rsidR="0046400B" w:rsidRPr="0046400B" w:rsidRDefault="0046400B" w:rsidP="0046400B">
      <w:hyperlink r:id="rId84" w:tgtFrame="_blank" w:history="1">
        <w:r w:rsidRPr="0046400B">
          <w:rPr>
            <w:color w:val="0000FF"/>
            <w:u w:val="single"/>
          </w:rPr>
          <w:t>[22] Shi, W., et al. (2024). Reproductive toxicity of PFOA, PFOS and their substitutes. Ecotoxicology and Environmental Safety, 278, 116083.</w:t>
        </w:r>
      </w:hyperlink>
    </w:p>
    <w:p w14:paraId="7EE4BF39" w14:textId="77777777" w:rsidR="0046400B" w:rsidRPr="0046400B" w:rsidRDefault="0046400B" w:rsidP="0046400B">
      <w:hyperlink r:id="rId85" w:tgtFrame="_blank" w:history="1">
        <w:r w:rsidRPr="0046400B">
          <w:rPr>
            <w:color w:val="0000FF"/>
            <w:u w:val="single"/>
          </w:rPr>
          <w:t>[23] Wu, M., et al. (2024). Per- and polyfluoroalkyl substance and metabolic syndrome: A systematic review and meta-analysis. Chemosphere, 357, 141920.</w:t>
        </w:r>
      </w:hyperlink>
    </w:p>
    <w:p w14:paraId="2888F03C" w14:textId="77777777" w:rsidR="0046400B" w:rsidRPr="0046400B" w:rsidRDefault="0046400B" w:rsidP="0046400B">
      <w:hyperlink r:id="rId86" w:tgtFrame="_blank" w:history="1">
        <w:r w:rsidRPr="0046400B">
          <w:rPr>
            <w:color w:val="0000FF"/>
            <w:u w:val="single"/>
          </w:rPr>
          <w:t>[24] ATSDR. (2024). Health Effects: PFAS Information for Clinicians. Centers for Disease Control and Prevention.</w:t>
        </w:r>
      </w:hyperlink>
    </w:p>
    <w:p w14:paraId="2874F175" w14:textId="77777777" w:rsidR="0046400B" w:rsidRPr="0046400B" w:rsidRDefault="0046400B" w:rsidP="0046400B">
      <w:hyperlink r:id="rId87" w:tgtFrame="_blank" w:history="1">
        <w:r w:rsidRPr="0046400B">
          <w:rPr>
            <w:color w:val="0000FF"/>
            <w:u w:val="single"/>
          </w:rPr>
          <w:t>[25] The Endocrine Society. (n.d.). PFAS Chemicals: EDCs Contaminating Our Water and Food.</w:t>
        </w:r>
      </w:hyperlink>
    </w:p>
    <w:p w14:paraId="295FF02B" w14:textId="77777777" w:rsidR="0046400B" w:rsidRPr="0046400B" w:rsidRDefault="0046400B" w:rsidP="0046400B">
      <w:hyperlink r:id="rId88" w:tgtFrame="_blank" w:history="1">
        <w:r w:rsidRPr="0046400B">
          <w:rPr>
            <w:color w:val="0000FF"/>
            <w:u w:val="single"/>
          </w:rPr>
          <w:t>[26] Fenton, S. E., et al. (2020). Per- and Polyfluoroalkyl Substance Toxicity and Human Health Review. Environmental Science &amp; Technology, 54(17), 10393–10411.</w:t>
        </w:r>
      </w:hyperlink>
    </w:p>
    <w:p w14:paraId="608D7337" w14:textId="77777777" w:rsidR="0046400B" w:rsidRPr="0046400B" w:rsidRDefault="0046400B" w:rsidP="0046400B">
      <w:hyperlink r:id="rId89" w:tgtFrame="_blank" w:history="1">
        <w:r w:rsidRPr="0046400B">
          <w:rPr>
            <w:color w:val="0000FF"/>
            <w:u w:val="single"/>
          </w:rPr>
          <w:t>[27] Sands, M., et al. (2025). Synergistic toxicity of PFAS and microplastic mixtures in the kidney: a focus on the PPAR pathway. Science of The Total Environment, 963, 170415.</w:t>
        </w:r>
      </w:hyperlink>
    </w:p>
    <w:p w14:paraId="2D89FDC4" w14:textId="77777777" w:rsidR="0046400B" w:rsidRPr="0046400B" w:rsidRDefault="0046400B" w:rsidP="0046400B">
      <w:hyperlink r:id="rId90" w:tgtFrame="_blank" w:history="1">
        <w:r w:rsidRPr="0046400B">
          <w:rPr>
            <w:color w:val="0000FF"/>
            <w:u w:val="single"/>
          </w:rPr>
          <w:t>[28] Kebieche, N., et al. (2025). Epigenetic and Genotoxic Mechanisms of PFAS-Induced Neurotoxicity: A Molecular and Transgenerational Perspective. Toxics, 13(8), 629.</w:t>
        </w:r>
      </w:hyperlink>
    </w:p>
    <w:p w14:paraId="21D91A8D" w14:textId="77777777" w:rsidR="0046400B" w:rsidRPr="0046400B" w:rsidRDefault="0046400B" w:rsidP="0046400B">
      <w:hyperlink r:id="rId91" w:tgtFrame="_blank" w:history="1">
        <w:r w:rsidRPr="0046400B">
          <w:rPr>
            <w:color w:val="0000FF"/>
            <w:u w:val="single"/>
          </w:rPr>
          <w:t>[29] Abdulkadir, A., et al. (2025). Epigenetic Consequences of In Utero PFAS Exposure. International Journal of Environmental Research and Public Health, 22(6), 917.</w:t>
        </w:r>
      </w:hyperlink>
    </w:p>
    <w:p w14:paraId="20DC5E9A" w14:textId="77777777" w:rsidR="0046400B" w:rsidRPr="0046400B" w:rsidRDefault="0046400B" w:rsidP="0046400B">
      <w:hyperlink r:id="rId92" w:tgtFrame="_blank" w:history="1">
        <w:r w:rsidRPr="0046400B">
          <w:rPr>
            <w:color w:val="0000FF"/>
            <w:u w:val="single"/>
          </w:rPr>
          <w:t>[30] Ho, T. C., et al. (2023). Low-Dose PFOS Exposure during Gestation Alters Fetal Epigenetics and Energy Metabolism. Environmental Science &amp; Technology, 57(48), 19579–19589.</w:t>
        </w:r>
      </w:hyperlink>
    </w:p>
    <w:p w14:paraId="41260972" w14:textId="77777777" w:rsidR="0046400B" w:rsidRPr="0046400B" w:rsidRDefault="0046400B" w:rsidP="0046400B">
      <w:hyperlink r:id="rId93" w:tgtFrame="_blank" w:history="1">
        <w:r w:rsidRPr="0046400B">
          <w:rPr>
            <w:color w:val="0000FF"/>
            <w:u w:val="single"/>
          </w:rPr>
          <w:t>[31] Reade, A. (2018). EPA Finds Replacements for Toxic “Teflon” Chemicals Toxic. Natural Resources Defense Council (NRDC).</w:t>
        </w:r>
      </w:hyperlink>
    </w:p>
    <w:p w14:paraId="6B452989" w14:textId="77777777" w:rsidR="0046400B" w:rsidRPr="0046400B" w:rsidRDefault="0046400B" w:rsidP="0046400B">
      <w:hyperlink r:id="rId94" w:tgtFrame="_blank" w:history="1">
        <w:r w:rsidRPr="0046400B">
          <w:rPr>
            <w:color w:val="0000FF"/>
            <w:u w:val="single"/>
          </w:rPr>
          <w:t>[32] Environmental Working Group (EWG). (2018). EPA: GenX Nearly as Toxic as Notorious Non-Stick Chemicals It Replaced.</w:t>
        </w:r>
      </w:hyperlink>
    </w:p>
    <w:p w14:paraId="575765C7" w14:textId="77777777" w:rsidR="0046400B" w:rsidRPr="0046400B" w:rsidRDefault="0046400B" w:rsidP="0046400B">
      <w:hyperlink r:id="rId95" w:tgtFrame="_blank" w:history="1">
        <w:r w:rsidRPr="0046400B">
          <w:rPr>
            <w:color w:val="0000FF"/>
            <w:u w:val="single"/>
          </w:rPr>
          <w:t>[33] EWG. (2018). EPA: GenX Nearly as Toxic as Notorious Non-Stick Chemicals It Replaced.</w:t>
        </w:r>
      </w:hyperlink>
    </w:p>
    <w:p w14:paraId="4EE86A9E" w14:textId="77777777" w:rsidR="0046400B" w:rsidRPr="0046400B" w:rsidRDefault="0046400B" w:rsidP="0046400B">
      <w:hyperlink r:id="rId96" w:tgtFrame="_blank" w:history="1">
        <w:r w:rsidRPr="0046400B">
          <w:rPr>
            <w:color w:val="0000FF"/>
            <w:u w:val="single"/>
          </w:rPr>
          <w:t>[34] Brusseau, M. L. (2023). Differential sorption of short-chain versus long-chain anionic per-and poly-fluoroalkyl substances by soils. Environments, 10(10), 175.</w:t>
        </w:r>
      </w:hyperlink>
    </w:p>
    <w:p w14:paraId="454F1BBF" w14:textId="77777777" w:rsidR="0046400B" w:rsidRPr="0046400B" w:rsidRDefault="0046400B" w:rsidP="0046400B">
      <w:hyperlink r:id="rId97" w:tgtFrame="_blank" w:history="1">
        <w:r w:rsidRPr="0046400B">
          <w:rPr>
            <w:color w:val="0000FF"/>
            <w:u w:val="single"/>
          </w:rPr>
          <w:t>[35] U.S. Environmental Protection Agency (EPA). (n.d.). Per- and Polyfluoroalkyl Substances (PFAS). Safe Drinking Water Act.</w:t>
        </w:r>
      </w:hyperlink>
    </w:p>
    <w:p w14:paraId="06E83AE4" w14:textId="77777777" w:rsidR="0046400B" w:rsidRPr="0046400B" w:rsidRDefault="0046400B" w:rsidP="0046400B">
      <w:hyperlink r:id="rId98" w:tgtFrame="_blank" w:history="1">
        <w:r w:rsidRPr="0046400B">
          <w:rPr>
            <w:color w:val="0000FF"/>
            <w:u w:val="single"/>
          </w:rPr>
          <w:t>[36] European Chemicals Agency (ECHA). (n.d.). REACH restriction proposal on PFAS.</w:t>
        </w:r>
      </w:hyperlink>
    </w:p>
    <w:p w14:paraId="162801C4" w14:textId="77777777" w:rsidR="0046400B" w:rsidRPr="0046400B" w:rsidRDefault="0046400B" w:rsidP="0046400B">
      <w:hyperlink r:id="rId99" w:tgtFrame="_blank" w:history="1">
        <w:r w:rsidRPr="0046400B">
          <w:rPr>
            <w:color w:val="0000FF"/>
            <w:u w:val="single"/>
          </w:rPr>
          <w:t>[37] EPA. (2024). Framework for Estimating Noncancer Health Risks Associated with Mixtures of Per- and Polyfluoroalkyl Substances (PFAS).</w:t>
        </w:r>
      </w:hyperlink>
    </w:p>
    <w:p w14:paraId="17D873E1" w14:textId="77777777" w:rsidR="0046400B" w:rsidRPr="0046400B" w:rsidRDefault="0046400B" w:rsidP="0046400B">
      <w:hyperlink r:id="rId100" w:tgtFrame="_blank" w:history="1">
        <w:r w:rsidRPr="0046400B">
          <w:rPr>
            <w:color w:val="0000FF"/>
            <w:u w:val="single"/>
          </w:rPr>
          <w:t>[38] Fenton, S. E., et al. (2020). Per- and Polyfluoroalkyl Substance Toxicity and Human Health Review. Environmental Science &amp; Technology, 54(17), 10393–10411.</w:t>
        </w:r>
      </w:hyperlink>
    </w:p>
    <w:p w14:paraId="00E66408" w14:textId="43C4A91E" w:rsidR="0046400B" w:rsidRDefault="0046400B">
      <w:pPr>
        <w:spacing w:after="160" w:line="278" w:lineRule="auto"/>
        <w:rPr>
          <w:sz w:val="40"/>
          <w:szCs w:val="40"/>
        </w:rPr>
      </w:pPr>
      <w:r>
        <w:rPr>
          <w:sz w:val="40"/>
          <w:szCs w:val="40"/>
        </w:rPr>
        <w:br w:type="page"/>
      </w:r>
    </w:p>
    <w:p w14:paraId="0F0D0213" w14:textId="77777777" w:rsidR="00F005A6" w:rsidRDefault="00F005A6" w:rsidP="00F005A6">
      <w:pPr>
        <w:pStyle w:val="Heading1"/>
        <w:rPr>
          <w:rFonts w:ascii="Georgia" w:hAnsi="Georgia"/>
        </w:rPr>
      </w:pPr>
      <w:r>
        <w:rPr>
          <w:rFonts w:ascii="Georgia" w:hAnsi="Georgia"/>
        </w:rPr>
        <w:lastRenderedPageBreak/>
        <w:t>State-of-the-Art Scientific Research Report: CRISPR/Cas9 and Next-Generation Gene Editing for Inherited Hemoglobinopathies and Blood Disorders</w:t>
      </w:r>
    </w:p>
    <w:p w14:paraId="01153E84" w14:textId="77777777" w:rsidR="00F005A6" w:rsidRDefault="00F005A6" w:rsidP="00F005A6">
      <w:r>
        <w:rPr>
          <w:rStyle w:val="font-600"/>
          <w:rFonts w:eastAsiaTheme="majorEastAsia"/>
        </w:rPr>
        <w:t>Author:</w:t>
      </w:r>
      <w:r>
        <w:t xml:space="preserve"> Manus AI </w:t>
      </w:r>
      <w:r>
        <w:rPr>
          <w:rStyle w:val="font-600"/>
          <w:rFonts w:eastAsiaTheme="majorEastAsia"/>
        </w:rPr>
        <w:t>Date:</w:t>
      </w:r>
      <w:r>
        <w:t xml:space="preserve"> December 9, 2025</w:t>
      </w:r>
    </w:p>
    <w:p w14:paraId="270BF67E" w14:textId="77777777" w:rsidR="00F005A6" w:rsidRDefault="00F005A6" w:rsidP="00F005A6">
      <w:pPr>
        <w:pStyle w:val="Heading2"/>
      </w:pPr>
      <w:r>
        <w:t>Abstract</w:t>
      </w:r>
    </w:p>
    <w:p w14:paraId="10FBFD85" w14:textId="77777777" w:rsidR="00F005A6" w:rsidRDefault="00F005A6" w:rsidP="00F005A6">
      <w:r>
        <w:t xml:space="preserve">Inherited hemoglobinopathies, primarily </w:t>
      </w:r>
      <w:r>
        <w:rPr>
          <w:rStyle w:val="font-600"/>
          <w:rFonts w:eastAsiaTheme="majorEastAsia"/>
        </w:rPr>
        <w:t>Sickle Cell Disease (SCD)</w:t>
      </w:r>
      <w:r>
        <w:t xml:space="preserve"> and </w:t>
      </w:r>
      <w:r>
        <w:rPr>
          <w:rStyle w:val="font-600"/>
          <w:rFonts w:eastAsiaTheme="majorEastAsia"/>
        </w:rPr>
        <w:t>Beta-Thalassemia</w:t>
      </w:r>
      <w:r>
        <w:t xml:space="preserve">, represent a significant global health burden with limited curative options. While allogeneic hematopoietic stem cell transplantation (allo-HSCT) offers a cure, its application is severely restricted by donor availability and associated risks. This report details the transformative emergence of </w:t>
      </w:r>
      <w:r>
        <w:rPr>
          <w:rStyle w:val="font-600"/>
          <w:rFonts w:eastAsiaTheme="majorEastAsia"/>
        </w:rPr>
        <w:t>CRISPR/Cas9</w:t>
      </w:r>
      <w:r>
        <w:t xml:space="preserve"> and </w:t>
      </w:r>
      <w:r>
        <w:rPr>
          <w:rStyle w:val="font-600"/>
          <w:rFonts w:eastAsiaTheme="majorEastAsia"/>
        </w:rPr>
        <w:t>Next-Generation Gene Editing</w:t>
      </w:r>
      <w:r>
        <w:t xml:space="preserve"> technologies as a definitive therapeutic strategy. The recent regulatory approvals of the CRISPR-based therapy </w:t>
      </w:r>
      <w:r>
        <w:rPr>
          <w:rStyle w:val="font-600"/>
          <w:rFonts w:eastAsiaTheme="majorEastAsia"/>
        </w:rPr>
        <w:t>Casgevy</w:t>
      </w:r>
      <w:r>
        <w:t xml:space="preserve"> (exagamglogene autotemcel) and the lentiviral therapy </w:t>
      </w:r>
      <w:r>
        <w:rPr>
          <w:rStyle w:val="font-600"/>
          <w:rFonts w:eastAsiaTheme="majorEastAsia"/>
        </w:rPr>
        <w:t>Lyfgenia</w:t>
      </w:r>
      <w:r>
        <w:t xml:space="preserve"> in late 2023 mark a pivotal shift in the treatment paradigm. The report further explores the mechanistic basis of these technologies, the current clinical and regulatory landscape, and the critical challenges—including high cost, delivery optimization, and ethical considerations—that must be addressed to ensure equitable access to these potentially curative treatments.</w:t>
      </w:r>
    </w:p>
    <w:p w14:paraId="2E3989B5" w14:textId="77777777" w:rsidR="00F005A6" w:rsidRDefault="00F005A6" w:rsidP="00F005A6">
      <w:pPr>
        <w:pStyle w:val="Heading2"/>
      </w:pPr>
      <w:r>
        <w:t>1. Introduction: Background and Current Treatments for Inherited Hemoglobinopathies</w:t>
      </w:r>
    </w:p>
    <w:p w14:paraId="7064B14A" w14:textId="77777777" w:rsidR="00F005A6" w:rsidRDefault="00F005A6" w:rsidP="00F005A6">
      <w:r>
        <w:t xml:space="preserve">Inherited hemoglobinopathies are a group of genetic disorders characterized by abnormal production or structure of the hemoglobin protein, with SCD and Beta-Thalassemia being the most prevalent and clinically significant </w:t>
      </w:r>
      <w:r>
        <w:rPr>
          <w:rStyle w:val="inline-flex"/>
          <w:rFonts w:eastAsiaTheme="majorEastAsia"/>
        </w:rPr>
        <w:t>1</w:t>
      </w:r>
      <w:r>
        <w:t xml:space="preserve"> </w:t>
      </w:r>
      <w:r>
        <w:rPr>
          <w:rStyle w:val="inline-flex"/>
          <w:rFonts w:eastAsiaTheme="majorEastAsia"/>
        </w:rPr>
        <w:t>2</w:t>
      </w:r>
      <w:r>
        <w:t>. These conditions lead to chronic, life-threatening complications, necessitating lifelong management.</w:t>
      </w:r>
    </w:p>
    <w:p w14:paraId="61F265D8" w14:textId="77777777" w:rsidR="00F005A6" w:rsidRDefault="00F005A6" w:rsidP="00F005A6">
      <w:r>
        <w:t xml:space="preserve">The </w:t>
      </w:r>
      <w:r>
        <w:rPr>
          <w:rStyle w:val="font-600"/>
          <w:rFonts w:eastAsiaTheme="majorEastAsia"/>
        </w:rPr>
        <w:t>current standard of care</w:t>
      </w:r>
      <w:r>
        <w:t xml:space="preserve"> is largely symptomatic, focusing on managing complications and improving quality of life. This includes regular blood transfusions, iron chelation therapy to manage iron overload from transfusions, and the use of drugs like hydroxyurea, which stimulates the production of fetal hemoglobin (HbF) </w:t>
      </w:r>
      <w:r>
        <w:rPr>
          <w:rStyle w:val="inline-flex"/>
          <w:rFonts w:eastAsiaTheme="majorEastAsia"/>
        </w:rPr>
        <w:t>3</w:t>
      </w:r>
      <w:r>
        <w:t xml:space="preserve"> </w:t>
      </w:r>
      <w:r>
        <w:rPr>
          <w:rStyle w:val="inline-flex"/>
          <w:rFonts w:eastAsiaTheme="majorEastAsia"/>
        </w:rPr>
        <w:t>4</w:t>
      </w:r>
      <w:r>
        <w:t>.</w:t>
      </w:r>
    </w:p>
    <w:p w14:paraId="2B39FEBD" w14:textId="77777777" w:rsidR="00F005A6" w:rsidRDefault="00F005A6" w:rsidP="00F005A6">
      <w:r>
        <w:t xml:space="preserve">The only established curative option is </w:t>
      </w:r>
      <w:r>
        <w:rPr>
          <w:rStyle w:val="font-600"/>
          <w:rFonts w:eastAsiaTheme="majorEastAsia"/>
        </w:rPr>
        <w:t>allogeneic hematopoietic stem cell transplantation (allo-HSCT)</w:t>
      </w:r>
      <w:r>
        <w:t xml:space="preserve">. However, this procedure is highly complex, carries significant risks, and is only feasible for a small fraction of patients, as less than 20% have a suitably matched donor </w:t>
      </w:r>
      <w:r>
        <w:rPr>
          <w:rStyle w:val="inline-flex"/>
          <w:rFonts w:eastAsiaTheme="majorEastAsia"/>
        </w:rPr>
        <w:t>5</w:t>
      </w:r>
      <w:r>
        <w:t xml:space="preserve">. This profound limitation highlights a critical </w:t>
      </w:r>
      <w:r>
        <w:rPr>
          <w:rStyle w:val="font-600"/>
          <w:rFonts w:eastAsiaTheme="majorEastAsia"/>
        </w:rPr>
        <w:t>unmet medical need</w:t>
      </w:r>
      <w:r>
        <w:t xml:space="preserve"> for widely accessible, safer, and definitive curative therapies </w:t>
      </w:r>
      <w:r>
        <w:rPr>
          <w:rStyle w:val="inline-flex"/>
          <w:rFonts w:eastAsiaTheme="majorEastAsia"/>
        </w:rPr>
        <w:t>6</w:t>
      </w:r>
      <w:r>
        <w:t xml:space="preserve">. The recent approvals of cell-based gene therapies have begun to address this need, signaling a new era in the treatment of these disorders </w:t>
      </w:r>
      <w:r>
        <w:rPr>
          <w:rStyle w:val="inline-flex"/>
          <w:rFonts w:eastAsiaTheme="majorEastAsia"/>
        </w:rPr>
        <w:t>7</w:t>
      </w:r>
      <w:r>
        <w:t>.</w:t>
      </w:r>
    </w:p>
    <w:p w14:paraId="6AEE6862" w14:textId="77777777" w:rsidR="00F005A6" w:rsidRDefault="00F005A6" w:rsidP="00F005A6">
      <w:pPr>
        <w:pStyle w:val="Heading2"/>
      </w:pPr>
      <w:r>
        <w:t>2. CRISPR/Cas9 and Next-Generation Gene Editing Technologies</w:t>
      </w:r>
    </w:p>
    <w:p w14:paraId="57275BA1" w14:textId="77777777" w:rsidR="00F005A6" w:rsidRDefault="00F005A6" w:rsidP="00F005A6">
      <w:r>
        <w:t xml:space="preserve">Gene editing technologies provide a mechanism to correct the underlying genetic defects of hemoglobinopathies. The primary therapeutic strategy for both SCD and Beta-Thalassemia involves reactivating the expression of </w:t>
      </w:r>
      <w:r>
        <w:rPr>
          <w:rStyle w:val="font-600"/>
          <w:rFonts w:eastAsiaTheme="majorEastAsia"/>
        </w:rPr>
        <w:t>fetal hemoglobin (HbF)</w:t>
      </w:r>
      <w:r>
        <w:t xml:space="preserve">, which can functionally compensate for the defective adult hemoglobin </w:t>
      </w:r>
      <w:r>
        <w:rPr>
          <w:rStyle w:val="inline-flex"/>
          <w:rFonts w:eastAsiaTheme="majorEastAsia"/>
        </w:rPr>
        <w:t>8</w:t>
      </w:r>
      <w:r>
        <w:t>.</w:t>
      </w:r>
    </w:p>
    <w:p w14:paraId="1BF31C36" w14:textId="77777777" w:rsidR="00F005A6" w:rsidRDefault="00F005A6" w:rsidP="00F005A6">
      <w:pPr>
        <w:pStyle w:val="Heading3"/>
      </w:pPr>
      <w:r>
        <w:lastRenderedPageBreak/>
        <w:t>2.1. CRISPR/Cas9 System</w:t>
      </w:r>
    </w:p>
    <w:p w14:paraId="588E0C99" w14:textId="77777777" w:rsidR="00F005A6" w:rsidRDefault="00F005A6" w:rsidP="00F005A6">
      <w:r>
        <w:t xml:space="preserve">The </w:t>
      </w:r>
      <w:r>
        <w:rPr>
          <w:rStyle w:val="font-600"/>
          <w:rFonts w:eastAsiaTheme="majorEastAsia"/>
        </w:rPr>
        <w:t>CRISPR/Cas9</w:t>
      </w:r>
      <w:r>
        <w:t xml:space="preserve"> system is a two-component genome editing tool that allows for highly efficient and precise targeting of specific DNA sequences </w:t>
      </w:r>
      <w:r>
        <w:rPr>
          <w:rStyle w:val="inline-flex"/>
          <w:rFonts w:eastAsiaTheme="majorEastAsia"/>
        </w:rPr>
        <w:t>9</w:t>
      </w:r>
      <w:r>
        <w:t xml:space="preserve">. For hemoglobinopathies, the most successful clinical application has been the disruption of the </w:t>
      </w:r>
      <w:r>
        <w:rPr>
          <w:rStyle w:val="italic"/>
          <w:rFonts w:eastAsiaTheme="majorEastAsia"/>
        </w:rPr>
        <w:t>BCL11A</w:t>
      </w:r>
      <w:r>
        <w:t xml:space="preserve"> gene's erythroid-specific enhancer. The BCL11A protein acts as a repressor of the </w:t>
      </w:r>
      <w:r>
        <w:rPr>
          <w:rStyle w:val="italic"/>
          <w:rFonts w:eastAsiaTheme="majorEastAsia"/>
        </w:rPr>
        <w:t>HBG1</w:t>
      </w:r>
      <w:r>
        <w:t xml:space="preserve"> and </w:t>
      </w:r>
      <w:r>
        <w:rPr>
          <w:rStyle w:val="italic"/>
          <w:rFonts w:eastAsiaTheme="majorEastAsia"/>
        </w:rPr>
        <w:t>HBG2</w:t>
      </w:r>
      <w:r>
        <w:t xml:space="preserve"> genes, which encode the gamma-globin chains of HbF. By disrupting the enhancer, the Cas9 nuclease effectively "switches back on" the expression of HbF, leading to a functional cure </w:t>
      </w:r>
      <w:r>
        <w:rPr>
          <w:rStyle w:val="inline-flex"/>
          <w:rFonts w:eastAsiaTheme="majorEastAsia"/>
        </w:rPr>
        <w:t>10</w:t>
      </w:r>
      <w:r>
        <w:t xml:space="preserve">. This mechanism is the basis for the approved therapy, Casgevy (exagamglogene autotemcel) </w:t>
      </w:r>
      <w:r>
        <w:rPr>
          <w:rStyle w:val="inline-flex"/>
          <w:rFonts w:eastAsiaTheme="majorEastAsia"/>
        </w:rPr>
        <w:t>11</w:t>
      </w:r>
      <w:r>
        <w:t>.</w:t>
      </w:r>
    </w:p>
    <w:p w14:paraId="5C862046" w14:textId="77777777" w:rsidR="00F005A6" w:rsidRDefault="00F005A6" w:rsidP="00F005A6">
      <w:pPr>
        <w:pStyle w:val="Heading3"/>
      </w:pPr>
      <w:r>
        <w:t>2.2. Next-Generation Gene Editing</w:t>
      </w:r>
    </w:p>
    <w:p w14:paraId="2090FD57" w14:textId="77777777" w:rsidR="00F005A6" w:rsidRDefault="00F005A6" w:rsidP="00F005A6">
      <w:r>
        <w:t xml:space="preserve">While CRISPR/Cas9 is revolutionary, it relies on creating a </w:t>
      </w:r>
      <w:r>
        <w:rPr>
          <w:rStyle w:val="font-600"/>
          <w:rFonts w:eastAsiaTheme="majorEastAsia"/>
        </w:rPr>
        <w:t>double-stranded DNA break (DSB)</w:t>
      </w:r>
      <w:r>
        <w:t>, which can lead to unwanted insertions, deletions, and off-target effects. Next-generation editors are being developed to enhance precision and safety by avoiding DSBs: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2944"/>
        <w:gridCol w:w="3026"/>
        <w:gridCol w:w="2072"/>
      </w:tblGrid>
      <w:tr w:rsidR="00F005A6" w14:paraId="53F58B16" w14:textId="77777777">
        <w:trPr>
          <w:tblCellSpacing w:w="15" w:type="dxa"/>
        </w:trPr>
        <w:tc>
          <w:tcPr>
            <w:tcW w:w="0" w:type="auto"/>
            <w:vAlign w:val="center"/>
            <w:hideMark/>
          </w:tcPr>
          <w:p w14:paraId="7553B943" w14:textId="77777777" w:rsidR="00F005A6" w:rsidRDefault="00F005A6">
            <w:r>
              <w:t>Technology</w:t>
            </w:r>
          </w:p>
        </w:tc>
        <w:tc>
          <w:tcPr>
            <w:tcW w:w="0" w:type="auto"/>
            <w:vAlign w:val="center"/>
            <w:hideMark/>
          </w:tcPr>
          <w:p w14:paraId="27F72432" w14:textId="77777777" w:rsidR="00F005A6" w:rsidRDefault="00F005A6">
            <w:r>
              <w:t>Mechanism</w:t>
            </w:r>
          </w:p>
        </w:tc>
        <w:tc>
          <w:tcPr>
            <w:tcW w:w="0" w:type="auto"/>
            <w:vAlign w:val="center"/>
            <w:hideMark/>
          </w:tcPr>
          <w:p w14:paraId="4F345885" w14:textId="77777777" w:rsidR="00F005A6" w:rsidRDefault="00F005A6">
            <w:r>
              <w:t>Application in Hemoglobinopathies</w:t>
            </w:r>
          </w:p>
        </w:tc>
        <w:tc>
          <w:tcPr>
            <w:tcW w:w="0" w:type="auto"/>
            <w:vAlign w:val="center"/>
            <w:hideMark/>
          </w:tcPr>
          <w:p w14:paraId="2634D5A9" w14:textId="77777777" w:rsidR="00F005A6" w:rsidRDefault="00F005A6">
            <w:r>
              <w:t>Key Advantage</w:t>
            </w:r>
          </w:p>
        </w:tc>
      </w:tr>
      <w:tr w:rsidR="00F005A6" w14:paraId="7425B87A" w14:textId="77777777">
        <w:trPr>
          <w:tblCellSpacing w:w="15" w:type="dxa"/>
        </w:trPr>
        <w:tc>
          <w:tcPr>
            <w:tcW w:w="0" w:type="auto"/>
            <w:vAlign w:val="center"/>
            <w:hideMark/>
          </w:tcPr>
          <w:p w14:paraId="0DE5AAE7" w14:textId="77777777" w:rsidR="00F005A6" w:rsidRDefault="00F005A6">
            <w:r>
              <w:rPr>
                <w:rStyle w:val="font-600"/>
                <w:rFonts w:eastAsiaTheme="majorEastAsia"/>
              </w:rPr>
              <w:t>Base Editing</w:t>
            </w:r>
          </w:p>
        </w:tc>
        <w:tc>
          <w:tcPr>
            <w:tcW w:w="0" w:type="auto"/>
            <w:vAlign w:val="center"/>
            <w:hideMark/>
          </w:tcPr>
          <w:p w14:paraId="3EDA2693" w14:textId="77777777" w:rsidR="00F005A6" w:rsidRDefault="00F005A6">
            <w:r>
              <w:t>Chemically converts one base pair to another (e.g., C to T) without a DSB.</w:t>
            </w:r>
          </w:p>
        </w:tc>
        <w:tc>
          <w:tcPr>
            <w:tcW w:w="0" w:type="auto"/>
            <w:vAlign w:val="center"/>
            <w:hideMark/>
          </w:tcPr>
          <w:p w14:paraId="5206BA41" w14:textId="77777777" w:rsidR="00F005A6" w:rsidRDefault="00F005A6">
            <w:r>
              <w:t>Ideal for correcting the single point mutation in SCD (Glu6Val).</w:t>
            </w:r>
          </w:p>
        </w:tc>
        <w:tc>
          <w:tcPr>
            <w:tcW w:w="0" w:type="auto"/>
            <w:vAlign w:val="center"/>
            <w:hideMark/>
          </w:tcPr>
          <w:p w14:paraId="67243C2F" w14:textId="77777777" w:rsidR="00F005A6" w:rsidRDefault="00F005A6">
            <w:r>
              <w:t>High precision, no DSB, reduced off-target risk.</w:t>
            </w:r>
          </w:p>
        </w:tc>
      </w:tr>
      <w:tr w:rsidR="00F005A6" w14:paraId="4EE30B22" w14:textId="77777777">
        <w:trPr>
          <w:tblCellSpacing w:w="15" w:type="dxa"/>
        </w:trPr>
        <w:tc>
          <w:tcPr>
            <w:tcW w:w="0" w:type="auto"/>
            <w:vAlign w:val="center"/>
            <w:hideMark/>
          </w:tcPr>
          <w:p w14:paraId="6623259E" w14:textId="77777777" w:rsidR="00F005A6" w:rsidRDefault="00F005A6">
            <w:r>
              <w:rPr>
                <w:rStyle w:val="font-600"/>
                <w:rFonts w:eastAsiaTheme="majorEastAsia"/>
              </w:rPr>
              <w:t>Prime Editing</w:t>
            </w:r>
          </w:p>
        </w:tc>
        <w:tc>
          <w:tcPr>
            <w:tcW w:w="0" w:type="auto"/>
            <w:vAlign w:val="center"/>
            <w:hideMark/>
          </w:tcPr>
          <w:p w14:paraId="6D66FDA1" w14:textId="77777777" w:rsidR="00F005A6" w:rsidRDefault="00F005A6">
            <w:r>
              <w:t>Uses a reverse transcriptase guided by a prime editing guide RNA (pegRNA) to copy new genetic information into the target site.</w:t>
            </w:r>
          </w:p>
        </w:tc>
        <w:tc>
          <w:tcPr>
            <w:tcW w:w="0" w:type="auto"/>
            <w:vAlign w:val="center"/>
            <w:hideMark/>
          </w:tcPr>
          <w:p w14:paraId="231D0486" w14:textId="77777777" w:rsidR="00F005A6" w:rsidRDefault="00F005A6">
            <w:r>
              <w:t>Allows for targeted small insertions, deletions, and all 12 possible base-to-base changes.</w:t>
            </w:r>
          </w:p>
        </w:tc>
        <w:tc>
          <w:tcPr>
            <w:tcW w:w="0" w:type="auto"/>
            <w:vAlign w:val="center"/>
            <w:hideMark/>
          </w:tcPr>
          <w:p w14:paraId="2B43460C" w14:textId="77777777" w:rsidR="00F005A6" w:rsidRDefault="00F005A6">
            <w:r>
              <w:t>Expands the range of correctable mutations, including nonsense mutations.</w:t>
            </w:r>
          </w:p>
        </w:tc>
      </w:tr>
      <w:tr w:rsidR="00F005A6" w14:paraId="1DBF7C8B" w14:textId="77777777">
        <w:trPr>
          <w:tblCellSpacing w:w="15" w:type="dxa"/>
        </w:trPr>
        <w:tc>
          <w:tcPr>
            <w:tcW w:w="0" w:type="auto"/>
            <w:vAlign w:val="center"/>
            <w:hideMark/>
          </w:tcPr>
          <w:p w14:paraId="772EE9D8" w14:textId="77777777" w:rsidR="00F005A6" w:rsidRDefault="00F005A6">
            <w:r>
              <w:rPr>
                <w:rStyle w:val="font-600"/>
                <w:rFonts w:eastAsiaTheme="majorEastAsia"/>
              </w:rPr>
              <w:t>Epigenetic Editing</w:t>
            </w:r>
          </w:p>
        </w:tc>
        <w:tc>
          <w:tcPr>
            <w:tcW w:w="0" w:type="auto"/>
            <w:vAlign w:val="center"/>
            <w:hideMark/>
          </w:tcPr>
          <w:p w14:paraId="5DCE0325" w14:textId="77777777" w:rsidR="00F005A6" w:rsidRDefault="00F005A6">
            <w:r>
              <w:t>Modulates gene expression without altering the underlying DNA sequence.</w:t>
            </w:r>
          </w:p>
        </w:tc>
        <w:tc>
          <w:tcPr>
            <w:tcW w:w="0" w:type="auto"/>
            <w:vAlign w:val="center"/>
            <w:hideMark/>
          </w:tcPr>
          <w:p w14:paraId="435B9010" w14:textId="77777777" w:rsidR="00F005A6" w:rsidRDefault="00F005A6">
            <w:r>
              <w:t>Potential for fine-tuning HbF expression without permanent genomic changes.</w:t>
            </w:r>
          </w:p>
        </w:tc>
        <w:tc>
          <w:tcPr>
            <w:tcW w:w="0" w:type="auto"/>
            <w:vAlign w:val="center"/>
            <w:hideMark/>
          </w:tcPr>
          <w:p w14:paraId="2AB285B0" w14:textId="77777777" w:rsidR="00F005A6" w:rsidRDefault="00F005A6">
            <w:r>
              <w:t>Reversible control over gene expression.</w:t>
            </w:r>
          </w:p>
        </w:tc>
      </w:tr>
    </w:tbl>
    <w:p w14:paraId="56199E89" w14:textId="77777777" w:rsidR="00F005A6" w:rsidRDefault="00F005A6" w:rsidP="00F005A6">
      <w:r>
        <w:t xml:space="preserve">These advanced tools are poised to further expand the therapeutic window and address limitations associated with traditional CRISPR/Cas9 </w:t>
      </w:r>
      <w:r>
        <w:rPr>
          <w:rStyle w:val="inline-flex"/>
          <w:rFonts w:eastAsiaTheme="majorEastAsia"/>
        </w:rPr>
        <w:t>12</w:t>
      </w:r>
      <w:r>
        <w:t>.</w:t>
      </w:r>
    </w:p>
    <w:p w14:paraId="2FE3D6E5" w14:textId="77777777" w:rsidR="00F005A6" w:rsidRDefault="00F005A6" w:rsidP="00F005A6">
      <w:pPr>
        <w:pStyle w:val="Heading2"/>
      </w:pPr>
      <w:r>
        <w:t>3. Clinical Trials and Regulatory Landscape</w:t>
      </w:r>
    </w:p>
    <w:p w14:paraId="52B7E2F6" w14:textId="77777777" w:rsidR="00F005A6" w:rsidRDefault="00F005A6" w:rsidP="00F005A6">
      <w:r>
        <w:t xml:space="preserve">The clinical translation of gene editing has culminated in the landmark regulatory approvals of two cell-based gene therapies for SCD in December 2023 by the US Food and Drug Administration (FDA) </w:t>
      </w:r>
      <w:r>
        <w:rPr>
          <w:rStyle w:val="inline-flex"/>
          <w:rFonts w:eastAsiaTheme="majorEastAsia"/>
        </w:rPr>
        <w:t>7</w:t>
      </w:r>
      <w:r>
        <w:t>:</w:t>
      </w:r>
    </w:p>
    <w:p w14:paraId="738AD40D" w14:textId="77777777" w:rsidR="00F005A6" w:rsidRDefault="00F005A6" w:rsidP="00F005A6">
      <w:r>
        <w:rPr>
          <w:rStyle w:val="font-sans"/>
          <w:rFonts w:ascii="Arial" w:eastAsiaTheme="majorEastAsia" w:hAnsi="Arial" w:cs="Arial"/>
        </w:rPr>
        <w:t>•</w:t>
      </w:r>
      <w:r>
        <w:rPr>
          <w:rStyle w:val="font-600"/>
          <w:rFonts w:eastAsiaTheme="majorEastAsia"/>
        </w:rPr>
        <w:t>Casgevy (exagamglogene autotemcel):</w:t>
      </w:r>
      <w:r>
        <w:rPr>
          <w:rStyle w:val="flex-1"/>
        </w:rPr>
        <w:t xml:space="preserve"> The first CRISPR-based gene-editing therapy to receive approval. It is approved for patients aged 12 and older with SCD and recurrent vaso-occlusive crises (VOCs) </w:t>
      </w:r>
      <w:r>
        <w:rPr>
          <w:rStyle w:val="inline-flex"/>
          <w:rFonts w:eastAsiaTheme="majorEastAsia"/>
        </w:rPr>
        <w:t>13</w:t>
      </w:r>
      <w:r>
        <w:rPr>
          <w:rStyle w:val="flex-1"/>
        </w:rPr>
        <w:t xml:space="preserve">. It has also received regulatory approval in the UK and the European Union </w:t>
      </w:r>
      <w:r>
        <w:rPr>
          <w:rStyle w:val="inline-flex"/>
          <w:rFonts w:eastAsiaTheme="majorEastAsia"/>
        </w:rPr>
        <w:t>14</w:t>
      </w:r>
      <w:r>
        <w:rPr>
          <w:rStyle w:val="flex-1"/>
        </w:rPr>
        <w:t>.</w:t>
      </w:r>
    </w:p>
    <w:p w14:paraId="2FF5EB03" w14:textId="77777777" w:rsidR="00F005A6" w:rsidRDefault="00F005A6" w:rsidP="00F005A6">
      <w:r>
        <w:rPr>
          <w:rStyle w:val="font-sans"/>
          <w:rFonts w:ascii="Arial" w:eastAsiaTheme="majorEastAsia" w:hAnsi="Arial" w:cs="Arial"/>
        </w:rPr>
        <w:t>•</w:t>
      </w:r>
      <w:r>
        <w:rPr>
          <w:rStyle w:val="font-600"/>
          <w:rFonts w:eastAsiaTheme="majorEastAsia"/>
        </w:rPr>
        <w:t>Lyfgenia (lovotibeglogene autotemcel):</w:t>
      </w:r>
      <w:r>
        <w:rPr>
          <w:rStyle w:val="flex-1"/>
        </w:rPr>
        <w:t xml:space="preserve"> A lentiviral vector-mediated gene addition therapy, also approved for SCD patients aged 12 and older </w:t>
      </w:r>
      <w:r>
        <w:rPr>
          <w:rStyle w:val="inline-flex"/>
          <w:rFonts w:eastAsiaTheme="majorEastAsia"/>
        </w:rPr>
        <w:t>7</w:t>
      </w:r>
      <w:r>
        <w:rPr>
          <w:rStyle w:val="flex-1"/>
        </w:rPr>
        <w:t>.</w:t>
      </w:r>
    </w:p>
    <w:p w14:paraId="0845A856" w14:textId="77777777" w:rsidR="00F005A6" w:rsidRDefault="00F005A6" w:rsidP="00F005A6">
      <w:r>
        <w:t xml:space="preserve">These approvals were based on compelling proof-of-concept evidence from pivotal clinical trials demonstrating the safety and efficacy of these approaches, with several years of follow-up data now available </w:t>
      </w:r>
      <w:r>
        <w:rPr>
          <w:rStyle w:val="inline-flex"/>
          <w:rFonts w:eastAsiaTheme="majorEastAsia"/>
        </w:rPr>
        <w:t>15</w:t>
      </w:r>
      <w:r>
        <w:t xml:space="preserve">. The regulatory process, overseen by bodies like the FDA and the European Medicines Agency (EMA), is rigorous, focusing on long-term safety, minimizing off-target effects, and ensuring the durability of the therapeutic effect </w:t>
      </w:r>
      <w:r>
        <w:rPr>
          <w:rStyle w:val="inline-flex"/>
          <w:rFonts w:eastAsiaTheme="majorEastAsia"/>
        </w:rPr>
        <w:t>16</w:t>
      </w:r>
      <w:r>
        <w:t>.</w:t>
      </w:r>
    </w:p>
    <w:p w14:paraId="7357A156" w14:textId="77777777" w:rsidR="00F005A6" w:rsidRDefault="00F005A6" w:rsidP="00F005A6">
      <w:r>
        <w:rPr>
          <w:rStyle w:val="font-600"/>
          <w:rFonts w:eastAsiaTheme="majorEastAsia"/>
        </w:rPr>
        <w:t>Long-term safety and monitoring</w:t>
      </w:r>
      <w:r>
        <w:t xml:space="preserve"> remain a critical component of the regulatory landscape. For instance, long-term follow-up for an earlier gene therapy approach (BB305) highlighted the need </w:t>
      </w:r>
      <w:r>
        <w:lastRenderedPageBreak/>
        <w:t xml:space="preserve">for caution, as two participants were diagnosed with myelodysplastic syndrome (MDS), underscoring the necessity for decades-long patient monitoring </w:t>
      </w:r>
      <w:r>
        <w:rPr>
          <w:rStyle w:val="inline-flex"/>
          <w:rFonts w:eastAsiaTheme="majorEastAsia"/>
        </w:rPr>
        <w:t>17</w:t>
      </w:r>
      <w:r>
        <w:t>.</w:t>
      </w:r>
    </w:p>
    <w:p w14:paraId="03D565FE" w14:textId="77777777" w:rsidR="00F005A6" w:rsidRDefault="00F005A6" w:rsidP="00F005A6">
      <w:pPr>
        <w:pStyle w:val="Heading2"/>
      </w:pPr>
      <w:r>
        <w:t>4. Challenges, Ethical Considerations, and Future Directions</w:t>
      </w:r>
    </w:p>
    <w:p w14:paraId="2CB67D98" w14:textId="77777777" w:rsidR="00F005A6" w:rsidRDefault="00F005A6" w:rsidP="00F005A6">
      <w:r>
        <w:t>Despite the scientific triumph of gene editing, several significant challenges must be overcome to realize its full potential.</w:t>
      </w:r>
    </w:p>
    <w:p w14:paraId="6FFCEC29" w14:textId="77777777" w:rsidR="00F005A6" w:rsidRDefault="00F005A6" w:rsidP="00F005A6">
      <w:pPr>
        <w:pStyle w:val="Heading3"/>
      </w:pPr>
      <w:r>
        <w:t>4.1. Technical and Logistical Challenges</w:t>
      </w:r>
    </w:p>
    <w:p w14:paraId="54FCC6B9" w14:textId="77777777" w:rsidR="00F005A6" w:rsidRDefault="00F005A6" w:rsidP="00F005A6">
      <w:r>
        <w:t xml:space="preserve">The current generation of approved therapies relies on </w:t>
      </w:r>
      <w:r>
        <w:rPr>
          <w:rStyle w:val="font-600"/>
          <w:rFonts w:eastAsiaTheme="majorEastAsia"/>
        </w:rPr>
        <w:t>ex vivo</w:t>
      </w:r>
      <w:r>
        <w:t xml:space="preserve"> manipulation, where hematopoietic stem cells are harvested from the patient, edited in a laboratory, and then re-infused following myeloablative chemotherapy. This process is complex, time-consuming, and requires highly specialized treatment centers </w:t>
      </w:r>
      <w:r>
        <w:rPr>
          <w:rStyle w:val="inline-flex"/>
          <w:rFonts w:eastAsiaTheme="majorEastAsia"/>
        </w:rPr>
        <w:t>18</w:t>
      </w:r>
      <w:r>
        <w:t>.</w:t>
      </w:r>
    </w:p>
    <w:p w14:paraId="00607B5B" w14:textId="77777777" w:rsidR="00F005A6" w:rsidRDefault="00F005A6" w:rsidP="00F005A6">
      <w:r>
        <w:rPr>
          <w:rStyle w:val="font-sans"/>
          <w:rFonts w:ascii="Arial" w:eastAsiaTheme="majorEastAsia" w:hAnsi="Arial" w:cs="Arial"/>
        </w:rPr>
        <w:t>•</w:t>
      </w:r>
      <w:r>
        <w:rPr>
          <w:rStyle w:val="font-600"/>
          <w:rFonts w:eastAsiaTheme="majorEastAsia"/>
        </w:rPr>
        <w:t>Safety:</w:t>
      </w:r>
      <w:r>
        <w:rPr>
          <w:rStyle w:val="flex-1"/>
        </w:rPr>
        <w:t xml:space="preserve"> While Casgevy has a favorable safety profile, the potential for </w:t>
      </w:r>
      <w:r>
        <w:rPr>
          <w:rStyle w:val="font-600"/>
          <w:rFonts w:eastAsiaTheme="majorEastAsia"/>
        </w:rPr>
        <w:t>off-target effects</w:t>
      </w:r>
      <w:r>
        <w:rPr>
          <w:rStyle w:val="flex-1"/>
        </w:rPr>
        <w:t xml:space="preserve"> (unintended edits at non-target sites) and the long-term consequences of myeloablative conditioning remain key concerns </w:t>
      </w:r>
      <w:r>
        <w:rPr>
          <w:rStyle w:val="inline-flex"/>
          <w:rFonts w:eastAsiaTheme="majorEastAsia"/>
        </w:rPr>
        <w:t>19</w:t>
      </w:r>
      <w:r>
        <w:rPr>
          <w:rStyle w:val="flex-1"/>
        </w:rPr>
        <w:t>.</w:t>
      </w:r>
    </w:p>
    <w:p w14:paraId="106904DD" w14:textId="77777777" w:rsidR="00F005A6" w:rsidRDefault="00F005A6" w:rsidP="00F005A6">
      <w:r>
        <w:rPr>
          <w:rStyle w:val="font-sans"/>
          <w:rFonts w:ascii="Arial" w:eastAsiaTheme="majorEastAsia" w:hAnsi="Arial" w:cs="Arial"/>
        </w:rPr>
        <w:t>•</w:t>
      </w:r>
      <w:r>
        <w:rPr>
          <w:rStyle w:val="font-600"/>
          <w:rFonts w:eastAsiaTheme="majorEastAsia"/>
        </w:rPr>
        <w:t>Delivery:</w:t>
      </w:r>
      <w:r>
        <w:rPr>
          <w:rStyle w:val="flex-1"/>
        </w:rPr>
        <w:t xml:space="preserve"> Optimizing the delivery of gene-editing components is crucial. The future direction is a shift toward </w:t>
      </w:r>
      <w:r>
        <w:rPr>
          <w:rStyle w:val="font-600"/>
          <w:rFonts w:eastAsiaTheme="majorEastAsia"/>
        </w:rPr>
        <w:t>in vivo delivery</w:t>
      </w:r>
      <w:r>
        <w:rPr>
          <w:rStyle w:val="flex-1"/>
        </w:rPr>
        <w:t xml:space="preserve">, where the editing components are delivered directly into the body, potentially using advanced vehicles like </w:t>
      </w:r>
      <w:r>
        <w:rPr>
          <w:rStyle w:val="font-600"/>
          <w:rFonts w:eastAsiaTheme="majorEastAsia"/>
        </w:rPr>
        <w:t>lipid nanoparticles (LNPs)</w:t>
      </w:r>
      <w:r>
        <w:rPr>
          <w:rStyle w:val="flex-1"/>
        </w:rPr>
        <w:t xml:space="preserve"> or modified viral vectors. This would simplify the procedure, reduce costs, and expand accessibility </w:t>
      </w:r>
      <w:r>
        <w:rPr>
          <w:rStyle w:val="inline-flex"/>
          <w:rFonts w:eastAsiaTheme="majorEastAsia"/>
        </w:rPr>
        <w:t>20</w:t>
      </w:r>
      <w:r>
        <w:rPr>
          <w:rStyle w:val="flex-1"/>
        </w:rPr>
        <w:t>.</w:t>
      </w:r>
    </w:p>
    <w:p w14:paraId="27EC4B9C" w14:textId="77777777" w:rsidR="00F005A6" w:rsidRDefault="00F005A6" w:rsidP="00F005A6">
      <w:pPr>
        <w:pStyle w:val="Heading3"/>
      </w:pPr>
      <w:r>
        <w:t>4.2. Ethical, Legal, and Social Implications (ELSI)</w:t>
      </w:r>
    </w:p>
    <w:p w14:paraId="2F1D5FCB" w14:textId="77777777" w:rsidR="00F005A6" w:rsidRDefault="00F005A6" w:rsidP="00F005A6">
      <w:r>
        <w:t xml:space="preserve">The most pressing challenge is the issue of </w:t>
      </w:r>
      <w:r>
        <w:rPr>
          <w:rStyle w:val="font-600"/>
          <w:rFonts w:eastAsiaTheme="majorEastAsia"/>
        </w:rPr>
        <w:t>equity and access</w:t>
      </w:r>
      <w:r>
        <w:t xml:space="preserve">. Gene therapies are currently priced in the multi-million dollar range, making them inaccessible to the vast majority of patients globally, particularly in regions of high prevalence </w:t>
      </w:r>
      <w:r>
        <w:rPr>
          <w:rStyle w:val="inline-flex"/>
          <w:rFonts w:eastAsiaTheme="majorEastAsia"/>
        </w:rPr>
        <w:t>21</w:t>
      </w:r>
      <w:r>
        <w:t>. This creates a profound ethical dilemma regarding the distribution of potentially curative medicine.</w:t>
      </w:r>
    </w:p>
    <w:p w14:paraId="14F0BCAD" w14:textId="77777777" w:rsidR="00F005A6" w:rsidRDefault="00F005A6" w:rsidP="00F005A6">
      <w:r>
        <w:t xml:space="preserve">Furthermore, the technology raises ethical questions regarding </w:t>
      </w:r>
      <w:r>
        <w:rPr>
          <w:rStyle w:val="font-600"/>
          <w:rFonts w:eastAsiaTheme="majorEastAsia"/>
        </w:rPr>
        <w:t>germline editing</w:t>
      </w:r>
      <w:r>
        <w:t xml:space="preserve">—making changes that can be inherited by future generations—though current approved therapies are limited to non-heritable somatic cells </w:t>
      </w:r>
      <w:r>
        <w:rPr>
          <w:rStyle w:val="inline-flex"/>
          <w:rFonts w:eastAsiaTheme="majorEastAsia"/>
        </w:rPr>
        <w:t>22</w:t>
      </w:r>
      <w:r>
        <w:t xml:space="preserve">. Informed consent and the necessity for decades of long-term patient monitoring also present unique ethical and logistical hurdles </w:t>
      </w:r>
      <w:r>
        <w:rPr>
          <w:rStyle w:val="inline-flex"/>
          <w:rFonts w:eastAsiaTheme="majorEastAsia"/>
        </w:rPr>
        <w:t>23</w:t>
      </w:r>
      <w:r>
        <w:t>.</w:t>
      </w:r>
    </w:p>
    <w:p w14:paraId="7282E8B9" w14:textId="77777777" w:rsidR="00F005A6" w:rsidRDefault="00F005A6" w:rsidP="00F005A6">
      <w:pPr>
        <w:pStyle w:val="Heading3"/>
      </w:pPr>
      <w:r>
        <w:t>4.3. Future Directions</w:t>
      </w:r>
    </w:p>
    <w:p w14:paraId="23270409" w14:textId="77777777" w:rsidR="00F005A6" w:rsidRDefault="00F005A6" w:rsidP="00F005A6">
      <w:r>
        <w:t>The field is rapidly advancing beyond the first-generation CRISPR approach. Future research is focused on:</w:t>
      </w:r>
    </w:p>
    <w:p w14:paraId="2AD28671" w14:textId="77777777" w:rsidR="00F005A6" w:rsidRDefault="00F005A6" w:rsidP="00F005A6">
      <w:r>
        <w:rPr>
          <w:rStyle w:val="helvetica"/>
          <w:rFonts w:eastAsiaTheme="majorEastAsia"/>
        </w:rPr>
        <w:t>1.</w:t>
      </w:r>
      <w:r>
        <w:rPr>
          <w:rStyle w:val="font-600"/>
          <w:rFonts w:eastAsiaTheme="majorEastAsia"/>
        </w:rPr>
        <w:t>In Vivo Gene Editing:</w:t>
      </w:r>
      <w:r>
        <w:rPr>
          <w:rStyle w:val="flex-1"/>
        </w:rPr>
        <w:t xml:space="preserve"> Developing safe and efficient delivery systems (e.g., LNPs) to enable direct editing within the patient's body, eliminating the need for </w:t>
      </w:r>
      <w:r>
        <w:rPr>
          <w:rStyle w:val="italic"/>
          <w:rFonts w:eastAsiaTheme="majorEastAsia"/>
        </w:rPr>
        <w:t>ex vivo</w:t>
      </w:r>
      <w:r>
        <w:rPr>
          <w:rStyle w:val="flex-1"/>
        </w:rPr>
        <w:t xml:space="preserve"> processing and myeloablative conditioning </w:t>
      </w:r>
      <w:r>
        <w:rPr>
          <w:rStyle w:val="inline-flex"/>
          <w:rFonts w:eastAsiaTheme="majorEastAsia"/>
        </w:rPr>
        <w:t>20</w:t>
      </w:r>
      <w:r>
        <w:rPr>
          <w:rStyle w:val="flex-1"/>
        </w:rPr>
        <w:t>.</w:t>
      </w:r>
    </w:p>
    <w:p w14:paraId="697C673A" w14:textId="77777777" w:rsidR="00F005A6" w:rsidRDefault="00F005A6" w:rsidP="00F005A6">
      <w:r>
        <w:rPr>
          <w:rStyle w:val="helvetica"/>
          <w:rFonts w:eastAsiaTheme="majorEastAsia"/>
        </w:rPr>
        <w:t>2.</w:t>
      </w:r>
      <w:r>
        <w:rPr>
          <w:rStyle w:val="font-600"/>
          <w:rFonts w:eastAsiaTheme="majorEastAsia"/>
        </w:rPr>
        <w:t>Precision Editing:</w:t>
      </w:r>
      <w:r>
        <w:rPr>
          <w:rStyle w:val="flex-1"/>
        </w:rPr>
        <w:t xml:space="preserve"> Leveraging Base and Prime Editing to correct the specific point mutation in SCD directly, rather than relying on the HbF induction strategy </w:t>
      </w:r>
      <w:r>
        <w:rPr>
          <w:rStyle w:val="inline-flex"/>
          <w:rFonts w:eastAsiaTheme="majorEastAsia"/>
        </w:rPr>
        <w:t>12</w:t>
      </w:r>
      <w:r>
        <w:rPr>
          <w:rStyle w:val="flex-1"/>
        </w:rPr>
        <w:t>.</w:t>
      </w:r>
    </w:p>
    <w:p w14:paraId="64911587" w14:textId="77777777" w:rsidR="00F005A6" w:rsidRDefault="00F005A6" w:rsidP="00F005A6">
      <w:r>
        <w:rPr>
          <w:rStyle w:val="helvetica"/>
          <w:rFonts w:eastAsiaTheme="majorEastAsia"/>
        </w:rPr>
        <w:t>3.</w:t>
      </w:r>
      <w:r>
        <w:rPr>
          <w:rStyle w:val="font-600"/>
          <w:rFonts w:eastAsiaTheme="majorEastAsia"/>
        </w:rPr>
        <w:t>Epigenetic Modulation:</w:t>
      </w:r>
      <w:r>
        <w:rPr>
          <w:rStyle w:val="flex-1"/>
        </w:rPr>
        <w:t xml:space="preserve"> Exploring methods to transiently or reversibly modulate gene expression, offering a potentially safer alternative to permanent DNA alteration </w:t>
      </w:r>
      <w:r>
        <w:rPr>
          <w:rStyle w:val="inline-flex"/>
          <w:rFonts w:eastAsiaTheme="majorEastAsia"/>
        </w:rPr>
        <w:t>24</w:t>
      </w:r>
      <w:r>
        <w:rPr>
          <w:rStyle w:val="flex-1"/>
        </w:rPr>
        <w:t>.</w:t>
      </w:r>
    </w:p>
    <w:p w14:paraId="2CF3C6BE" w14:textId="77777777" w:rsidR="00F005A6" w:rsidRDefault="00F005A6" w:rsidP="00F005A6">
      <w:pPr>
        <w:pStyle w:val="Heading2"/>
      </w:pPr>
      <w:r>
        <w:t>Conclusion</w:t>
      </w:r>
    </w:p>
    <w:p w14:paraId="1F1C33AD" w14:textId="77777777" w:rsidR="00F005A6" w:rsidRDefault="00F005A6" w:rsidP="00F005A6">
      <w:r>
        <w:t xml:space="preserve">The approval of Casgevy represents a watershed moment in the treatment of inherited hemoglobinopathies, validating the potential of CRISPR/Cas9 as a curative therapeutic tool. The field is now moving toward next-generation editors and </w:t>
      </w:r>
      <w:r>
        <w:rPr>
          <w:rStyle w:val="italic"/>
          <w:rFonts w:eastAsiaTheme="majorEastAsia"/>
        </w:rPr>
        <w:t>in vivo</w:t>
      </w:r>
      <w:r>
        <w:t xml:space="preserve"> delivery methods to enhance precision, safety, and accessibility. While significant technical and ethical challenges, </w:t>
      </w:r>
      <w:r>
        <w:lastRenderedPageBreak/>
        <w:t>particularly concerning cost and equity, must be navigated, the trajectory of gene editing promises a future where these debilitating blood disorders can be definitively cured for all patients.</w:t>
      </w:r>
    </w:p>
    <w:p w14:paraId="17F746B9" w14:textId="77777777" w:rsidR="00F005A6" w:rsidRDefault="00F005A6" w:rsidP="00F005A6">
      <w:pPr>
        <w:pStyle w:val="Heading2"/>
      </w:pPr>
      <w:r>
        <w:t>References</w:t>
      </w:r>
    </w:p>
    <w:p w14:paraId="0460D6A4" w14:textId="77777777" w:rsidR="00F005A6" w:rsidRDefault="00F005A6" w:rsidP="00F005A6">
      <w:hyperlink r:id="rId101" w:tgtFrame="_blank" w:history="1">
        <w:r>
          <w:rPr>
            <w:rStyle w:val="select-none"/>
            <w:rFonts w:eastAsiaTheme="majorEastAsia"/>
            <w:color w:val="0000FF"/>
            <w:u w:val="single"/>
          </w:rPr>
          <w:t>[1] </w:t>
        </w:r>
        <w:r>
          <w:rPr>
            <w:rStyle w:val="Hyperlink"/>
          </w:rPr>
          <w:t>Inherited Disorders of Hemoglobin - Disease Control ... - NCBI.</w:t>
        </w:r>
      </w:hyperlink>
    </w:p>
    <w:p w14:paraId="1217043C" w14:textId="77777777" w:rsidR="00F005A6" w:rsidRDefault="00F005A6" w:rsidP="00F005A6">
      <w:hyperlink r:id="rId102" w:tgtFrame="_blank" w:history="1">
        <w:r>
          <w:rPr>
            <w:rStyle w:val="select-none"/>
            <w:rFonts w:eastAsiaTheme="majorEastAsia"/>
            <w:color w:val="0000FF"/>
            <w:u w:val="single"/>
          </w:rPr>
          <w:t>[2] </w:t>
        </w:r>
        <w:r>
          <w:rPr>
            <w:rStyle w:val="Hyperlink"/>
          </w:rPr>
          <w:t>Hemoglobinopathy Current Practices.</w:t>
        </w:r>
      </w:hyperlink>
    </w:p>
    <w:p w14:paraId="180A1D2F" w14:textId="77777777" w:rsidR="00F005A6" w:rsidRDefault="00F005A6" w:rsidP="00F005A6">
      <w:hyperlink r:id="rId103" w:tgtFrame="_blank" w:history="1">
        <w:r>
          <w:rPr>
            <w:rStyle w:val="select-none"/>
            <w:rFonts w:eastAsiaTheme="majorEastAsia"/>
            <w:color w:val="0000FF"/>
            <w:u w:val="single"/>
          </w:rPr>
          <w:t>[3] </w:t>
        </w:r>
        <w:r>
          <w:rPr>
            <w:rStyle w:val="Hyperlink"/>
          </w:rPr>
          <w:t>Sickle Cell Disease - Treatment - NHLBI - NIH.</w:t>
        </w:r>
      </w:hyperlink>
    </w:p>
    <w:p w14:paraId="570E4E11" w14:textId="77777777" w:rsidR="00F005A6" w:rsidRDefault="00F005A6" w:rsidP="00F005A6">
      <w:hyperlink r:id="rId104" w:tgtFrame="_blank" w:history="1">
        <w:r>
          <w:rPr>
            <w:rStyle w:val="select-none"/>
            <w:rFonts w:eastAsiaTheme="majorEastAsia"/>
            <w:color w:val="0000FF"/>
            <w:u w:val="single"/>
          </w:rPr>
          <w:t>[4] </w:t>
        </w:r>
        <w:r>
          <w:rPr>
            <w:rStyle w:val="Hyperlink"/>
          </w:rPr>
          <w:t>Current status of beta‐thalassemia and its treatment strategies.</w:t>
        </w:r>
      </w:hyperlink>
    </w:p>
    <w:p w14:paraId="5AD5D2A4" w14:textId="77777777" w:rsidR="00F005A6" w:rsidRDefault="00F005A6" w:rsidP="00F005A6">
      <w:hyperlink r:id="rId105" w:tgtFrame="_blank" w:history="1">
        <w:r>
          <w:rPr>
            <w:rStyle w:val="select-none"/>
            <w:rFonts w:eastAsiaTheme="majorEastAsia"/>
            <w:color w:val="0000FF"/>
            <w:u w:val="single"/>
          </w:rPr>
          <w:t>[5] </w:t>
        </w:r>
        <w:r>
          <w:rPr>
            <w:rStyle w:val="Hyperlink"/>
          </w:rPr>
          <w:t>An unmet medical need in treating rare genetic blood disorders.</w:t>
        </w:r>
      </w:hyperlink>
    </w:p>
    <w:p w14:paraId="57FED011" w14:textId="77777777" w:rsidR="00F005A6" w:rsidRDefault="00F005A6" w:rsidP="00F005A6">
      <w:hyperlink r:id="rId106" w:tgtFrame="_blank" w:history="1">
        <w:r>
          <w:rPr>
            <w:rStyle w:val="select-none"/>
            <w:rFonts w:eastAsiaTheme="majorEastAsia"/>
            <w:color w:val="0000FF"/>
            <w:u w:val="single"/>
          </w:rPr>
          <w:t>[6] </w:t>
        </w:r>
        <w:r>
          <w:rPr>
            <w:rStyle w:val="Hyperlink"/>
          </w:rPr>
          <w:t>Recent advancements in gene therapy for sickle cell ...</w:t>
        </w:r>
      </w:hyperlink>
    </w:p>
    <w:p w14:paraId="65810AFE" w14:textId="77777777" w:rsidR="00F005A6" w:rsidRDefault="00F005A6" w:rsidP="00F005A6">
      <w:hyperlink r:id="rId107" w:tgtFrame="_blank" w:history="1">
        <w:r>
          <w:rPr>
            <w:rStyle w:val="select-none"/>
            <w:rFonts w:eastAsiaTheme="majorEastAsia"/>
            <w:color w:val="0000FF"/>
            <w:u w:val="single"/>
          </w:rPr>
          <w:t>[7] </w:t>
        </w:r>
        <w:r>
          <w:rPr>
            <w:rStyle w:val="Hyperlink"/>
          </w:rPr>
          <w:t>FDA Approves First Gene Therapies to Treat Patients with ...</w:t>
        </w:r>
      </w:hyperlink>
    </w:p>
    <w:p w14:paraId="228FA4EA" w14:textId="77777777" w:rsidR="00F005A6" w:rsidRDefault="00F005A6" w:rsidP="00F005A6">
      <w:hyperlink r:id="rId108" w:tgtFrame="_blank" w:history="1">
        <w:r>
          <w:rPr>
            <w:rStyle w:val="select-none"/>
            <w:rFonts w:eastAsiaTheme="majorEastAsia"/>
            <w:color w:val="0000FF"/>
            <w:u w:val="single"/>
          </w:rPr>
          <w:t>[8] </w:t>
        </w:r>
        <w:r>
          <w:rPr>
            <w:rStyle w:val="Hyperlink"/>
          </w:rPr>
          <w:t>CRISPR Therapeutics approach to hemoglobinopathies.</w:t>
        </w:r>
      </w:hyperlink>
    </w:p>
    <w:p w14:paraId="7BB67B66" w14:textId="77777777" w:rsidR="00F005A6" w:rsidRDefault="00F005A6" w:rsidP="00F005A6">
      <w:hyperlink r:id="rId109" w:tgtFrame="_blank" w:history="1">
        <w:r>
          <w:rPr>
            <w:rStyle w:val="select-none"/>
            <w:rFonts w:eastAsiaTheme="majorEastAsia"/>
            <w:color w:val="0000FF"/>
            <w:u w:val="single"/>
          </w:rPr>
          <w:t>[9] </w:t>
        </w:r>
        <w:r>
          <w:rPr>
            <w:rStyle w:val="Hyperlink"/>
          </w:rPr>
          <w:t>Therapeutic Gene Editing for Hemoglobinopathies.</w:t>
        </w:r>
      </w:hyperlink>
    </w:p>
    <w:p w14:paraId="22A8E274" w14:textId="77777777" w:rsidR="00F005A6" w:rsidRDefault="00F005A6" w:rsidP="00F005A6">
      <w:hyperlink r:id="rId110" w:tgtFrame="_blank" w:history="1">
        <w:r>
          <w:rPr>
            <w:rStyle w:val="select-none"/>
            <w:rFonts w:eastAsiaTheme="majorEastAsia"/>
            <w:color w:val="0000FF"/>
            <w:u w:val="single"/>
          </w:rPr>
          <w:t>[10] </w:t>
        </w:r>
        <w:r>
          <w:rPr>
            <w:rStyle w:val="Hyperlink"/>
          </w:rPr>
          <w:t>CRISPR-Cas9 Editing of the HBG1 and HBG2 Promoters to ...</w:t>
        </w:r>
      </w:hyperlink>
    </w:p>
    <w:p w14:paraId="44045348" w14:textId="77777777" w:rsidR="00F005A6" w:rsidRDefault="00F005A6" w:rsidP="00F005A6">
      <w:hyperlink r:id="rId111" w:tgtFrame="_blank" w:history="1">
        <w:r>
          <w:rPr>
            <w:rStyle w:val="select-none"/>
            <w:rFonts w:eastAsiaTheme="majorEastAsia"/>
            <w:color w:val="0000FF"/>
            <w:u w:val="single"/>
          </w:rPr>
          <w:t>[11] </w:t>
        </w:r>
        <w:r>
          <w:rPr>
            <w:rStyle w:val="Hyperlink"/>
          </w:rPr>
          <w:t>CRISPR-Cas9 Gene Editing for Sickle Cell Disease and β-Thalassemia.</w:t>
        </w:r>
      </w:hyperlink>
    </w:p>
    <w:p w14:paraId="74FBD482" w14:textId="77777777" w:rsidR="00F005A6" w:rsidRDefault="00F005A6" w:rsidP="00F005A6">
      <w:hyperlink r:id="rId112" w:tgtFrame="_blank" w:history="1">
        <w:r>
          <w:rPr>
            <w:rStyle w:val="select-none"/>
            <w:rFonts w:eastAsiaTheme="majorEastAsia"/>
            <w:color w:val="0000FF"/>
            <w:u w:val="single"/>
          </w:rPr>
          <w:t>[12] </w:t>
        </w:r>
        <w:r>
          <w:rPr>
            <w:rStyle w:val="Hyperlink"/>
          </w:rPr>
          <w:t>Base and Prime Editing Technologies for Blood Disorders.</w:t>
        </w:r>
      </w:hyperlink>
    </w:p>
    <w:p w14:paraId="7C1479E1" w14:textId="77777777" w:rsidR="00F005A6" w:rsidRDefault="00F005A6" w:rsidP="00F005A6">
      <w:hyperlink r:id="rId113" w:tgtFrame="_blank" w:history="1">
        <w:r>
          <w:rPr>
            <w:rStyle w:val="select-none"/>
            <w:rFonts w:eastAsiaTheme="majorEastAsia"/>
            <w:color w:val="0000FF"/>
            <w:u w:val="single"/>
          </w:rPr>
          <w:t>[13] </w:t>
        </w:r>
        <w:r>
          <w:rPr>
            <w:rStyle w:val="Hyperlink"/>
          </w:rPr>
          <w:t>Editorial: First Regulatory Approvals for CRISPR-Cas9 ...</w:t>
        </w:r>
      </w:hyperlink>
    </w:p>
    <w:p w14:paraId="3894BA47" w14:textId="77777777" w:rsidR="00F005A6" w:rsidRDefault="00F005A6" w:rsidP="00F005A6">
      <w:hyperlink r:id="rId114" w:tgtFrame="_blank" w:history="1">
        <w:r>
          <w:rPr>
            <w:rStyle w:val="select-none"/>
            <w:rFonts w:eastAsiaTheme="majorEastAsia"/>
            <w:color w:val="0000FF"/>
            <w:u w:val="single"/>
          </w:rPr>
          <w:t>[14] </w:t>
        </w:r>
        <w:r>
          <w:rPr>
            <w:rStyle w:val="Hyperlink"/>
          </w:rPr>
          <w:t>Casgevy | European Medicines Agency (EMA ).</w:t>
        </w:r>
      </w:hyperlink>
    </w:p>
    <w:p w14:paraId="3CBB1447" w14:textId="77777777" w:rsidR="00F005A6" w:rsidRDefault="00F005A6" w:rsidP="00F005A6">
      <w:hyperlink w:tgtFrame="_blank" w:history="1">
        <w:r>
          <w:rPr>
            <w:rStyle w:val="select-none"/>
            <w:rFonts w:eastAsiaTheme="majorEastAsia"/>
            <w:color w:val="0000FF"/>
            <w:u w:val="single"/>
          </w:rPr>
          <w:t>[15] </w:t>
        </w:r>
        <w:r>
          <w:rPr>
            <w:rStyle w:val="Hyperlink"/>
          </w:rPr>
          <w:t>Gene therapy for hemoglobinopathies: Clinical trial results ... https://www.cell.com/cell-reports-medicine/fulltext/S2666-3791(25 )00492-6</w:t>
        </w:r>
      </w:hyperlink>
    </w:p>
    <w:p w14:paraId="7005C381" w14:textId="77777777" w:rsidR="00F005A6" w:rsidRDefault="00F005A6" w:rsidP="00F005A6">
      <w:hyperlink r:id="rId115" w:tgtFrame="_blank" w:history="1">
        <w:r>
          <w:rPr>
            <w:rStyle w:val="select-none"/>
            <w:rFonts w:eastAsiaTheme="majorEastAsia"/>
            <w:color w:val="0000FF"/>
            <w:u w:val="single"/>
          </w:rPr>
          <w:t>[16] </w:t>
        </w:r>
        <w:r>
          <w:rPr>
            <w:rStyle w:val="Hyperlink"/>
          </w:rPr>
          <w:t>Advancing gene editing therapeutics: Clinical trials and challenges.</w:t>
        </w:r>
      </w:hyperlink>
    </w:p>
    <w:p w14:paraId="282A124B" w14:textId="77777777" w:rsidR="00F005A6" w:rsidRDefault="00F005A6" w:rsidP="00F005A6">
      <w:hyperlink r:id="rId116" w:tgtFrame="_blank" w:history="1">
        <w:r>
          <w:rPr>
            <w:rStyle w:val="select-none"/>
            <w:rFonts w:eastAsiaTheme="majorEastAsia"/>
            <w:color w:val="0000FF"/>
            <w:u w:val="single"/>
          </w:rPr>
          <w:t>[17] </w:t>
        </w:r>
        <w:r>
          <w:rPr>
            <w:rStyle w:val="Hyperlink"/>
          </w:rPr>
          <w:t>Gene therapy for β-hemoglobinopathies: from discovery to clinical trials - MDS risk.</w:t>
        </w:r>
      </w:hyperlink>
    </w:p>
    <w:p w14:paraId="710C8668" w14:textId="77777777" w:rsidR="00F005A6" w:rsidRDefault="00F005A6" w:rsidP="00F005A6">
      <w:hyperlink r:id="rId117" w:tgtFrame="_blank" w:history="1">
        <w:r>
          <w:rPr>
            <w:rStyle w:val="select-none"/>
            <w:rFonts w:eastAsiaTheme="majorEastAsia"/>
            <w:color w:val="0000FF"/>
            <w:u w:val="single"/>
          </w:rPr>
          <w:t>[18] </w:t>
        </w:r>
        <w:r>
          <w:rPr>
            <w:rStyle w:val="Hyperlink"/>
          </w:rPr>
          <w:t>CRISPR Gene Therapy: Applications, Limitations, and Challenges.</w:t>
        </w:r>
      </w:hyperlink>
    </w:p>
    <w:p w14:paraId="088D48B5" w14:textId="77777777" w:rsidR="00F005A6" w:rsidRDefault="00F005A6" w:rsidP="00F005A6">
      <w:hyperlink r:id="rId118" w:tgtFrame="_blank" w:history="1">
        <w:r>
          <w:rPr>
            <w:rStyle w:val="select-none"/>
            <w:rFonts w:eastAsiaTheme="majorEastAsia"/>
            <w:color w:val="0000FF"/>
            <w:u w:val="single"/>
          </w:rPr>
          <w:t>[19] </w:t>
        </w:r>
        <w:r>
          <w:rPr>
            <w:rStyle w:val="Hyperlink"/>
          </w:rPr>
          <w:t>Applications and challenges of CRISPR-Cas.</w:t>
        </w:r>
      </w:hyperlink>
    </w:p>
    <w:p w14:paraId="2F2B0439" w14:textId="77777777" w:rsidR="00F005A6" w:rsidRDefault="00F005A6" w:rsidP="00F005A6">
      <w:hyperlink r:id="rId119" w:tgtFrame="_blank" w:history="1">
        <w:r>
          <w:rPr>
            <w:rStyle w:val="select-none"/>
            <w:rFonts w:eastAsiaTheme="majorEastAsia"/>
            <w:color w:val="0000FF"/>
            <w:u w:val="single"/>
          </w:rPr>
          <w:t>[20] </w:t>
        </w:r>
        <w:r>
          <w:rPr>
            <w:rStyle w:val="Hyperlink"/>
          </w:rPr>
          <w:t>The future of gene therapy: a review of in vivo and ex vivo delivery methods.</w:t>
        </w:r>
      </w:hyperlink>
    </w:p>
    <w:p w14:paraId="204DC897" w14:textId="77777777" w:rsidR="00F005A6" w:rsidRDefault="00F005A6" w:rsidP="00F005A6">
      <w:hyperlink r:id="rId120" w:tgtFrame="_blank" w:history="1">
        <w:r>
          <w:rPr>
            <w:rStyle w:val="select-none"/>
            <w:rFonts w:eastAsiaTheme="majorEastAsia"/>
            <w:color w:val="0000FF"/>
            <w:u w:val="single"/>
          </w:rPr>
          <w:t>[21] </w:t>
        </w:r>
        <w:r>
          <w:rPr>
            <w:rStyle w:val="Hyperlink"/>
          </w:rPr>
          <w:t>Successes and challenges in clinical gene therapy - cost.</w:t>
        </w:r>
      </w:hyperlink>
    </w:p>
    <w:p w14:paraId="63150013" w14:textId="77777777" w:rsidR="00F005A6" w:rsidRDefault="00F005A6" w:rsidP="00F005A6">
      <w:hyperlink r:id="rId121" w:tgtFrame="_blank" w:history="1">
        <w:r>
          <w:rPr>
            <w:rStyle w:val="select-none"/>
            <w:rFonts w:eastAsiaTheme="majorEastAsia"/>
            <w:color w:val="0000FF"/>
            <w:u w:val="single"/>
          </w:rPr>
          <w:t>[22] </w:t>
        </w:r>
        <w:r>
          <w:rPr>
            <w:rStyle w:val="Hyperlink"/>
          </w:rPr>
          <w:t>Bioethical issues in genome editing by CRISPR-Cas9.</w:t>
        </w:r>
      </w:hyperlink>
    </w:p>
    <w:p w14:paraId="37B0D416" w14:textId="77777777" w:rsidR="00F005A6" w:rsidRDefault="00F005A6" w:rsidP="00F005A6">
      <w:hyperlink r:id="rId122" w:tgtFrame="_blank" w:history="1">
        <w:r>
          <w:rPr>
            <w:rStyle w:val="select-none"/>
            <w:rFonts w:eastAsiaTheme="majorEastAsia"/>
            <w:color w:val="0000FF"/>
            <w:u w:val="single"/>
          </w:rPr>
          <w:t>[23] </w:t>
        </w:r>
        <w:r>
          <w:rPr>
            <w:rStyle w:val="Hyperlink"/>
          </w:rPr>
          <w:t>What are the ethical issues surrounding gene therapy?</w:t>
        </w:r>
      </w:hyperlink>
    </w:p>
    <w:p w14:paraId="15C51B26" w14:textId="77777777" w:rsidR="00F005A6" w:rsidRDefault="00F005A6" w:rsidP="00F005A6">
      <w:hyperlink r:id="rId123" w:tgtFrame="_blank" w:history="1">
        <w:r>
          <w:rPr>
            <w:rStyle w:val="select-none"/>
            <w:rFonts w:eastAsiaTheme="majorEastAsia"/>
            <w:color w:val="0000FF"/>
            <w:u w:val="single"/>
          </w:rPr>
          <w:t>[24] </w:t>
        </w:r>
        <w:r>
          <w:rPr>
            <w:rStyle w:val="Hyperlink"/>
          </w:rPr>
          <w:t>Recent advances in therapeutic gene-editing technologies.</w:t>
        </w:r>
      </w:hyperlink>
    </w:p>
    <w:p w14:paraId="6A98B38C" w14:textId="77777777" w:rsidR="00996264" w:rsidRPr="00996264" w:rsidRDefault="00996264" w:rsidP="00996264">
      <w:pPr>
        <w:jc w:val="center"/>
        <w:rPr>
          <w:sz w:val="40"/>
          <w:szCs w:val="40"/>
        </w:rPr>
      </w:pPr>
    </w:p>
    <w:sectPr w:rsidR="00996264" w:rsidRPr="00996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73"/>
    <w:multiLevelType w:val="multilevel"/>
    <w:tmpl w:val="D3FC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1629"/>
    <w:multiLevelType w:val="multilevel"/>
    <w:tmpl w:val="AD2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099B"/>
    <w:multiLevelType w:val="multilevel"/>
    <w:tmpl w:val="756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4925"/>
    <w:multiLevelType w:val="multilevel"/>
    <w:tmpl w:val="AFC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225FC"/>
    <w:multiLevelType w:val="multilevel"/>
    <w:tmpl w:val="D7B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63F12"/>
    <w:multiLevelType w:val="multilevel"/>
    <w:tmpl w:val="8EA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721F"/>
    <w:multiLevelType w:val="multilevel"/>
    <w:tmpl w:val="C51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737BE"/>
    <w:multiLevelType w:val="multilevel"/>
    <w:tmpl w:val="687AA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16122"/>
    <w:multiLevelType w:val="multilevel"/>
    <w:tmpl w:val="4C50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C053B"/>
    <w:multiLevelType w:val="multilevel"/>
    <w:tmpl w:val="AA503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240F"/>
    <w:multiLevelType w:val="multilevel"/>
    <w:tmpl w:val="311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77339"/>
    <w:multiLevelType w:val="multilevel"/>
    <w:tmpl w:val="22E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949E9"/>
    <w:multiLevelType w:val="multilevel"/>
    <w:tmpl w:val="76DA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C166F"/>
    <w:multiLevelType w:val="multilevel"/>
    <w:tmpl w:val="ABC4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D7A3B"/>
    <w:multiLevelType w:val="multilevel"/>
    <w:tmpl w:val="E1E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C3A3C"/>
    <w:multiLevelType w:val="multilevel"/>
    <w:tmpl w:val="B952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D0863"/>
    <w:multiLevelType w:val="multilevel"/>
    <w:tmpl w:val="E7F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754F9"/>
    <w:multiLevelType w:val="multilevel"/>
    <w:tmpl w:val="26B66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11025"/>
    <w:multiLevelType w:val="multilevel"/>
    <w:tmpl w:val="1E5E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D5480"/>
    <w:multiLevelType w:val="multilevel"/>
    <w:tmpl w:val="E95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63867"/>
    <w:multiLevelType w:val="multilevel"/>
    <w:tmpl w:val="F51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F62A3"/>
    <w:multiLevelType w:val="multilevel"/>
    <w:tmpl w:val="817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A2824"/>
    <w:multiLevelType w:val="multilevel"/>
    <w:tmpl w:val="3796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740BF"/>
    <w:multiLevelType w:val="multilevel"/>
    <w:tmpl w:val="4F34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F78E5"/>
    <w:multiLevelType w:val="multilevel"/>
    <w:tmpl w:val="777EA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00D22"/>
    <w:multiLevelType w:val="multilevel"/>
    <w:tmpl w:val="19A2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310CD"/>
    <w:multiLevelType w:val="multilevel"/>
    <w:tmpl w:val="718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B64BE"/>
    <w:multiLevelType w:val="multilevel"/>
    <w:tmpl w:val="30FA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F646A6"/>
    <w:multiLevelType w:val="multilevel"/>
    <w:tmpl w:val="480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D050D"/>
    <w:multiLevelType w:val="multilevel"/>
    <w:tmpl w:val="052E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07A71"/>
    <w:multiLevelType w:val="multilevel"/>
    <w:tmpl w:val="0DF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33B02"/>
    <w:multiLevelType w:val="multilevel"/>
    <w:tmpl w:val="EF36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F5C1A"/>
    <w:multiLevelType w:val="multilevel"/>
    <w:tmpl w:val="2642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C517D"/>
    <w:multiLevelType w:val="multilevel"/>
    <w:tmpl w:val="C6F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040AA"/>
    <w:multiLevelType w:val="multilevel"/>
    <w:tmpl w:val="E0B0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B50FA"/>
    <w:multiLevelType w:val="multilevel"/>
    <w:tmpl w:val="964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E41B0"/>
    <w:multiLevelType w:val="multilevel"/>
    <w:tmpl w:val="845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F2FB3"/>
    <w:multiLevelType w:val="multilevel"/>
    <w:tmpl w:val="2F04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B1652"/>
    <w:multiLevelType w:val="multilevel"/>
    <w:tmpl w:val="0B5E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4627C"/>
    <w:multiLevelType w:val="multilevel"/>
    <w:tmpl w:val="E53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D7AEB"/>
    <w:multiLevelType w:val="multilevel"/>
    <w:tmpl w:val="944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6A3265"/>
    <w:multiLevelType w:val="multilevel"/>
    <w:tmpl w:val="F074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6F5B49"/>
    <w:multiLevelType w:val="multilevel"/>
    <w:tmpl w:val="84B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E5A1F"/>
    <w:multiLevelType w:val="multilevel"/>
    <w:tmpl w:val="20F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C83CBE"/>
    <w:multiLevelType w:val="multilevel"/>
    <w:tmpl w:val="006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4109E"/>
    <w:multiLevelType w:val="multilevel"/>
    <w:tmpl w:val="7388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52EF1"/>
    <w:multiLevelType w:val="multilevel"/>
    <w:tmpl w:val="039C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4714F1"/>
    <w:multiLevelType w:val="multilevel"/>
    <w:tmpl w:val="3CB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3B26B6"/>
    <w:multiLevelType w:val="multilevel"/>
    <w:tmpl w:val="AC1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61964"/>
    <w:multiLevelType w:val="multilevel"/>
    <w:tmpl w:val="AD6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243FF7"/>
    <w:multiLevelType w:val="multilevel"/>
    <w:tmpl w:val="41BA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3C7547"/>
    <w:multiLevelType w:val="multilevel"/>
    <w:tmpl w:val="E744C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0B704F"/>
    <w:multiLevelType w:val="multilevel"/>
    <w:tmpl w:val="B04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2101F"/>
    <w:multiLevelType w:val="multilevel"/>
    <w:tmpl w:val="5F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A448B"/>
    <w:multiLevelType w:val="multilevel"/>
    <w:tmpl w:val="A1B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171CD2"/>
    <w:multiLevelType w:val="multilevel"/>
    <w:tmpl w:val="A44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21A6F"/>
    <w:multiLevelType w:val="multilevel"/>
    <w:tmpl w:val="934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4B1DB7"/>
    <w:multiLevelType w:val="multilevel"/>
    <w:tmpl w:val="6CA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AD7A98"/>
    <w:multiLevelType w:val="multilevel"/>
    <w:tmpl w:val="CCD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10C25"/>
    <w:multiLevelType w:val="multilevel"/>
    <w:tmpl w:val="13D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234428"/>
    <w:multiLevelType w:val="multilevel"/>
    <w:tmpl w:val="DFD8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67059"/>
    <w:multiLevelType w:val="multilevel"/>
    <w:tmpl w:val="8BEC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F92E0A"/>
    <w:multiLevelType w:val="multilevel"/>
    <w:tmpl w:val="FEBA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E58A0"/>
    <w:multiLevelType w:val="multilevel"/>
    <w:tmpl w:val="718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544C57"/>
    <w:multiLevelType w:val="multilevel"/>
    <w:tmpl w:val="D06E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641DC0"/>
    <w:multiLevelType w:val="multilevel"/>
    <w:tmpl w:val="253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590C45"/>
    <w:multiLevelType w:val="multilevel"/>
    <w:tmpl w:val="D6D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E7046"/>
    <w:multiLevelType w:val="multilevel"/>
    <w:tmpl w:val="E4B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067BD"/>
    <w:multiLevelType w:val="multilevel"/>
    <w:tmpl w:val="18A4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66F6C"/>
    <w:multiLevelType w:val="multilevel"/>
    <w:tmpl w:val="BFB29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16259"/>
    <w:multiLevelType w:val="multilevel"/>
    <w:tmpl w:val="90E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E101F7"/>
    <w:multiLevelType w:val="multilevel"/>
    <w:tmpl w:val="2CC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DF4CA9"/>
    <w:multiLevelType w:val="multilevel"/>
    <w:tmpl w:val="6016B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0168C6"/>
    <w:multiLevelType w:val="multilevel"/>
    <w:tmpl w:val="872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2269A"/>
    <w:multiLevelType w:val="multilevel"/>
    <w:tmpl w:val="34A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E5671"/>
    <w:multiLevelType w:val="multilevel"/>
    <w:tmpl w:val="C9C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85577D"/>
    <w:multiLevelType w:val="multilevel"/>
    <w:tmpl w:val="27A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C20E12"/>
    <w:multiLevelType w:val="multilevel"/>
    <w:tmpl w:val="F2DED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C97FAB"/>
    <w:multiLevelType w:val="multilevel"/>
    <w:tmpl w:val="40EC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C4169E"/>
    <w:multiLevelType w:val="multilevel"/>
    <w:tmpl w:val="AD9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60339"/>
    <w:multiLevelType w:val="multilevel"/>
    <w:tmpl w:val="8E8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6304D"/>
    <w:multiLevelType w:val="multilevel"/>
    <w:tmpl w:val="53A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A5748B"/>
    <w:multiLevelType w:val="multilevel"/>
    <w:tmpl w:val="8C00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96BA1"/>
    <w:multiLevelType w:val="multilevel"/>
    <w:tmpl w:val="78EE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942F7D"/>
    <w:multiLevelType w:val="multilevel"/>
    <w:tmpl w:val="204A0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D90574"/>
    <w:multiLevelType w:val="multilevel"/>
    <w:tmpl w:val="BC86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670364">
    <w:abstractNumId w:val="55"/>
  </w:num>
  <w:num w:numId="2" w16cid:durableId="1262565336">
    <w:abstractNumId w:val="4"/>
  </w:num>
  <w:num w:numId="3" w16cid:durableId="532768692">
    <w:abstractNumId w:val="43"/>
  </w:num>
  <w:num w:numId="4" w16cid:durableId="1038554374">
    <w:abstractNumId w:val="46"/>
  </w:num>
  <w:num w:numId="5" w16cid:durableId="1454711959">
    <w:abstractNumId w:val="40"/>
  </w:num>
  <w:num w:numId="6" w16cid:durableId="38365814">
    <w:abstractNumId w:val="75"/>
  </w:num>
  <w:num w:numId="7" w16cid:durableId="1711569267">
    <w:abstractNumId w:val="80"/>
  </w:num>
  <w:num w:numId="8" w16cid:durableId="1689019321">
    <w:abstractNumId w:val="2"/>
  </w:num>
  <w:num w:numId="9" w16cid:durableId="1402405239">
    <w:abstractNumId w:val="3"/>
  </w:num>
  <w:num w:numId="10" w16cid:durableId="270549142">
    <w:abstractNumId w:val="39"/>
  </w:num>
  <w:num w:numId="11" w16cid:durableId="1632205915">
    <w:abstractNumId w:val="71"/>
  </w:num>
  <w:num w:numId="12" w16cid:durableId="1950626632">
    <w:abstractNumId w:val="74"/>
  </w:num>
  <w:num w:numId="13" w16cid:durableId="384523265">
    <w:abstractNumId w:val="82"/>
  </w:num>
  <w:num w:numId="14" w16cid:durableId="1969123822">
    <w:abstractNumId w:val="65"/>
  </w:num>
  <w:num w:numId="15" w16cid:durableId="613441206">
    <w:abstractNumId w:val="16"/>
  </w:num>
  <w:num w:numId="16" w16cid:durableId="1231769225">
    <w:abstractNumId w:val="50"/>
  </w:num>
  <w:num w:numId="17" w16cid:durableId="1234311882">
    <w:abstractNumId w:val="8"/>
  </w:num>
  <w:num w:numId="18" w16cid:durableId="28072272">
    <w:abstractNumId w:val="67"/>
  </w:num>
  <w:num w:numId="19" w16cid:durableId="971863752">
    <w:abstractNumId w:val="27"/>
  </w:num>
  <w:num w:numId="20" w16cid:durableId="1135292937">
    <w:abstractNumId w:val="36"/>
  </w:num>
  <w:num w:numId="21" w16cid:durableId="1826318773">
    <w:abstractNumId w:val="48"/>
  </w:num>
  <w:num w:numId="22" w16cid:durableId="1973825645">
    <w:abstractNumId w:val="9"/>
  </w:num>
  <w:num w:numId="23" w16cid:durableId="1443722401">
    <w:abstractNumId w:val="83"/>
  </w:num>
  <w:num w:numId="24" w16cid:durableId="1163163327">
    <w:abstractNumId w:val="6"/>
  </w:num>
  <w:num w:numId="25" w16cid:durableId="1376850118">
    <w:abstractNumId w:val="51"/>
  </w:num>
  <w:num w:numId="26" w16cid:durableId="1995374670">
    <w:abstractNumId w:val="23"/>
  </w:num>
  <w:num w:numId="27" w16cid:durableId="1738622613">
    <w:abstractNumId w:val="73"/>
  </w:num>
  <w:num w:numId="28" w16cid:durableId="115219279">
    <w:abstractNumId w:val="76"/>
  </w:num>
  <w:num w:numId="29" w16cid:durableId="807236695">
    <w:abstractNumId w:val="57"/>
  </w:num>
  <w:num w:numId="30" w16cid:durableId="394161848">
    <w:abstractNumId w:val="78"/>
  </w:num>
  <w:num w:numId="31" w16cid:durableId="1021934500">
    <w:abstractNumId w:val="59"/>
  </w:num>
  <w:num w:numId="32" w16cid:durableId="1338385022">
    <w:abstractNumId w:val="21"/>
  </w:num>
  <w:num w:numId="33" w16cid:durableId="306790325">
    <w:abstractNumId w:val="31"/>
  </w:num>
  <w:num w:numId="34" w16cid:durableId="1530415333">
    <w:abstractNumId w:val="49"/>
  </w:num>
  <w:num w:numId="35" w16cid:durableId="1429426266">
    <w:abstractNumId w:val="44"/>
  </w:num>
  <w:num w:numId="36" w16cid:durableId="1552837834">
    <w:abstractNumId w:val="62"/>
  </w:num>
  <w:num w:numId="37" w16cid:durableId="1473862970">
    <w:abstractNumId w:val="61"/>
  </w:num>
  <w:num w:numId="38" w16cid:durableId="956181214">
    <w:abstractNumId w:val="20"/>
  </w:num>
  <w:num w:numId="39" w16cid:durableId="1967466809">
    <w:abstractNumId w:val="33"/>
  </w:num>
  <w:num w:numId="40" w16cid:durableId="189925486">
    <w:abstractNumId w:val="26"/>
  </w:num>
  <w:num w:numId="41" w16cid:durableId="128012870">
    <w:abstractNumId w:val="19"/>
  </w:num>
  <w:num w:numId="42" w16cid:durableId="333996435">
    <w:abstractNumId w:val="1"/>
  </w:num>
  <w:num w:numId="43" w16cid:durableId="889727419">
    <w:abstractNumId w:val="22"/>
  </w:num>
  <w:num w:numId="44" w16cid:durableId="855534269">
    <w:abstractNumId w:val="30"/>
  </w:num>
  <w:num w:numId="45" w16cid:durableId="1240141204">
    <w:abstractNumId w:val="28"/>
  </w:num>
  <w:num w:numId="46" w16cid:durableId="94520491">
    <w:abstractNumId w:val="5"/>
  </w:num>
  <w:num w:numId="47" w16cid:durableId="2029597180">
    <w:abstractNumId w:val="10"/>
  </w:num>
  <w:num w:numId="48" w16cid:durableId="1549485914">
    <w:abstractNumId w:val="42"/>
  </w:num>
  <w:num w:numId="49" w16cid:durableId="1092237392">
    <w:abstractNumId w:val="79"/>
  </w:num>
  <w:num w:numId="50" w16cid:durableId="252934106">
    <w:abstractNumId w:val="14"/>
  </w:num>
  <w:num w:numId="51" w16cid:durableId="701326721">
    <w:abstractNumId w:val="52"/>
  </w:num>
  <w:num w:numId="52" w16cid:durableId="1493763559">
    <w:abstractNumId w:val="54"/>
  </w:num>
  <w:num w:numId="53" w16cid:durableId="247427972">
    <w:abstractNumId w:val="11"/>
  </w:num>
  <w:num w:numId="54" w16cid:durableId="2141071208">
    <w:abstractNumId w:val="56"/>
  </w:num>
  <w:num w:numId="55" w16cid:durableId="1989046658">
    <w:abstractNumId w:val="70"/>
  </w:num>
  <w:num w:numId="56" w16cid:durableId="563181817">
    <w:abstractNumId w:val="66"/>
  </w:num>
  <w:num w:numId="57" w16cid:durableId="1667173741">
    <w:abstractNumId w:val="47"/>
  </w:num>
  <w:num w:numId="58" w16cid:durableId="1347517663">
    <w:abstractNumId w:val="37"/>
  </w:num>
  <w:num w:numId="59" w16cid:durableId="1418479017">
    <w:abstractNumId w:val="41"/>
  </w:num>
  <w:num w:numId="60" w16cid:durableId="213586168">
    <w:abstractNumId w:val="84"/>
  </w:num>
  <w:num w:numId="61" w16cid:durableId="1966421266">
    <w:abstractNumId w:val="34"/>
  </w:num>
  <w:num w:numId="62" w16cid:durableId="569728368">
    <w:abstractNumId w:val="29"/>
  </w:num>
  <w:num w:numId="63" w16cid:durableId="792943508">
    <w:abstractNumId w:val="64"/>
  </w:num>
  <w:num w:numId="64" w16cid:durableId="625431707">
    <w:abstractNumId w:val="7"/>
  </w:num>
  <w:num w:numId="65" w16cid:durableId="1303805147">
    <w:abstractNumId w:val="13"/>
  </w:num>
  <w:num w:numId="66" w16cid:durableId="927691815">
    <w:abstractNumId w:val="25"/>
  </w:num>
  <w:num w:numId="67" w16cid:durableId="925921874">
    <w:abstractNumId w:val="60"/>
  </w:num>
  <w:num w:numId="68" w16cid:durableId="2064940150">
    <w:abstractNumId w:val="15"/>
  </w:num>
  <w:num w:numId="69" w16cid:durableId="1006057658">
    <w:abstractNumId w:val="24"/>
  </w:num>
  <w:num w:numId="70" w16cid:durableId="1877155916">
    <w:abstractNumId w:val="85"/>
  </w:num>
  <w:num w:numId="71" w16cid:durableId="712003576">
    <w:abstractNumId w:val="35"/>
  </w:num>
  <w:num w:numId="72" w16cid:durableId="1394310865">
    <w:abstractNumId w:val="17"/>
  </w:num>
  <w:num w:numId="73" w16cid:durableId="2135520373">
    <w:abstractNumId w:val="72"/>
  </w:num>
  <w:num w:numId="74" w16cid:durableId="1847403298">
    <w:abstractNumId w:val="81"/>
  </w:num>
  <w:num w:numId="75" w16cid:durableId="332877186">
    <w:abstractNumId w:val="0"/>
  </w:num>
  <w:num w:numId="76" w16cid:durableId="21176575">
    <w:abstractNumId w:val="38"/>
  </w:num>
  <w:num w:numId="77" w16cid:durableId="1419326586">
    <w:abstractNumId w:val="12"/>
  </w:num>
  <w:num w:numId="78" w16cid:durableId="1899852169">
    <w:abstractNumId w:val="63"/>
  </w:num>
  <w:num w:numId="79" w16cid:durableId="1404643841">
    <w:abstractNumId w:val="68"/>
  </w:num>
  <w:num w:numId="80" w16cid:durableId="402148755">
    <w:abstractNumId w:val="32"/>
  </w:num>
  <w:num w:numId="81" w16cid:durableId="612320969">
    <w:abstractNumId w:val="45"/>
  </w:num>
  <w:num w:numId="82" w16cid:durableId="155269610">
    <w:abstractNumId w:val="58"/>
  </w:num>
  <w:num w:numId="83" w16cid:durableId="1827361436">
    <w:abstractNumId w:val="77"/>
  </w:num>
  <w:num w:numId="84" w16cid:durableId="977801594">
    <w:abstractNumId w:val="69"/>
  </w:num>
  <w:num w:numId="85" w16cid:durableId="1324969335">
    <w:abstractNumId w:val="18"/>
  </w:num>
  <w:num w:numId="86" w16cid:durableId="586579548">
    <w:abstractNumId w:val="5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76"/>
    <w:rsid w:val="000566F1"/>
    <w:rsid w:val="00080543"/>
    <w:rsid w:val="001B340E"/>
    <w:rsid w:val="001B4A6D"/>
    <w:rsid w:val="00390148"/>
    <w:rsid w:val="003B75A4"/>
    <w:rsid w:val="003C0EE3"/>
    <w:rsid w:val="0046400B"/>
    <w:rsid w:val="004F131B"/>
    <w:rsid w:val="00523A31"/>
    <w:rsid w:val="00746DAA"/>
    <w:rsid w:val="0078159F"/>
    <w:rsid w:val="007D0DF9"/>
    <w:rsid w:val="00914280"/>
    <w:rsid w:val="00996264"/>
    <w:rsid w:val="00A72914"/>
    <w:rsid w:val="00AD43A8"/>
    <w:rsid w:val="00B36203"/>
    <w:rsid w:val="00BA5B0C"/>
    <w:rsid w:val="00C66758"/>
    <w:rsid w:val="00C9745E"/>
    <w:rsid w:val="00D8180F"/>
    <w:rsid w:val="00EA4776"/>
    <w:rsid w:val="00ED244A"/>
    <w:rsid w:val="00F005A6"/>
    <w:rsid w:val="00F05F94"/>
    <w:rsid w:val="00F1713B"/>
    <w:rsid w:val="00F573BC"/>
    <w:rsid w:val="00FC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6A6E"/>
  <w15:chartTrackingRefBased/>
  <w15:docId w15:val="{F80EF6F6-3860-4FC1-8141-43492E28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00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4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4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76"/>
    <w:rPr>
      <w:rFonts w:eastAsiaTheme="majorEastAsia" w:cstheme="majorBidi"/>
      <w:color w:val="272727" w:themeColor="text1" w:themeTint="D8"/>
    </w:rPr>
  </w:style>
  <w:style w:type="paragraph" w:styleId="Title">
    <w:name w:val="Title"/>
    <w:basedOn w:val="Normal"/>
    <w:next w:val="Normal"/>
    <w:link w:val="TitleChar"/>
    <w:uiPriority w:val="10"/>
    <w:qFormat/>
    <w:rsid w:val="00EA47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76"/>
    <w:pPr>
      <w:spacing w:before="160"/>
      <w:jc w:val="center"/>
    </w:pPr>
    <w:rPr>
      <w:i/>
      <w:iCs/>
      <w:color w:val="404040" w:themeColor="text1" w:themeTint="BF"/>
    </w:rPr>
  </w:style>
  <w:style w:type="character" w:customStyle="1" w:styleId="QuoteChar">
    <w:name w:val="Quote Char"/>
    <w:basedOn w:val="DefaultParagraphFont"/>
    <w:link w:val="Quote"/>
    <w:uiPriority w:val="29"/>
    <w:rsid w:val="00EA4776"/>
    <w:rPr>
      <w:i/>
      <w:iCs/>
      <w:color w:val="404040" w:themeColor="text1" w:themeTint="BF"/>
    </w:rPr>
  </w:style>
  <w:style w:type="paragraph" w:styleId="ListParagraph">
    <w:name w:val="List Paragraph"/>
    <w:basedOn w:val="Normal"/>
    <w:uiPriority w:val="34"/>
    <w:qFormat/>
    <w:rsid w:val="00EA4776"/>
    <w:pPr>
      <w:ind w:left="720"/>
      <w:contextualSpacing/>
    </w:pPr>
  </w:style>
  <w:style w:type="character" w:styleId="IntenseEmphasis">
    <w:name w:val="Intense Emphasis"/>
    <w:basedOn w:val="DefaultParagraphFont"/>
    <w:uiPriority w:val="21"/>
    <w:qFormat/>
    <w:rsid w:val="00EA4776"/>
    <w:rPr>
      <w:i/>
      <w:iCs/>
      <w:color w:val="0F4761" w:themeColor="accent1" w:themeShade="BF"/>
    </w:rPr>
  </w:style>
  <w:style w:type="paragraph" w:styleId="IntenseQuote">
    <w:name w:val="Intense Quote"/>
    <w:basedOn w:val="Normal"/>
    <w:next w:val="Normal"/>
    <w:link w:val="IntenseQuoteChar"/>
    <w:uiPriority w:val="30"/>
    <w:qFormat/>
    <w:rsid w:val="00EA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76"/>
    <w:rPr>
      <w:i/>
      <w:iCs/>
      <w:color w:val="0F4761" w:themeColor="accent1" w:themeShade="BF"/>
    </w:rPr>
  </w:style>
  <w:style w:type="character" w:styleId="IntenseReference">
    <w:name w:val="Intense Reference"/>
    <w:basedOn w:val="DefaultParagraphFont"/>
    <w:uiPriority w:val="32"/>
    <w:qFormat/>
    <w:rsid w:val="00EA4776"/>
    <w:rPr>
      <w:b/>
      <w:bCs/>
      <w:smallCaps/>
      <w:color w:val="0F4761" w:themeColor="accent1" w:themeShade="BF"/>
      <w:spacing w:val="5"/>
    </w:rPr>
  </w:style>
  <w:style w:type="character" w:styleId="Strong">
    <w:name w:val="Strong"/>
    <w:basedOn w:val="DefaultParagraphFont"/>
    <w:uiPriority w:val="22"/>
    <w:qFormat/>
    <w:rsid w:val="00FC7BD9"/>
    <w:rPr>
      <w:b/>
      <w:bCs/>
    </w:rPr>
  </w:style>
  <w:style w:type="paragraph" w:styleId="NormalWeb">
    <w:name w:val="Normal (Web)"/>
    <w:basedOn w:val="Normal"/>
    <w:uiPriority w:val="99"/>
    <w:semiHidden/>
    <w:unhideWhenUsed/>
    <w:rsid w:val="00FC7BD9"/>
    <w:pPr>
      <w:spacing w:before="100" w:beforeAutospacing="1" w:after="100" w:afterAutospacing="1"/>
    </w:pPr>
  </w:style>
  <w:style w:type="character" w:styleId="Emphasis">
    <w:name w:val="Emphasis"/>
    <w:basedOn w:val="DefaultParagraphFont"/>
    <w:uiPriority w:val="20"/>
    <w:qFormat/>
    <w:rsid w:val="00FC7BD9"/>
    <w:rPr>
      <w:i/>
      <w:iCs/>
    </w:rPr>
  </w:style>
  <w:style w:type="character" w:customStyle="1" w:styleId="ms-1">
    <w:name w:val="ms-1"/>
    <w:basedOn w:val="DefaultParagraphFont"/>
    <w:rsid w:val="00FC7BD9"/>
  </w:style>
  <w:style w:type="character" w:customStyle="1" w:styleId="max-w-15ch">
    <w:name w:val="max-w-[15ch]"/>
    <w:basedOn w:val="DefaultParagraphFont"/>
    <w:rsid w:val="00FC7BD9"/>
  </w:style>
  <w:style w:type="character" w:customStyle="1" w:styleId="-me-1">
    <w:name w:val="-me-1"/>
    <w:basedOn w:val="DefaultParagraphFont"/>
    <w:rsid w:val="00FC7BD9"/>
  </w:style>
  <w:style w:type="character" w:customStyle="1" w:styleId="font-600">
    <w:name w:val="font-[600]"/>
    <w:basedOn w:val="DefaultParagraphFont"/>
    <w:rsid w:val="00996264"/>
  </w:style>
  <w:style w:type="character" w:customStyle="1" w:styleId="inline-flex">
    <w:name w:val="inline-flex"/>
    <w:basedOn w:val="DefaultParagraphFont"/>
    <w:rsid w:val="00996264"/>
  </w:style>
  <w:style w:type="character" w:customStyle="1" w:styleId="select-none">
    <w:name w:val="select-none"/>
    <w:basedOn w:val="DefaultParagraphFont"/>
    <w:rsid w:val="00996264"/>
  </w:style>
  <w:style w:type="character" w:customStyle="1" w:styleId="font-sans">
    <w:name w:val="font-sans"/>
    <w:basedOn w:val="DefaultParagraphFont"/>
    <w:rsid w:val="00996264"/>
  </w:style>
  <w:style w:type="character" w:customStyle="1" w:styleId="flex-1">
    <w:name w:val="flex-1"/>
    <w:basedOn w:val="DefaultParagraphFont"/>
    <w:rsid w:val="00996264"/>
  </w:style>
  <w:style w:type="character" w:styleId="Hyperlink">
    <w:name w:val="Hyperlink"/>
    <w:basedOn w:val="DefaultParagraphFont"/>
    <w:uiPriority w:val="99"/>
    <w:semiHidden/>
    <w:unhideWhenUsed/>
    <w:rsid w:val="00996264"/>
    <w:rPr>
      <w:color w:val="0000FF"/>
      <w:u w:val="single"/>
    </w:rPr>
  </w:style>
  <w:style w:type="character" w:customStyle="1" w:styleId="helvetica">
    <w:name w:val="helvetica"/>
    <w:basedOn w:val="DefaultParagraphFont"/>
    <w:rsid w:val="0046400B"/>
  </w:style>
  <w:style w:type="character" w:customStyle="1" w:styleId="italic">
    <w:name w:val="italic"/>
    <w:basedOn w:val="DefaultParagraphFont"/>
    <w:rsid w:val="00464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386014">
      <w:bodyDiv w:val="1"/>
      <w:marLeft w:val="0"/>
      <w:marRight w:val="0"/>
      <w:marTop w:val="0"/>
      <w:marBottom w:val="0"/>
      <w:divBdr>
        <w:top w:val="none" w:sz="0" w:space="0" w:color="auto"/>
        <w:left w:val="none" w:sz="0" w:space="0" w:color="auto"/>
        <w:bottom w:val="none" w:sz="0" w:space="0" w:color="auto"/>
        <w:right w:val="none" w:sz="0" w:space="0" w:color="auto"/>
      </w:divBdr>
      <w:divsChild>
        <w:div w:id="399640200">
          <w:marLeft w:val="0"/>
          <w:marRight w:val="0"/>
          <w:marTop w:val="0"/>
          <w:marBottom w:val="0"/>
          <w:divBdr>
            <w:top w:val="none" w:sz="0" w:space="0" w:color="auto"/>
            <w:left w:val="none" w:sz="0" w:space="0" w:color="auto"/>
            <w:bottom w:val="none" w:sz="0" w:space="0" w:color="auto"/>
            <w:right w:val="none" w:sz="0" w:space="0" w:color="auto"/>
          </w:divBdr>
          <w:divsChild>
            <w:div w:id="474420898">
              <w:marLeft w:val="0"/>
              <w:marRight w:val="0"/>
              <w:marTop w:val="0"/>
              <w:marBottom w:val="0"/>
              <w:divBdr>
                <w:top w:val="none" w:sz="0" w:space="0" w:color="auto"/>
                <w:left w:val="none" w:sz="0" w:space="0" w:color="auto"/>
                <w:bottom w:val="none" w:sz="0" w:space="0" w:color="auto"/>
                <w:right w:val="none" w:sz="0" w:space="0" w:color="auto"/>
              </w:divBdr>
            </w:div>
            <w:div w:id="1458182083">
              <w:marLeft w:val="0"/>
              <w:marRight w:val="0"/>
              <w:marTop w:val="0"/>
              <w:marBottom w:val="0"/>
              <w:divBdr>
                <w:top w:val="none" w:sz="0" w:space="0" w:color="auto"/>
                <w:left w:val="none" w:sz="0" w:space="0" w:color="auto"/>
                <w:bottom w:val="none" w:sz="0" w:space="0" w:color="auto"/>
                <w:right w:val="none" w:sz="0" w:space="0" w:color="auto"/>
              </w:divBdr>
              <w:divsChild>
                <w:div w:id="15056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73617">
      <w:bodyDiv w:val="1"/>
      <w:marLeft w:val="0"/>
      <w:marRight w:val="0"/>
      <w:marTop w:val="0"/>
      <w:marBottom w:val="0"/>
      <w:divBdr>
        <w:top w:val="none" w:sz="0" w:space="0" w:color="auto"/>
        <w:left w:val="none" w:sz="0" w:space="0" w:color="auto"/>
        <w:bottom w:val="none" w:sz="0" w:space="0" w:color="auto"/>
        <w:right w:val="none" w:sz="0" w:space="0" w:color="auto"/>
      </w:divBdr>
      <w:divsChild>
        <w:div w:id="45668676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74306785">
      <w:bodyDiv w:val="1"/>
      <w:marLeft w:val="0"/>
      <w:marRight w:val="0"/>
      <w:marTop w:val="0"/>
      <w:marBottom w:val="0"/>
      <w:divBdr>
        <w:top w:val="none" w:sz="0" w:space="0" w:color="auto"/>
        <w:left w:val="none" w:sz="0" w:space="0" w:color="auto"/>
        <w:bottom w:val="none" w:sz="0" w:space="0" w:color="auto"/>
        <w:right w:val="none" w:sz="0" w:space="0" w:color="auto"/>
      </w:divBdr>
      <w:divsChild>
        <w:div w:id="1140882829">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49546439">
              <w:marLeft w:val="0"/>
              <w:marRight w:val="0"/>
              <w:marTop w:val="0"/>
              <w:marBottom w:val="0"/>
              <w:divBdr>
                <w:top w:val="none" w:sz="0" w:space="0" w:color="auto"/>
                <w:left w:val="none" w:sz="0" w:space="0" w:color="auto"/>
                <w:bottom w:val="none" w:sz="0" w:space="0" w:color="auto"/>
                <w:right w:val="none" w:sz="0" w:space="0" w:color="auto"/>
              </w:divBdr>
              <w:divsChild>
                <w:div w:id="484316708">
                  <w:marLeft w:val="0"/>
                  <w:marRight w:val="0"/>
                  <w:marTop w:val="0"/>
                  <w:marBottom w:val="0"/>
                  <w:divBdr>
                    <w:top w:val="none" w:sz="0" w:space="0" w:color="auto"/>
                    <w:left w:val="none" w:sz="0" w:space="0" w:color="auto"/>
                    <w:bottom w:val="none" w:sz="0" w:space="0" w:color="auto"/>
                    <w:right w:val="none" w:sz="0" w:space="0" w:color="auto"/>
                  </w:divBdr>
                  <w:divsChild>
                    <w:div w:id="236551394">
                      <w:marLeft w:val="0"/>
                      <w:marRight w:val="0"/>
                      <w:marTop w:val="0"/>
                      <w:marBottom w:val="0"/>
                      <w:divBdr>
                        <w:top w:val="none" w:sz="0" w:space="0" w:color="auto"/>
                        <w:left w:val="none" w:sz="0" w:space="0" w:color="auto"/>
                        <w:bottom w:val="none" w:sz="0" w:space="0" w:color="auto"/>
                        <w:right w:val="none" w:sz="0" w:space="0" w:color="auto"/>
                      </w:divBdr>
                      <w:divsChild>
                        <w:div w:id="5160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49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12805656/?utm_source=chatgpt.com" TargetMode="External"/><Relationship Id="rId117" Type="http://schemas.openxmlformats.org/officeDocument/2006/relationships/hyperlink" Target="https://pmc.ncbi.nlm.nih.gov/articles/PMC7427626/" TargetMode="External"/><Relationship Id="rId21" Type="http://schemas.openxmlformats.org/officeDocument/2006/relationships/hyperlink" Target="https://www.atsdr.cdc.gov/toxprofiles/tp9-c3.pdf?utm_source=chatgpt.com" TargetMode="External"/><Relationship Id="rId42" Type="http://schemas.openxmlformats.org/officeDocument/2006/relationships/hyperlink" Target="https://pmc.ncbi.nlm.nih.gov/articles/PMC1892109/?utm_source=chatgpt.com" TargetMode="External"/><Relationship Id="rId47" Type="http://schemas.openxmlformats.org/officeDocument/2006/relationships/hyperlink" Target="https://pubmed.ncbi.nlm.nih.gov/30810372/?utm_source=chatgpt.com" TargetMode="External"/><Relationship Id="rId63" Type="http://schemas.openxmlformats.org/officeDocument/2006/relationships/hyperlink" Target="https://pmc.ncbi.nlm.nih.gov/articles/PMC7906952/" TargetMode="External"/><Relationship Id="rId68" Type="http://schemas.openxmlformats.org/officeDocument/2006/relationships/hyperlink" Target="https://www.nature.com/articles/s41545-023-00274-6" TargetMode="External"/><Relationship Id="rId84" Type="http://schemas.openxmlformats.org/officeDocument/2006/relationships/hyperlink" Target="https://www.sciencedirect.com/science/article/abs/pii/S001393512400389X" TargetMode="External"/><Relationship Id="rId89" Type="http://schemas.openxmlformats.org/officeDocument/2006/relationships/hyperlink" Target="https://www.sciencedirect.com/science/article/pii/S0269749125016306" TargetMode="External"/><Relationship Id="rId112" Type="http://schemas.openxmlformats.org/officeDocument/2006/relationships/hyperlink" Target="https://www.frontiersin.org/journals/genome-editing/articles/10.3389/fgeed.2021.618406/full" TargetMode="External"/><Relationship Id="rId16" Type="http://schemas.openxmlformats.org/officeDocument/2006/relationships/hyperlink" Target="https://echa.europa.eu/cs/registration-dossier/-/registered-dossier/14824/7/2/1?utm_source=chatgpt.com" TargetMode="External"/><Relationship Id="rId107" Type="http://schemas.openxmlformats.org/officeDocument/2006/relationships/hyperlink" Target="https://www.fda.gov/news-events/press-announcements/fda-approves-first-gene-therapies-treat-patients-sickle-cell-disease" TargetMode="External"/><Relationship Id="rId11" Type="http://schemas.openxmlformats.org/officeDocument/2006/relationships/hyperlink" Target="https://www.wisdomlib.org/science/journal/international-journal-of-environmental-research-and-public-health-mdpi/d/doc1715077.html?utm_source=chatgpt.com" TargetMode="External"/><Relationship Id="rId32" Type="http://schemas.openxmlformats.org/officeDocument/2006/relationships/hyperlink" Target="https://pubmed.ncbi.nlm.nih.gov/33161305/?utm_source=chatgpt.com" TargetMode="External"/><Relationship Id="rId37" Type="http://schemas.openxmlformats.org/officeDocument/2006/relationships/hyperlink" Target="https://downloads.regulations.gov/EPA-HQ-OW-2024-0481-0015/content.pdf?utm_source=chatgpt.com" TargetMode="External"/><Relationship Id="rId53" Type="http://schemas.openxmlformats.org/officeDocument/2006/relationships/hyperlink" Target="https://foodpackagingforum.org/news/efsa-updated-risk-assessment-of-five-phthalates?utm_source=chatgpt.com" TargetMode="External"/><Relationship Id="rId58" Type="http://schemas.openxmlformats.org/officeDocument/2006/relationships/hyperlink" Target="https://www.epa.gov/chemicals-under-tsca/epa-releases-draft-tsca-risk-evaluation-phthalate-dibp-public-comment?utm_source=chatgpt.com" TargetMode="External"/><Relationship Id="rId74" Type="http://schemas.openxmlformats.org/officeDocument/2006/relationships/hyperlink" Target="https://www.atsdr.cdc.gov/pfas/hcp/clinical-overview/human-exposure.html" TargetMode="External"/><Relationship Id="rId79" Type="http://schemas.openxmlformats.org/officeDocument/2006/relationships/hyperlink" Target="https://www.sciencedirect.com/science/article/abs/pii/S0041008X21000962" TargetMode="External"/><Relationship Id="rId102" Type="http://schemas.openxmlformats.org/officeDocument/2006/relationships/hyperlink" Target="https://www.aphl.org/aboutAPHL/publications/Documents/NBS-Hemoglobinopathy-Testing.pdf" TargetMode="External"/><Relationship Id="rId123" Type="http://schemas.openxmlformats.org/officeDocument/2006/relationships/hyperlink" Target="https://www.sciencedirect.com/science/article/pii/S152500162500200X" TargetMode="External"/><Relationship Id="rId5" Type="http://schemas.openxmlformats.org/officeDocument/2006/relationships/hyperlink" Target="https://echa.europa.eu/en-GB/hot-topics/phthalates?utm_source=chatgpt.com" TargetMode="External"/><Relationship Id="rId90" Type="http://schemas.openxmlformats.org/officeDocument/2006/relationships/hyperlink" Target="https://pmc.ncbi.nlm.nih.gov/articles/PMC12389996/" TargetMode="External"/><Relationship Id="rId95" Type="http://schemas.openxmlformats.org/officeDocument/2006/relationships/hyperlink" Target="https://www.ewg.org/news-insights/news-release/epa-genx-nearly-toxic-notorious-non-stick-chemicals-it-replaced" TargetMode="External"/><Relationship Id="rId22" Type="http://schemas.openxmlformats.org/officeDocument/2006/relationships/hyperlink" Target="https://pmc.ncbi.nlm.nih.gov/articles/PMC8497445/?utm_source=chatgpt.com" TargetMode="External"/><Relationship Id="rId27" Type="http://schemas.openxmlformats.org/officeDocument/2006/relationships/hyperlink" Target="https://pubmed.ncbi.nlm.nih.gov/15590130/?utm_source=chatgpt.com" TargetMode="External"/><Relationship Id="rId43" Type="http://schemas.openxmlformats.org/officeDocument/2006/relationships/hyperlink" Target="https://www.sciencedirect.com/science/article/abs/pii/S0269749123017165?utm_source=chatgpt.com" TargetMode="External"/><Relationship Id="rId48" Type="http://schemas.openxmlformats.org/officeDocument/2006/relationships/hyperlink" Target="https://zendy.io/title/10.2903/j.efsa.2019.5838?utm_source=chatgpt.com" TargetMode="External"/><Relationship Id="rId64" Type="http://schemas.openxmlformats.org/officeDocument/2006/relationships/hyperlink" Target="https://www.atsdr.cdc.gov/pfas/hcp/clinical-overview/health-effects.html" TargetMode="External"/><Relationship Id="rId69" Type="http://schemas.openxmlformats.org/officeDocument/2006/relationships/hyperlink" Target="https://pfas-1.itrcweb.org/2-2-chemistry-terminology-and-acronyms/" TargetMode="External"/><Relationship Id="rId113" Type="http://schemas.openxmlformats.org/officeDocument/2006/relationships/hyperlink" Target="https://pubmed.ncbi.nlm.nih.gov/38425279/" TargetMode="External"/><Relationship Id="rId118" Type="http://schemas.openxmlformats.org/officeDocument/2006/relationships/hyperlink" Target="https://pmc.ncbi.nlm.nih.gov/articles/PMC8444435/" TargetMode="External"/><Relationship Id="rId80" Type="http://schemas.openxmlformats.org/officeDocument/2006/relationships/hyperlink" Target="https://www.nature.com/articles/s41545-023-00274-6" TargetMode="External"/><Relationship Id="rId85" Type="http://schemas.openxmlformats.org/officeDocument/2006/relationships/hyperlink" Target="https://www.sciencedirect.com/science/article/abs/pii/S0269749124003294" TargetMode="External"/><Relationship Id="rId12" Type="http://schemas.openxmlformats.org/officeDocument/2006/relationships/hyperlink" Target="https://pmc.ncbi.nlm.nih.gov/articles/PMC1280349/?utm_source=chatgpt.com" TargetMode="External"/><Relationship Id="rId17" Type="http://schemas.openxmlformats.org/officeDocument/2006/relationships/hyperlink" Target="https://pubmed.ncbi.nlm.nih.gov/12805656/?utm_source=chatgpt.com" TargetMode="External"/><Relationship Id="rId33" Type="http://schemas.openxmlformats.org/officeDocument/2006/relationships/hyperlink" Target="https://pmc.ncbi.nlm.nih.gov/articles/PMC8497445/?utm_source=chatgpt.com" TargetMode="External"/><Relationship Id="rId38" Type="http://schemas.openxmlformats.org/officeDocument/2006/relationships/hyperlink" Target="https://pmc.ncbi.nlm.nih.gov/articles/PMC7455852/?utm_source=chatgpt.com" TargetMode="External"/><Relationship Id="rId59" Type="http://schemas.openxmlformats.org/officeDocument/2006/relationships/hyperlink" Target="https://zendy.io/title/10.2903/j.efsa.2019.5838?utm_source=chatgpt.com" TargetMode="External"/><Relationship Id="rId103" Type="http://schemas.openxmlformats.org/officeDocument/2006/relationships/hyperlink" Target="https://www.nhlbi.nih.gov/health/sickle-cell-disease/treatment" TargetMode="External"/><Relationship Id="rId108" Type="http://schemas.openxmlformats.org/officeDocument/2006/relationships/hyperlink" Target="https://crisprtx.com/focus-areas/hemoglobinopathies" TargetMode="External"/><Relationship Id="rId124" Type="http://schemas.openxmlformats.org/officeDocument/2006/relationships/fontTable" Target="fontTable.xml"/><Relationship Id="rId54" Type="http://schemas.openxmlformats.org/officeDocument/2006/relationships/hyperlink" Target="https://zendy.io/title/10.2903/j.efsa.2019.5838?utm_source=chatgpt.com" TargetMode="External"/><Relationship Id="rId70" Type="http://schemas.openxmlformats.org/officeDocument/2006/relationships/hyperlink" Target="https://pmc.ncbi.nlm.nih.gov/articles/PMC6380916/" TargetMode="External"/><Relationship Id="rId75" Type="http://schemas.openxmlformats.org/officeDocument/2006/relationships/hyperlink" Target="https://www.sciencedirect.com/science/article/pii/S0160412022001246" TargetMode="External"/><Relationship Id="rId91" Type="http://schemas.openxmlformats.org/officeDocument/2006/relationships/hyperlink" Target="https://www.mdpi.com/1660-4601/22/6/917" TargetMode="External"/><Relationship Id="rId96" Type="http://schemas.openxmlformats.org/officeDocument/2006/relationships/hyperlink" Target="https://www.mdpi.com/2076-3298/10/10/175" TargetMode="External"/><Relationship Id="rId1" Type="http://schemas.openxmlformats.org/officeDocument/2006/relationships/numbering" Target="numbering.xml"/><Relationship Id="rId6" Type="http://schemas.openxmlformats.org/officeDocument/2006/relationships/hyperlink" Target="https://pmc.ncbi.nlm.nih.gov/articles/PMC8497445/?utm_source=chatgpt.com" TargetMode="External"/><Relationship Id="rId23" Type="http://schemas.openxmlformats.org/officeDocument/2006/relationships/hyperlink" Target="https://pmc.ncbi.nlm.nih.gov/articles/PMC8497445/?utm_source=chatgpt.com" TargetMode="External"/><Relationship Id="rId28" Type="http://schemas.openxmlformats.org/officeDocument/2006/relationships/hyperlink" Target="https://pubmed.ncbi.nlm.nih.gov/17468099/?utm_source=chatgpt.com" TargetMode="External"/><Relationship Id="rId49" Type="http://schemas.openxmlformats.org/officeDocument/2006/relationships/hyperlink" Target="https://cot.food.gov.uk/sites/default/files/cot/tox201037.pdf?utm_source=chatgpt.com" TargetMode="External"/><Relationship Id="rId114" Type="http://schemas.openxmlformats.org/officeDocument/2006/relationships/hyperlink" Target="https://www.ema.europa.eu/en/medicines/human/EPAR/casgevy" TargetMode="External"/><Relationship Id="rId119" Type="http://schemas.openxmlformats.org/officeDocument/2006/relationships/hyperlink" Target="https://link.springer.com/article/10.1007/s12033-024-01070-4" TargetMode="External"/><Relationship Id="rId44" Type="http://schemas.openxmlformats.org/officeDocument/2006/relationships/hyperlink" Target="https://pubmed.ncbi.nlm.nih.gov/15590130/?utm_source=chatgpt.com" TargetMode="External"/><Relationship Id="rId60" Type="http://schemas.openxmlformats.org/officeDocument/2006/relationships/hyperlink" Target="https://pmc.ncbi.nlm.nih.gov/articles/PMC8157593/" TargetMode="External"/><Relationship Id="rId65" Type="http://schemas.openxmlformats.org/officeDocument/2006/relationships/hyperlink" Target="https://pmc.ncbi.nlm.nih.gov/articles/PMC12028640/" TargetMode="External"/><Relationship Id="rId81" Type="http://schemas.openxmlformats.org/officeDocument/2006/relationships/hyperlink" Target="https://monographs.iarc.who.int/wp-content/uploads/2023/11/Monograph-Vol-135.pdf" TargetMode="External"/><Relationship Id="rId86" Type="http://schemas.openxmlformats.org/officeDocument/2006/relationships/hyperlink" Target="https://www.atsdr.cdc.gov/pfas/hcp/clinical-overview/health-effects.html" TargetMode="External"/><Relationship Id="rId13" Type="http://schemas.openxmlformats.org/officeDocument/2006/relationships/hyperlink" Target="https://zendy.io/title/10.2903/j.efsa.2019.5838?utm_source=chatgpt.com" TargetMode="External"/><Relationship Id="rId18" Type="http://schemas.openxmlformats.org/officeDocument/2006/relationships/hyperlink" Target="https://www.mdpi.com/2305-6304/13/9/770?utm_source=chatgpt.com" TargetMode="External"/><Relationship Id="rId39" Type="http://schemas.openxmlformats.org/officeDocument/2006/relationships/hyperlink" Target="https://www.mdpi.com/1660-4601/19/5/2849?utm_source=chatgpt.com" TargetMode="External"/><Relationship Id="rId109" Type="http://schemas.openxmlformats.org/officeDocument/2006/relationships/hyperlink" Target="https://www.mjhid.org/mjhid/article/view/5768/4585" TargetMode="External"/><Relationship Id="rId34" Type="http://schemas.openxmlformats.org/officeDocument/2006/relationships/hyperlink" Target="https://pmc.ncbi.nlm.nih.gov/articles/PMC1280349/?utm_source=chatgpt.com" TargetMode="External"/><Relationship Id="rId50" Type="http://schemas.openxmlformats.org/officeDocument/2006/relationships/hyperlink" Target="https://cot.food.gov.uk/sites/default/files/cot/tox201037.pdf?utm_source=chatgpt.com" TargetMode="External"/><Relationship Id="rId55" Type="http://schemas.openxmlformats.org/officeDocument/2006/relationships/hyperlink" Target="https://iris.epa.gov/ChemicalLanding/%26substance_nmbr%3D14?utm_source=chatgpt.com" TargetMode="External"/><Relationship Id="rId76" Type="http://schemas.openxmlformats.org/officeDocument/2006/relationships/hyperlink" Target="https://www.sciencedirect.com/science/article/pii/S0166445X25002334" TargetMode="External"/><Relationship Id="rId97" Type="http://schemas.openxmlformats.org/officeDocument/2006/relationships/hyperlink" Target="https://www.epa.gov/sdwa/and-polyfluoroalkyl-substances-pfas" TargetMode="External"/><Relationship Id="rId104" Type="http://schemas.openxmlformats.org/officeDocument/2006/relationships/hyperlink" Target="https://onlinelibrary.wiley.com/doi/abs/10.1002/mgg3.1788" TargetMode="External"/><Relationship Id="rId120" Type="http://schemas.openxmlformats.org/officeDocument/2006/relationships/hyperlink" Target="https://www.nature.com/articles/s41434-023-00390-5" TargetMode="External"/><Relationship Id="rId125" Type="http://schemas.openxmlformats.org/officeDocument/2006/relationships/theme" Target="theme/theme1.xml"/><Relationship Id="rId7" Type="http://schemas.openxmlformats.org/officeDocument/2006/relationships/hyperlink" Target="https://pubmed.ncbi.nlm.nih.gov/31196577/?utm_source=chatgpt.com" TargetMode="External"/><Relationship Id="rId71" Type="http://schemas.openxmlformats.org/officeDocument/2006/relationships/hyperlink" Target="https://www.sciencedirect.com/science/article/pii/S0160412022000757" TargetMode="External"/><Relationship Id="rId92" Type="http://schemas.openxmlformats.org/officeDocument/2006/relationships/hyperlink" Target="https://pubs.acs.org/doi/10.1021/acs.est.3c05207" TargetMode="External"/><Relationship Id="rId2" Type="http://schemas.openxmlformats.org/officeDocument/2006/relationships/styles" Target="styles.xml"/><Relationship Id="rId29" Type="http://schemas.openxmlformats.org/officeDocument/2006/relationships/hyperlink" Target="https://pubmed.ncbi.nlm.nih.gov/12706301/?utm_source=chatgpt.com" TargetMode="External"/><Relationship Id="rId24" Type="http://schemas.openxmlformats.org/officeDocument/2006/relationships/hyperlink" Target="https://pmc.ncbi.nlm.nih.gov/articles/PMC1280349/?utm_source=chatgpt.com" TargetMode="External"/><Relationship Id="rId40" Type="http://schemas.openxmlformats.org/officeDocument/2006/relationships/hyperlink" Target="https://ehjournal.biomedcentral.com/articles/10.1186/s12940-024-01065-3?utm_source=chatgpt.com" TargetMode="External"/><Relationship Id="rId45" Type="http://schemas.openxmlformats.org/officeDocument/2006/relationships/hyperlink" Target="https://iris.epa.gov/ChemicalLanding/%26substance_nmbr%3D14?utm_source=chatgpt.com" TargetMode="External"/><Relationship Id="rId66" Type="http://schemas.openxmlformats.org/officeDocument/2006/relationships/hyperlink" Target="https://pmc.ncbi.nlm.nih.gov/articles/PMC7906952/" TargetMode="External"/><Relationship Id="rId87" Type="http://schemas.openxmlformats.org/officeDocument/2006/relationships/hyperlink" Target="https://www.endocrine.org/topics/edc/what-edcs-are/common-edcs/pfas" TargetMode="External"/><Relationship Id="rId110" Type="http://schemas.openxmlformats.org/officeDocument/2006/relationships/hyperlink" Target="https://www.nejm.org/doi/full/10.1056/NEJMoa2215643" TargetMode="External"/><Relationship Id="rId115" Type="http://schemas.openxmlformats.org/officeDocument/2006/relationships/hyperlink" Target="https://www.sciencedirect.com/science/article/pii/S2162253125002203" TargetMode="External"/><Relationship Id="rId61" Type="http://schemas.openxmlformats.org/officeDocument/2006/relationships/hyperlink" Target="https://pmc.ncbi.nlm.nih.gov/articles/PMC7559247/" TargetMode="External"/><Relationship Id="rId82" Type="http://schemas.openxmlformats.org/officeDocument/2006/relationships/hyperlink" Target="https://www.cancer.org/cancer/risk-prevention/chemicals/teflon-and-perfluorooctanoic-acid-pfoa.html" TargetMode="External"/><Relationship Id="rId19" Type="http://schemas.openxmlformats.org/officeDocument/2006/relationships/hyperlink" Target="https://pubmed.ncbi.nlm.nih.gov/17564903/?utm_source=chatgpt.com" TargetMode="External"/><Relationship Id="rId14" Type="http://schemas.openxmlformats.org/officeDocument/2006/relationships/hyperlink" Target="https://echa.europa.eu/cs/registration-dossier/-/registered-dossier/14824/7/2/1?utm_source=chatgpt.com" TargetMode="External"/><Relationship Id="rId30" Type="http://schemas.openxmlformats.org/officeDocument/2006/relationships/hyperlink" Target="https://pubmed.ncbi.nlm.nih.gov/30810372/?utm_source=chatgpt.com" TargetMode="External"/><Relationship Id="rId35" Type="http://schemas.openxmlformats.org/officeDocument/2006/relationships/hyperlink" Target="https://pubmed.ncbi.nlm.nih.gov/12706301/?utm_source=chatgpt.com" TargetMode="External"/><Relationship Id="rId56" Type="http://schemas.openxmlformats.org/officeDocument/2006/relationships/hyperlink" Target="https://iris.epa.gov/ChemicalLanding/%26substance_nmbr%3D14?utm_source=chatgpt.com" TargetMode="External"/><Relationship Id="rId77" Type="http://schemas.openxmlformats.org/officeDocument/2006/relationships/hyperlink" Target="https://pmc.ncbi.nlm.nih.gov/articles/PMC5749314/" TargetMode="External"/><Relationship Id="rId100" Type="http://schemas.openxmlformats.org/officeDocument/2006/relationships/hyperlink" Target="https://pmc.ncbi.nlm.nih.gov/articles/PMC7906952/" TargetMode="External"/><Relationship Id="rId105" Type="http://schemas.openxmlformats.org/officeDocument/2006/relationships/hyperlink" Target="https://www.statnews.com/sponsor/2018/12/10/an-unmet-medical-need-in-treating-rare-genetic-blood-disorders/" TargetMode="External"/><Relationship Id="rId8" Type="http://schemas.openxmlformats.org/officeDocument/2006/relationships/hyperlink" Target="https://pmc.ncbi.nlm.nih.gov/articles/PMC7455852/?utm_source=chatgpt.com" TargetMode="External"/><Relationship Id="rId51" Type="http://schemas.openxmlformats.org/officeDocument/2006/relationships/hyperlink" Target="https://zendy.io/title/10.2903/j.efsa.2019.5838?utm_source=chatgpt.com" TargetMode="External"/><Relationship Id="rId72" Type="http://schemas.openxmlformats.org/officeDocument/2006/relationships/hyperlink" Target="https://pmc.ncbi.nlm.nih.gov/articles/PMC6380916/" TargetMode="External"/><Relationship Id="rId93" Type="http://schemas.openxmlformats.org/officeDocument/2006/relationships/hyperlink" Target="https://www.nrdc.org/bio/anna-reade/epa-finds-replacements-toxic-teflon-chemicals-toxic" TargetMode="External"/><Relationship Id="rId98" Type="http://schemas.openxmlformats.org/officeDocument/2006/relationships/hyperlink" Target="https://echa.europa.eu/hot-topics/per-and-polyfluoroalkyl-substances-pfas" TargetMode="External"/><Relationship Id="rId121" Type="http://schemas.openxmlformats.org/officeDocument/2006/relationships/hyperlink" Target="https://pmc.ncbi.nlm.nih.gov/articles/PMC7129066/" TargetMode="External"/><Relationship Id="rId3" Type="http://schemas.openxmlformats.org/officeDocument/2006/relationships/settings" Target="settings.xml"/><Relationship Id="rId25" Type="http://schemas.openxmlformats.org/officeDocument/2006/relationships/hyperlink" Target="https://pmc.ncbi.nlm.nih.gov/articles/PMC1367871/?utm_source=chatgpt.com" TargetMode="External"/><Relationship Id="rId46" Type="http://schemas.openxmlformats.org/officeDocument/2006/relationships/hyperlink" Target="https://pubmed.ncbi.nlm.nih.gov/17564903/?utm_source=chatgpt.com" TargetMode="External"/><Relationship Id="rId67" Type="http://schemas.openxmlformats.org/officeDocument/2006/relationships/hyperlink" Target="https://pfas-1.itrcweb.org/2-2-chemistry-terminology-and-acronyms/" TargetMode="External"/><Relationship Id="rId116" Type="http://schemas.openxmlformats.org/officeDocument/2006/relationships/hyperlink" Target="https://www.mdpi.com/1999-4915/15/3/713" TargetMode="External"/><Relationship Id="rId20" Type="http://schemas.openxmlformats.org/officeDocument/2006/relationships/hyperlink" Target="https://pubmed.ncbi.nlm.nih.gov/14576974/?utm_source=chatgpt.com" TargetMode="External"/><Relationship Id="rId41" Type="http://schemas.openxmlformats.org/officeDocument/2006/relationships/hyperlink" Target="https://pubmed.ncbi.nlm.nih.gov/31196577/?utm_source=chatgpt.com" TargetMode="External"/><Relationship Id="rId62" Type="http://schemas.openxmlformats.org/officeDocument/2006/relationships/hyperlink" Target="https://pmc.ncbi.nlm.nih.gov/articles/PMC8453372/" TargetMode="External"/><Relationship Id="rId83" Type="http://schemas.openxmlformats.org/officeDocument/2006/relationships/hyperlink" Target="https://pmc.ncbi.nlm.nih.gov/articles/PMC7906952/" TargetMode="External"/><Relationship Id="rId88" Type="http://schemas.openxmlformats.org/officeDocument/2006/relationships/hyperlink" Target="https://pmc.ncbi.nlm.nih.gov/articles/PMC7906952/" TargetMode="External"/><Relationship Id="rId111" Type="http://schemas.openxmlformats.org/officeDocument/2006/relationships/hyperlink" Target="https://www.nejm.org/doi/full/10.1056/NEJMoa2031054" TargetMode="External"/><Relationship Id="rId15" Type="http://schemas.openxmlformats.org/officeDocument/2006/relationships/hyperlink" Target="https://pubmed.ncbi.nlm.nih.gov/14576974/?utm_source=chatgpt.com" TargetMode="External"/><Relationship Id="rId36" Type="http://schemas.openxmlformats.org/officeDocument/2006/relationships/hyperlink" Target="https://downloads.regulations.gov/EPA-HQ-OW-2024-0481-0015/content.pdf?utm_source=chatgpt.com" TargetMode="External"/><Relationship Id="rId57" Type="http://schemas.openxmlformats.org/officeDocument/2006/relationships/hyperlink" Target="https://iris.epa.gov/ChemicalLanding/%26substance_nmbr%3D38?utm_source=chatgpt.com" TargetMode="External"/><Relationship Id="rId106" Type="http://schemas.openxmlformats.org/officeDocument/2006/relationships/hyperlink" Target="https://www.frontiersin.org/journals/hematology/articles/10.3389/frhem.2024.1468952/full" TargetMode="External"/><Relationship Id="rId10" Type="http://schemas.openxmlformats.org/officeDocument/2006/relationships/hyperlink" Target="https://zendy.io/title/10.2903/j.efsa.2019.5838?utm_source=chatgpt.com" TargetMode="External"/><Relationship Id="rId31" Type="http://schemas.openxmlformats.org/officeDocument/2006/relationships/hyperlink" Target="https://www.mdpi.com/2305-6304/13/9/770?utm_source=chatgpt.com" TargetMode="External"/><Relationship Id="rId52" Type="http://schemas.openxmlformats.org/officeDocument/2006/relationships/hyperlink" Target="https://zendy.io/title/10.2903/j.efsa.2019.5838?utm_source=chatgpt.com" TargetMode="External"/><Relationship Id="rId73" Type="http://schemas.openxmlformats.org/officeDocument/2006/relationships/hyperlink" Target="https://www.sciencedirect.com/science/article/pii/S0160412022000757" TargetMode="External"/><Relationship Id="rId78" Type="http://schemas.openxmlformats.org/officeDocument/2006/relationships/hyperlink" Target="https://www.sciencedirect.com/science/article/abs/pii/S0041008X21000962" TargetMode="External"/><Relationship Id="rId94" Type="http://schemas.openxmlformats.org/officeDocument/2006/relationships/hyperlink" Target="https://www.ewg.org/news-insights/news-release/epa-genx-nearly-toxic-notorious-non-stick-chemicals-it-replaced" TargetMode="External"/><Relationship Id="rId99" Type="http://schemas.openxmlformats.org/officeDocument/2006/relationships/hyperlink" Target="https://www.epa.gov/system/files/documents/2024-04/final-pfas-mix-framework-3.25.24_final-508.pdf" TargetMode="External"/><Relationship Id="rId101" Type="http://schemas.openxmlformats.org/officeDocument/2006/relationships/hyperlink" Target="https://www.ncbi.nlm.nih.gov/books/NBK11727/" TargetMode="External"/><Relationship Id="rId122" Type="http://schemas.openxmlformats.org/officeDocument/2006/relationships/hyperlink" Target="https://medlineplus.gov/genetics/understanding/therapy/ethics/" TargetMode="External"/><Relationship Id="rId4" Type="http://schemas.openxmlformats.org/officeDocument/2006/relationships/webSettings" Target="webSettings.xml"/><Relationship Id="rId9" Type="http://schemas.openxmlformats.org/officeDocument/2006/relationships/hyperlink" Target="https://echa.europa.eu/en-GB/hot-topics/phthalat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48</Pages>
  <Words>15226</Words>
  <Characters>86794</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Auerbach, Scott (NIH/NIEHS) [E]</dc:creator>
  <cp:keywords/>
  <dc:description/>
  <cp:lastModifiedBy>Talukder, Amlan (NIH/NIEHS) [C]</cp:lastModifiedBy>
  <cp:revision>8</cp:revision>
  <dcterms:created xsi:type="dcterms:W3CDTF">2025-11-19T20:18:00Z</dcterms:created>
  <dcterms:modified xsi:type="dcterms:W3CDTF">2025-12-17T15:03:00Z</dcterms:modified>
</cp:coreProperties>
</file>