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CRISPR-based therapeutic genome editing for inherited blood disorders</w:t>
      </w:r>
    </w:p>
    <w:p>
      <w:r>
        <w:t>**Abstract**</w:t>
        <w:br/>
        <w:br/>
        <w:t>Therapeutic genome editing promises to transform medicine. Pivotal discoveries have provided a diverse and versatile set of tools to correct pathogenic mutations or produce protective alleles using CRISPR-based technologies. These innovative therapies are especially adaptable for blood and immune disorders, where clinical methods allow haematopoietic stem cells (HSCs) to be mobilized, harvested, engineered ex vivo and transplanted back into a patient to permanently replace their blood system. This paradigm has been exemplified with the first US Food and Drug Administration (FDA)-approved CRISPR–Cas9 therapy for sickle cell disease and β-thalassaemia, exa-cel (Casgevy). Although promising, efficient delivery of gene edits involves complicated ex vivo manipulation and toxic myeloablative conditioning. The quiescent and elusive nature of HSCs also brings associated challenges. In this Review, we explore the state-of-the-art genome editing technologies of nucleases, base editors and prime editors, which hold promise to address unmet clinical needs for patients with inherited haematological disorders. We highlight the progress made for several disorders and discuss the challenges that remain for ex vivo and in vivo targeting of HSCs for next-generation gene therapies.</w:t>
      </w:r>
    </w:p>
    <w:p>
      <w:pPr>
        <w:pStyle w:val="Heading2"/>
      </w:pPr>
      <w:r>
        <w:t>Introduction</w:t>
      </w:r>
    </w:p>
    <w:p>
      <w:r>
        <w:t>CRISPR-based therapeutic genome editing has emerged as a transformative approach in addressing inherited blood disorders by enabling precise, targeted modifications of the genome in hematopoietic stem cells (HSCs) (CS = 10). In this context, the CRISPR–Cas9 system, guided by a short RNA sequence, introduces specific double-strand breaks at the targeted locus, thereby initiating endogenous repair processes such as non-homologous end joining (NHEJ) and homology-directed repair (HDR) (CS = 10). Moreover, the recent development of base and prime editors has advanced this platform further by allowing for the conversion of single nucleotides and the introduction of small insertions or deletions without the need for double-strand breaks, thereby minimizing collateral damage to the genomic integrity (CS = 9) [1].</w:t>
        <w:br/>
        <w:br/>
        <w:t>The clinical translation of CRISPR-based genome editing for blood disorders, such as sickle cell disease and β-thalassemia, is underpinned by rigorous insights into HSC biology and the challenges inherent in ex vivo manipulations (CS = 9). Critical to this progress is the ability to harvest, engineer, and subsequently reinfuse modified HSCs to achieve long-term, curative outcomes. However, the quiescent and delicate nature of HSCs necessitates sophisticated approaches to both delivery and gene modification that guard against potential off-target effects, adverse immune responses, and the toxicity associated with myeloablative conditioning (CS = 8). Ongoing advances in the expansion, identification, and culturing of HSCs, combined with continuous improvements in the specificity and efficiency of CRISPR technologies, hold significant promise in overcoming current limitations and propel these therapies into routine clinical application (CS = 8) [2, 3].</w:t>
      </w:r>
    </w:p>
    <w:p>
      <w:pPr>
        <w:pStyle w:val="Heading2"/>
      </w:pPr>
      <w:r>
        <w:t>Genome editing technologies</w:t>
      </w:r>
    </w:p>
    <w:p>
      <w:r>
        <w:t>Genome editing technologies have emerged as a cornerstone in the development of gene therapies for inherited blood disorders, providing the means to introduce targeted modifications in the genome with unparalleled precision (CS=10). Foundational platforms such as zinc-finger nucleases (ZFNs) and transcription activator-like effector nucleases (TALENs) rely on engineered protein-DNA interactions to create double-strand breaks (DSBs) at predetermined loci; however, the RNA-guided CRISPR-Cas systems have rapidly supplanted these earlier methods due to their ease of design, scalability, and cost-effectiveness (CS=10) [1, 4].</w:t>
        <w:br/>
        <w:br/>
        <w:t>The induction of DSBs by these programmable nucleases activates endogenous cellular repair pathways, predominantly non-homologous end joining (NHEJ) and homology-directed repair (HDR), which respectively enable the creation of gene knockouts or the precise incorporation of corrective sequences when provided with a donor template (CS=10). Recent innovations within the CRISPR-based toolkit have given rise to base editors and prime editors. Base editing systems, which combine deaminase enzymes with a catalytically impaired or nickase version of Cas proteins, facilitate the direct conversion of one nucleotide to another without the formation of DSBs, thereby reducing the potential for unwanted genomic rearrangements (CS=9). Prime editing, in turn, builds upon this approach by fusing a reverse transcriptase domain to an engineered Cas protein, thereby expanding the repertoire of possible modifications to include substitutions, small insertions, and deletions with improved accuracy and minimized genomic disruption (CS=9) [1, 4].</w:t>
        <w:br/>
        <w:br/>
        <w:t>Together, these evolving genome editing modalities underscore a paradigm shift in therapeutic genome engineering. Their precise and multifaceted capabilities not only facilitate the correction of pathogenic mutations in disorders such as sickle cell disease and β-thalassemia, but also support the generation of protective genetic variants to ameliorate disease phenotypes (CS=10). Importantly, the transition from early programmable nucleases to next-generation base and prime editors reflects a concerted effort to mitigate off-target effects and enhance safety profiles, ultimately paving the way for more reliable and effective clinical applications in hematopoietic stem cell manipulation (CS=10) [1, 4].</w:t>
      </w:r>
    </w:p>
    <w:p>
      <w:pPr>
        <w:pStyle w:val="Heading3"/>
      </w:pPr>
      <w:r>
        <w:t>CRISPR–Cas nucleases</w:t>
      </w:r>
    </w:p>
    <w:p>
      <w:r>
        <w:t>CRISPR–Cas nucleases have rapidly become the cornerstone of contemporary genome editing, especially in therapeutic contexts aimed at correcting the genetic defects underlying inherited blood disorders (CS=10) [1, 4]. In contrast to earlier programmable nucleases that relied on complex protein–DNA interactions, the CRISPR–Cas9 system harnesses an RNA-guided mechanism for target recognition. This system employs a single guide RNA (sgRNA) that confers specificity through Watson–Crick base pairing with a 20‐nucleotide sequence in the target DNA, thereby directing the Cas9 nuclease to its cleavage site adjacent to a short protospacer adjacent motif (PAM) (CS=10) [1, 5].</w:t>
        <w:br/>
        <w:br/>
        <w:t>At the molecular level, the Cas9 enzyme exhibits two catalytic domains: HNH, which cleaves the DNA strand complementary to the guide RNA, and RuvC, which cleaves the non‐target strand. This dual-nuclease configuration results in the generation of a double-strand break (DSB) at a defined position relative to the PAM, thereby initiating endogenous DNA repair pathways such as non-homologous end joining (NHEJ) and homology-directed repair (HDR) (CS=10) [1, 6]. The operational simplicity and flexibility of the CRISPR–Cas9 complex, in comparison to zinc-finger nucleases and TALENs, not only enhances its efficacy but also reduces the time and cost associated with reprogramming the system for different genomic targets (CS=10) [1, 4].</w:t>
        <w:br/>
        <w:br/>
        <w:t>Recent developments have extended the capabilities of CRISPR–Cas nucleases beyond conventional DSB formation. Innovations such as base editing and prime editing allow for precise nucleotide conversions or small insertions/deletions without resorting to DSBs, thereby minimizing the risks of undesired genomic rearrangements and off-target effects (CS=9) [1, 4]. Moreover, ongoing structural and mechanistic studies continue to refine our understanding of the conformational dynamics involved in target DNA recognition and cleavage, which in turn informs the development of Cas variants with enhanced specificity and broader PAM compatibility. These enhancements are critical for advancing the therapeutic application of CRISPR-based genome editing in hematological diseases (CS=8) [1, 5].</w:t>
      </w:r>
    </w:p>
    <w:p>
      <w:pPr>
        <w:pStyle w:val="Heading3"/>
      </w:pPr>
      <w:r>
        <w:t>Base editors</w:t>
      </w:r>
    </w:p>
    <w:p>
      <w:r>
        <w:t xml:space="preserve">Base editors represent a significant evolution in genome editing that circumvents the need for double-strand breaks (DSBs) by directly converting one nucleotide to another, thereby enabling precise modifications of single base pairs without eliciting the error-prone mechanisms associated with conventional nuclease-induced repair (CS=10). In these systems, a catalytically impaired Cas9—typically in the form of a nickase—is fused to a single-stranded DNA-modifying enzyme, such as a cytidine deaminase or an adenine deaminase. Upon recognition of the target sequence via the guide RNA (gRNA), the Cas9 component facilitates binding and formation of an R-loop, which exposes a single-stranded region of the DNA. This exposed strand is then subject to enzymatic deamination; in the case of cytosine base editors (CBEs), cytidine deaminase converts cytosine to uracil, which is subsequently interpreted as thymine during DNA replication, resulting in a C•G to T•A transition (CS=10). The inclusion of an optional uracil glycosylase inhibitor (UGI) further enhances the editing efficiency by preventing the cellular base excision repair machinery from reversing the conversion (CS=9). Similarly, adenine base editors (ABEs) exploit an analogous mechanism whereby adenine is deaminated to inosine, which is read as guanine, thereby enabling an A•T to G•C transition (CS=9). </w:t>
        <w:br/>
        <w:br/>
        <w:t>The precision and reduced genotoxicity of base editors position them as promising candidates for therapeutic interventions in inherited blood disorders such as sickle cell disease and β-thalassemia, where the correction of single-point mutations in hematopoietic stem cells can have profound clinical implications (CS=10). Despite challenges, including constraints imposed by protospacer adjacent motif (PAM) requirements and a relatively narrow editing window, ongoing refinements in enzyme engineering and delivery strategies continue to enhance both efficiency and specificity. These improvements are expected to further reduce off-target effects, making base editors a robust tool not only in preclinical models but also in prospective clinical applications for treating genetic hematologic disorders (CS=10) [1].</w:t>
      </w:r>
    </w:p>
    <w:p>
      <w:pPr>
        <w:pStyle w:val="Heading3"/>
      </w:pPr>
      <w:r>
        <w:t>Prime editors</w:t>
      </w:r>
    </w:p>
    <w:p>
      <w:r>
        <w:t>Prime editors represent a significant advancement over conventional CRISPR-Cas9 systems by enabling a wide spectrum of precise genomic alterations—including all twelve possible point mutations, small insertions, and deletions—without the need to create deleterious double-strand breaks (DSBs) (CS=9) [7]. This technology hinges on the fusion of a Cas9 nickase, which retains its ability to search for target DNA but makes only a single-stranded break, with an engineered reverse transcriptase. The process is directed by a prime editing guide RNA (pegRNA) that not only specifies the target site but also encodes the desired nucleic acid change through a reverse transcriptase template coupled with a primer-binding site. Together, these components mediate the reverse transcription of the intended edit directly into the target locus, thereby circumventing the reliance on error-prone repair pathways such as non-homologous end joining (NHEJ) (CS=9) [7].</w:t>
        <w:br/>
        <w:br/>
        <w:t>Recent developments have further expanded the utility of prime editors beyond mammalian cells to include plant systems and even ex vivo applications in hematopoietic stem cells. In these contexts, modifications to both the prime editor protein architecture and the pegRNA design have been critical. For instance, strategies such as split prime editing—where the Cas9 nickase and the reverse transcriptase are expressed as separate polypeptides—and the incorporation of optimized 3ʹ extensions in the pegRNA scaffold have demonstrably increased editing efficiencies and fidelity. These enhancements serve to reduce bystander mutations and minimize off-target effects, thereby elevating the safety profile of prime editors and underscoring their potential in therapeutic gene correction, especially for inherited blood disorders (CS=8) [7].</w:t>
        <w:br/>
        <w:br/>
        <w:t>Although prime editing is still in an emerging phase relative to other genome editing modalities, its inherent versatility and precision position it as a promising tool for clinical applications. Its capacity to introduce virtually any single-nucleotide alteration, along with small insertions and deletions, without resorting to DSB-induced repair, marks a paradigm shift in gene editing. Ongoing optimization in delivery strategies and the fine-tuning of prime editor components are expected to further enhance its clinical viability, particularly for ex vivo manipulation of hematopoietic stem cells where genomic safety and efficiency are paramount (CS=8) [1, 7].</w:t>
      </w:r>
    </w:p>
    <w:p>
      <w:pPr>
        <w:pStyle w:val="Heading3"/>
      </w:pPr>
      <w:r>
        <w:t>Emerging CRISPR-based platforms for targeted transgene integration</w:t>
      </w:r>
    </w:p>
    <w:p>
      <w:r>
        <w:t>Recent advancements in CRISPR‐based platforms have led to the development of innovative strategies for targeted transgene integration, addressing historical issues of low efficiency and undesirable random insertion events (CS=9). Researchers have implemented multiple approaches to enhance the precision of donor integration by redesigning the transgene donor template to include homologous arms flanking the desired sequence and incorporating regulatory elements such as splice acceptor cassettes that only activate expression upon correct, on‐target integration. Moreover, modulation of the cellular DNA repair machinery—such as the augmentation of homology‐directed repair or the regulation of Cas9 activity via cell cycle synchronization—has been demonstrated to favor targeted insertion over error-prone pathways. These methodological improvements, including the use of matched end joining designs where the donor template is pre‐flanked by sgRNA target sites, help ensure that only correctly integrated transgenes yield detectable reporter signals, thereby minimizing the occurrence of off-target integration events (CS=9) [8].</w:t>
        <w:br/>
        <w:br/>
        <w:t>In parallel, modular strategies employing safe harbor loci have been established to enable reproducible and predictable expression of therapeutic transgenes, which is particularly critical for the treatment of inherited blood disorders via hematopoietic stem cell modification (CS=8). By selecting genomic loci that are transcriptionally active yet insulated from disrupting endogenous gene function, investigators guarantee long-term, stable transgene expression with minimal insertional mutagenesis. Complementary approaches have also explored non-viral delivery techniques, which help to transiently express the CRISPR machinery and reduce unwanted genomic alterations, and the use of split selection markers to further refine the identification of correctly targeted cells. Together, these combined strategies—ranging from the design of sophisticated donor templates to the careful selection of safe harbor integration sites—illustrate the transformative potential of emerging CRISPR-based systems in executing precise, efficient, and clinically relevant transgene integrations (CS=8) [9].</w:t>
      </w:r>
    </w:p>
    <w:p>
      <w:pPr>
        <w:pStyle w:val="Heading2"/>
      </w:pPr>
      <w:r>
        <w:t>Therapeutic opportunities for haematological disorders</w:t>
      </w:r>
    </w:p>
    <w:p/>
    <w:p>
      <w:pPr>
        <w:pStyle w:val="Heading3"/>
      </w:pPr>
      <w:r>
        <w:t>β-Haemoglobinopathies</w:t>
      </w:r>
    </w:p>
    <w:p>
      <w:r>
        <w:t>The advent of CRISPR‐based genome editing has ushered in unprecedented therapeutic opportunities for β‐haemoglobinopathies, including sickle cell disease (SCD) and β‐thalassemia. These disorders are fundamentally linked to specific point mutations in the β‐globin gene that affect the structure or expression of the β‐globin chain. For example, in SCD, a single nucleotide substitution converts a glutamic acid residue to valine at the sixth position, thereby promoting hemoglobin polymerization and resulting in the characteristic sickle shape of red blood cells (CS=10) [1]. In β‐thalassemia, mutations lead to decreased or absent synthesis of β‐globin chains, which in turn disrupts the stoichiometry of globin production, leading to ineffective erythropoiesis and severe anemia (CS=10) [1].</w:t>
        <w:br/>
        <w:br/>
        <w:t>Advances in genome editing have introduced various strategies to correct these mutations. Traditional CRISPR–Cas9 systems rely on the induction of double‐strand breaks and subsequent repair via non-homologous end joining (NHEJ) or homology-directed repair (HDR), but these methods can introduce undesired insertions or deletions (indels) (CS=9). To overcome these limitations, base editors have been developed that fuse a catalytically impaired Cas9 with enzymes such as cytidine deaminases to mediate precise C•G to T•A conversions without generating double-strand breaks (CS=9) [10]. More recently, prime editing has expanded the editing repertoire by combining a Cas9 nickase with a reverse transcriptase and a specialized prime editing guide RNA (pegRNA), thereby facilitating a full spectrum of base substitutions, small insertions, or deletions with enhanced precision (CS=8) [7].</w:t>
        <w:br/>
        <w:br/>
        <w:t>Delivery of these sophisticated editing reagents to hematopoietic stem cells (HSCs), which are characteristically quiescent in vivo, remains one of the major challenges to clinical translation. A range of strategies—including optimization of vector systems and ex vivo culture protocols—aims to enhance the efficiency with which CRISPR components are introduced into HSCs while preserving their long-term repopulating potential (CS=9) [2]. Preclinical studies have demonstrated that gene correction in HSCs via these refined CRISPR-based methods can restore the expression of functional β-globin, promising a durable cure with minimal off-target genomic perturbations (CS=8) [11].</w:t>
        <w:br/>
        <w:br/>
        <w:t>Clinical translational efforts have already begun to validate these approaches, with early trials reporting substantial therapeutic efficacy. The precision achieved by both base and prime editors, combined with ongoing improvements in delivery methods and off-target minimization, underscores their potential to provide personalized, mutation-specific treatments for patients with SCD and β-thalassemia (CS=9) [12]. Overall, the integration of next-generation editing tools into ex vivo manipulation protocols for HSCs represents a paradigm shift in the treatment of inherited blood disorders, offering a promising avenue toward sustainable, curative therapies (CS=9) [1, 10].</w:t>
      </w:r>
    </w:p>
    <w:p>
      <w:pPr>
        <w:pStyle w:val="Heading3"/>
      </w:pPr>
      <w:r>
        <w:t>Primary immunodeficiencies</w:t>
      </w:r>
    </w:p>
    <w:p>
      <w:r>
        <w:t>Primary immunodeficiencies comprise a heterogeneous group of inherited disorders in which components of the immune system are deficient or dysfunctional, leading to life‐threatening infections and immune dysregulation (CS = 10). Among these conditions, severe combined immunodeficiency (SCID) and deficiencies of recombination activating genes (RAG1/RAG2) represent paradigmatic examples where defects in lymphocyte development and V(D)J recombination underlie the immunopathology. CRISPR–Cas9 genome editing, by virtue of its RNA‐guided target recognition and its ability to induce site‐specific DNA double‐strand breaks or precise, nick-mediated modifications, has emerged as a powerful therapeutic modality for directly correcting these pathogenic mutations in hematopoietic stem and progenitor cells (HSPCs) (CS = 10) [13].</w:t>
        <w:br/>
        <w:br/>
        <w:t>In preclinical models, the application of CRISPR-based strategies has demonstrated promising outcomes in reconstituting functional immune cells. For instance, correction of RAG deficiencies using CRISPR–Cas9 in HSPCs not only restores the molecular integrity of the RAG genes but also enables the recapitulation of normal V(D)J recombination processes essential for diverse antigen receptor repertoires in T and B lymphocytes (CS = 9). This approach relies on ex vivo modification of autologous HSPCs, wherein engineered cells, once verified for on-target correction and minimal off-target effects, are reinfused into patients. Such strategies, which may incorporate either homology-directed repair with donor templates or the emerging base and prime editing modalities that bypass the need for double-strand break induction, hold significant promise to correct not only loss-of-function mutations but also to modulate aberrant gene expression profiles underlying complex immune dysregulation (CS = 9) [13].</w:t>
        <w:br/>
        <w:br/>
        <w:t>Despite these encouraging developments, several technical and translational challenges remain. Optimization of editing efficiency, precise donor delivery, and minimization of off-target events, particularly in quiescent HSCs, are critical for ensuring long-term engraftment and robust immune reconstitution. In addition, the inherent risks associated with insertional mutagenesis and the maintenance of genomic integrity require rigorous preclinical assessment and the development of high-fidelity nucleases. Emerging CRISPR modalities, including next-generation base and prime editing platforms, offer alternative approaches that may further reduce genotoxicity while enabling the correction of a broader spectrum of point mutations and small indels. Collectively, these innovations have significant clinical potential for the treatment of primary immunodeficiencies, promising durable restoration of immune function with manageable safety profiles (CS = 9) [13].</w:t>
      </w:r>
    </w:p>
    <w:p>
      <w:pPr>
        <w:pStyle w:val="Heading3"/>
      </w:pPr>
      <w:r>
        <w:t>Bone marrow failure syndromes</w:t>
      </w:r>
    </w:p>
    <w:p>
      <w:r>
        <w:t>Bone marrow failure syndromes represent a clinically and genetically heterogeneous group of inherited disorders characterized by impaired production of one or more blood cell lineages, frequently predisposing affected individuals to leukemia and other complications (CS=10). Classic examples include Fanconi anemia, Diamond–Blackfan anemia, and Shwachman–Diamond syndrome, each linked to disruptions in key cellular pathways such as DNA repair, ribosome biogenesis, and telomere maintenance (CS=10) [14]. Advances in CRISPR-based therapeutic genome editing provide a promising approach to directly correct the underlying pathogenic mutations in hematopoietic stem and progenitor cells. By precisely targeting defective alleles and potentially restoring normal gene function, CRISPR modalities offer the opportunity to re-establish effective hematopoiesis and ameliorate the cytopenias observed in these syndromes (CS=9) [14].</w:t>
        <w:br/>
        <w:br/>
        <w:t>Recent experimental studies, including those using zebrafish models, have underscored the critical role of TP53 pathway activation in the pathophysiology of bone marrow failure. Aberrant TP53 responses, triggered by cellular stress from ribosomal defects or telomere dysfunction, contribute to increased apoptosis and defective erythropoiesis in these patients (CS=9). CRISPR-based strategies that facilitate precise genomic modifications—such as base and prime editing technologies—could reduce inadvertent activation of these stress pathways by avoiding double-strand breaks, thereby potentially mitigating excessive TP53-dependent cell death while preserving the proliferative capacity of hematopoietic progenitors (CS=9) [14].</w:t>
        <w:br/>
        <w:br/>
        <w:t>In addition to genetic correction, the success of these therapies critically depends on the efficient delivery of CRISPR components to quiescent hematopoietic stem cells, a process that is complicated by the unique characteristics of the bone marrow niche and the need to maintain stemness during ex vivo manipulation (CS=9). Strategies such as optimized ex vivo expansion, targeted integration into safe harbor genomic loci, and refined donor template design are essential to maximize engraftment and durability of the corrected HSCs (CS=9). By employing high-fidelity Cas enzymes and innovative delivery systems, recent developments aim not only to enhance the precision of genome editing but also to minimize off-target modifications and unwanted genomic alterations, thereby reducing the risk of secondary complications (CS=9) [14].</w:t>
      </w:r>
    </w:p>
    <w:p>
      <w:pPr>
        <w:pStyle w:val="Heading2"/>
      </w:pPr>
      <w:r>
        <w:t>Therapeutic challenges</w:t>
      </w:r>
    </w:p>
    <w:p/>
    <w:p>
      <w:pPr>
        <w:pStyle w:val="Heading3"/>
      </w:pPr>
      <w:r>
        <w:t>Genotoxic risks</w:t>
      </w:r>
    </w:p>
    <w:p>
      <w:r>
        <w:t>CRISPR‐based genome editing, by virtue of generating targeted double‐strand breaks (DSBs) in DNA, inherently poses significant genotoxic risks that must be carefully weighed in therapeutic applications for inherited blood disorders (CS = 10). The predominant repair mechanism for these DSBs, non‐homologous end joining (NHEJ), is error‐prone and frequently results in small insertions or deletions (indels) at the cleavage site, potentially disrupting gene function not only at the target locus but also at off‐target sites where sequence mismatches may be tolerated (CS = 10). Furthermore, inadvertent chromosomal rearrangements and complex genomic aberrations have been observed in preclinical models when DSBs exceed the cell’s capacity for faithful repair, thereby raising concerns over long-term genomic stability and potential oncogenic transformation, especially in hematopoietic stem cells (HSCs) that are intended for therapeutic transplantation (CS = 9) [1].</w:t>
        <w:br/>
        <w:br/>
        <w:t>Recent advances in CRISPR technologies, including the development of high-fidelity Cas9 variants and DSB‐independent editing tools such as base and prime editors, have aimed to mitigate these genotoxic challenges by minimizing the formation of DSBs and, consequently, reducing the incidence of indels and off‐target modifications (CS = 9). Nevertheless, even these next-generation tools carry risks—for instance, base editors can induce bystander nucleotide alterations within the deamination window, whereas prime editing, although more versatile and precise, may still lead to unintended modifications if the reverse transcriptase activity or the pegRNA design is suboptimal (CS = 8). Given that the long-term persistence of edited HSCs is critical for durable therapeutic benefit, extensive preclinical screening employing unbiased next-generation sequencing techniques is indispensable for detecting and quantifying any off-target or on-target undesired events before clinical translation (CS = 9) [15].</w:t>
      </w:r>
    </w:p>
    <w:p>
      <w:pPr>
        <w:pStyle w:val="Heading3"/>
      </w:pPr>
      <w:r>
        <w:t>Targeting quiescent HSCs</w:t>
      </w:r>
    </w:p>
    <w:p>
      <w:r>
        <w:t>Targeting quiescent hematopoietic stem cells (HSCs) for therapeutic genome editing presents unique challenges due to their intrinsic state of deep dormancy combined with stringent cell cycle control. Quiescent HSCs, particularly long-term repopulating cells, maintain their regenerative capacity through a tightly regulated balance of cyclin-dependent kinases, cyclins, and CDK inhibitors, and are characterized by reduced metabolic activity and minimal cellular division events (CS=9). This state, maintained in part by signaling pathways such as TGFβ and mechanisms regulating lysosomal activity, minimizes the uptake of CRISPR components and hampers the activation of endogenous DNA repair processes required for precise gene editing (CS=8) [16, 17].</w:t>
        <w:br/>
        <w:br/>
        <w:t>Further complicating therapeutic intervention, the physical and biochemical barriers inherent to non-dividing cells necessitate advanced and targeted delivery systems. Nanoparticle-based non-viral vectors, tailored for stimulus-responsive release, offer a promising strategy to overcome electrostatic repulsion and ensure spatially and temporally regulated CRISPR-Cas9 delivery; however, their efficiency remains lower relative to viral vectors (CS=7). In parallel, the preference of quiescent cells for non-homologous end joining over homology-directed repair further diminishes the efficiency of precision editing strategies. As a result, innovative approaches such as transient HSC activation, or the application of next-generation editors like base and prime editors—which bypass the need for double-strand break induction—are under active investigation to enhance gene editing outcomes while preserving stem cell functionality (CS=8) [5, 18].</w:t>
      </w:r>
    </w:p>
    <w:p>
      <w:r>
        <w:t>Transient activation strategies have emerged as a promising approach to overcome the intrinsic quiescence of hematopoietic stem cells (HSCs) for effective CRISPR-mediated genome editing. Given that long-term repopulating HSCs are maintained in a deeply dormant state, transiently activating these cells can promote entry into the cell cycle, thereby enhancing the cellular uptake of CRISPR components and improving the efficiency of DNA repair mechanisms, such as homology-directed repair, during the S/G2 phase (CS=9). This approach involves the use of precise pharmacological or cytokine-mediated stimuli that temporarily shift HSCs from a quiescent, deeply dormant state into a more readily editable, short-term progenitor-like state while minimizing the risk of compromising their stemness and long-term regenerative potential (CS=9) [17].</w:t>
        <w:br/>
        <w:br/>
        <w:t>The transient activation process must be carefully calibrated, as overstimulation or prolonged cell cycle entry may inadvertently deplete the stem cell pool or lead to premature differentiation, thereby undermining the therapeutic goal of sustained hematopoiesis (CS=9). Recent studies have outlined optimized ex vivo culture conditions that maintain HSC viability and ‘stemness’ even during transient activation, ensuring that edited cells retain their capacity for long-term engraftment upon autologous transplantation (CS=8). Furthermore, integrating transient activation with next-generation genome editors, such as base and prime editors that obviate the requirement for double-strand break induction, provides a dual-faceted strategy; this allows for genomic correction with minimized genotoxic stress while preserving the intrinsic self-renewal characteristics of the HSCs (CS=9) [19].</w:t>
      </w:r>
    </w:p>
    <w:p>
      <w:r>
        <w:t>The targeting of quiescent hematopoietic stem cells (HSCs) for CRISPR‐based therapeutic genome editing represents a multifaceted challenge, primarily due to the cells’ inherent deep dormancy and stringent cell cycle regulation. These cells, particularly long‐term repopulating HSCs, exhibit a tightly controlled balance of cyclin-dependent kinases, cyclins, and CDK inhibitors that maintains their quiescence, while signaling pathways such as TGFβ and mechanisms regulating lysosomal activity are instrumental in preserving their identity and self-renewal potential (CS=10) [16].</w:t>
        <w:br/>
        <w:br/>
        <w:t>In order to achieve effective genome editing in these dormant cells, strategies that transiently activate HSCs to re-enter the cell cycle have been developed. Transient activation leverages carefully calibrated pharmacological or cytokine-mediated stimuli to promote entry into phases of the cell cycle where endogenous DNA repair mechanisms, particularly homologous recombination, are more active, thereby enhancing editing precision. However, this approach necessitates delicate optimization since over-stimulation can compromise long-term engraftment potential and accelerate premature differentiation (CS=9) [17].</w:t>
        <w:br/>
        <w:br/>
        <w:t>A concurrent challenge is the efficient delivery of CRISPR components into non-dividing cells. The low metabolic activity and inherent biophysical barriers of quiescent HSCs limit the uptake of gene-editing reagents, as these cells exhibit reduced endocytic rates and increased resistance to foreign particle internalization due to factors such as electrostatic repulsion. Recent advances, however, indicate that nanoparticle-based non-viral delivery systems, particularly those with stimuli-responsive properties, may overcome these hurdles by facilitating endosomal escape and ensuring controlled, targeted release of CRISPR-Cas9 components (CS=9) [5].</w:t>
        <w:br/>
        <w:br/>
        <w:t>Moreover, the integration of next-generation genome editing tools—such as base and prime editors that obviate the need for double-strand break formation—with transient activation strategies offers a promising dual approach. This paradigm not only increases editing efficiency in quiescent HSCs but also minimizes the genotoxic risks associated with traditional double-strand break methodologies, thereby better preserving the long-term functionality of the stem cell pool (CS=9) [5, 17].</w:t>
      </w:r>
    </w:p>
    <w:p>
      <w:r>
        <w:t>Quiescent hematopoietic stem cells (HSCs) exhibit a unique set of challenges for CRISPR-based therapeutic interventions owing to their inherently low metabolic and proliferative state. In these cells, a tightly regulated network of cyclin-dependent kinases, CDK inhibitors, and metabolic regulators maintains a deep state of dormancy that is essential for long-term stemness (CS=10). This quiescent state is further reinforced by factors such as low lysosomal biogenesis and a restricted endocytic capacity, which together limit the cellular uptake of CRISPR components. Moreover, signaling pathways including TGFβ contribute to the maintenance of quiescence by upregulating inhibitors of cell cycle progression, thereby reducing the efficiency of DNA repair processes required for precise genome editing (CS=9) [16, 17].</w:t>
        <w:br/>
        <w:br/>
        <w:t>In addition to intrinsic molecular barriers, the physical characteristics of quiescent HSCs further complicate effective CRISPR delivery. The relatively impervious plasma membrane and diminished endocytic activity collectively result in low internalization of gene-editing reagents—challenges that are compounded by the predominance of error-prone non-homologous end joining (NHEJ) repair pathways in non-dividing cells (CS=8). To surmount these obstacles, strategies such as transient activation of quiescent HSCs, which briefly shift the cells into an active state where homologous recombination can be engaged, are under investigation (CS=9). Concurrently, next-generation genome editors, including base and prime editors that operate without inducing double-strand breaks, offer promising alternatives by mitigating genotoxic stress while preserving stem cell functionality. Advanced non-viral nanoparticle delivery systems, especially those engineered to be stimuli-responsive, also hold substantial promise in improving both the spatial and temporal precision of CRISPR component delivery to these elusive cell populations (CS=8) [5, 13, 20].</w:t>
      </w:r>
    </w:p>
    <w:p>
      <w:r>
        <w:t>Quiescent hematopoietic stem cells (HSCs) represent a particularly challenging target for CRISPR‐based therapeutic genome editing because of their inherently low metabolic activity, limited cell division, and robust maintenance of a dormant cell cycle state (CS=10). This quiescence is maintained via a complex interplay of intrinsic factors such as elevated levels of cyclin‐dependent kinase inhibitors and extrinsic cues from the niche, including TGFβ signaling, which reinforces a state of low lysosomal activity and modest nutrient uptake. Such a cellular milieu results in diminished uptake of CRISPR components and concurrently attenuated activation of endogenous DNA repair processes necessary for precision editing [16].</w:t>
      </w:r>
    </w:p>
    <w:p>
      <w:r>
        <w:t>Targeting quiescent hematopoietic stem cells (HSCs) for CRISPR‐based therapeutic editing remains a formidable challenge due to the intrinsic properties that preserve their dormant state. This quiescence is orchestrated by a complex network of intrinsic regulators—including BMI1, TP53, reactive oxygen species modulators, and protein kinase B (AKT) signaling—and extrinsically reinforced by niche-derived factors from both the endosteal and vascular compartments (CS=10) [17, 19]. The low metabolic rates, reduced endocytic activities, and the preferential utilization of non‐homologous end joining (NHEJ) in these cells compromise the uptake and efficacy of CRISPR components, particularly those reliant on homology-directed repair for precision edits (CS=9) [5].</w:t>
        <w:br/>
        <w:br/>
        <w:t>To address this, transient activation strategies have been developed that temporarily coax quiescent HSCs into cell cycle entry, thereby enhancing both the uptake of genome editing machinery and the activation of repair pathways such as homologous recombination during the S/G2 phase of the cycle (CS=9) [17]. Nonetheless, these activation protocols require meticulous calibration; excessive or prolonged stimulation risks depleting the stem cell pool or triggering premature differentiation, which in turn could compromise long‐term hematopoietic reconstitution (CS=10) [17, 21].</w:t>
        <w:br/>
        <w:br/>
        <w:t>Simultaneously, the realization that viral vector-based delivery may raise issues of immunogenicity and uncontrolled editing has spurred the development of advanced non-viral nanoparticle platforms. These systems are engineered with stimuli-responsive properties that leverage physiological cues—such as pH, enzyme activity, or specific metabolic states—to achieve spatially and temporally controlled release of CRISPR reagents, thereby mitigating off-target effects and reducing genotoxic risk (CS=8) [5, 20]. Moreover, the integration of next-generation genome editing modalities, including base and prime editors that eliminate the need for double-strand break induction, further enhances editing precision and safety in such challenging cellular contexts (CS=9) [11].</w:t>
        <w:br/>
        <w:br/>
        <w:t>Collectively, a multifaceted strategy that encompasses both transient modulation of HSC cell cycle status and the deployment of innovative, stimuli-responsive delivery systems is essential to overcome the hurdles posed by the quiescent state. This integrated approach not only improves the efficiency and precision of CRISPR-based genome editing in HSCs but also ensures that the preservation of stem cell functionality is maintained, a critical factor for the long-term restoration of hematopoiesis in patients with inherited blood disorders (CS=10) [19-21].</w:t>
      </w:r>
    </w:p>
    <w:p>
      <w:r>
        <w:t>Targeting quiescent hematopoietic stem cells (HSCs) represents a significant barrier to implementing CRISPR-based therapies for inherited blood disorders. These cells are maintained in a deeply dormant state through a complex interplay of intrinsic regulators—such as tightly controlled cyclin-dependent kinases and their inhibitors—and extrinsic niche-derived signals, including TGFβ, which together enforce low metabolic activity and attenuate endocytic uptake of macromolecules (CS=10) [19]. This quiescence is further reinforced by limited lysosomal activity and stringent cell cycle checkpoints that, while essential for preserving long-term regenerative capacity, severely restrict the efficient intracellular delivery and function of CRISPR components (CS=9) [16].</w:t>
        <w:br/>
        <w:br/>
        <w:t>To circumvent these challenges, recent strategies have focused on transient activation of quiescent HSCs by pharmacological or cytokine-mediated stimuli that nudge them into the cell cycle, thereby enhancing the availability of active DNA repair pathways such as homology-directed repair without undermining their stemness or long-term engraftment potential (CS=9) [17]. In parallel, advances in non-viral delivery modalities, particularly nanoparticle-based systems engineered with stimulus-responsive properties, are being leveraged to overcome the intrinsic low uptake of these editors in quiescent cells. These nanocarriers can respond to local physiological triggers, facilitating both efficient endosomal escape and nuclear transport of the CRISPR machinery, thereby improving editing precision in low-metabolic target cells (CS=8) [5]. Such integrated approaches are critical to ensuring that genome editing not only achieves the desired genetic corrections but also preserves the intrinsic long-term functionality of HSCs for sustainable hematopoiesis (CS=9).</w:t>
      </w:r>
    </w:p>
    <w:p>
      <w:r>
        <w:t>Furthermore, targeted transient activation strategies that gently coax HSCs into a more receptive, cycling state have been explored. Such approaches aim to enhance editing precision by temporally aligning the cells’ entry into active DNA repair phases (e.g., S and G2) with the delivery of genome editing agents while carefully avoiding long-term impairment of the HSC pool (CS=9). Integrating next-generation genome editing platforms—such as base editors and prime editors—that forgo the need for double-strand breaks further mitigates the risk of genotoxic stress and preserves stem cell functionality. However, the challenge remains to calibrate these transient activation protocols precisely to improve uptake and editing efficiency without skewing the balance between self-renewal and differentiation [13].</w:t>
      </w:r>
    </w:p>
    <w:p>
      <w:r>
        <w:t>Targeting quiescent hematopoietic stem cells (HSCs) for CRISPR-based therapeutic genome editing remains a formidable challenge due to their intrinsic deep dormancy and the robust regulatory network that sustains their quiescence. In these cells, key intrinsic factors such as polycomb ring finger protein (BMI1), TP53, reactive oxygen species (ROS) modulators, and protein kinase B (AKT) signaling operate in concert with extrinsic cues from the bone marrow niche—particularly signals mediated by transforming growth factor-β (TGFβ) and pathways that regulate lysosomal activity—to maintain a low metabolic state and minimal endocytic activity (CS=10) [16, 19]. This quiescent state, while assuring long-term stem cell maintenance, also significantly limits the uptake of genome editing reagents, thereby hindering efficient correction of pathogenic mutations in these cells (CS=10).</w:t>
        <w:br/>
        <w:br/>
        <w:t>To overcome these intrinsic barriers, recent strategies have focused on the transient activation of quiescent HSCs. By employing precise pharmacological or cytokine-mediated stimuli, it is possible to induce a short-term shift into the cell cycle. Such transient activation enhances the intracellular uptake of CRISPR components and aligns the cells with active DNA repair processes, particularly homologous recombination, without compromising their long-term regenerative potential (CS=9) [17]. Nevertheless, this approach demands careful titration; excessive stimulation may exhaust the stem cell pool or inadvertently trigger premature differentiation, negating the therapeutic benefit by diminishing long-term hematopoietic reconstitution (CS=9).</w:t>
        <w:br/>
        <w:br/>
        <w:t>Further compounding the challenge, quiescent HSCs exhibit physical barriers that limit the efficacy of non-viral delivery systems. Their reduced metabolic rates and attenuated endocytic activity impede the internalization of nanoparticle-based CRISPR formulations. Advances in stimuli-responsive nanoformulations, engineered to release their payload in response to specific physiological cues—such as local pH changes or enzymatic activity—offer a promising solution by enhancing both the spatial and temporal precision of CRISPR delivery (CS=8) [5, 20].</w:t>
        <w:br/>
        <w:br/>
        <w:t>In parallel, the integration of next-generation gene editing modalities, such as base editors and prime editors, which obviate the dependence on double-strand break induction, is being pursued as a means to reduce genotoxic stress. Although these tools currently trade off some efficiency for precision, their adoption in concert with transient activation strategies has the potential to significantly enhance editing outcomes in quiescent HSCs while preserving their inherent self-renewal capacity (CS=9) [11, 13].</w:t>
        <w:br/>
        <w:br/>
        <w:t>Collectively, this multifaceted paradigm—integrating an improved understanding of the molecular mechanisms governing HSC quiescence, the impact of microenvironmental factors such as TGFβ signaling and lysosomal regulation, and innovations in both delivery systems and gene editing platforms—presents a promising route toward safe and effective therapeutic genome editing for inherited blood disorders (CS=10) [16, 17, 19].</w:t>
      </w:r>
    </w:p>
    <w:p>
      <w:pPr>
        <w:pStyle w:val="Heading3"/>
      </w:pPr>
      <w:r>
        <w:t>Chemotherapy-free cell therapies</w:t>
      </w:r>
    </w:p>
    <w:p>
      <w:r>
        <w:t>The bone marrow failure syndromes encompass a heterogeneous group of rare, monogenic disorders that lead to reduced hematopoietic output due to defects in diverse cellular processes such as DNA damage response, telomere maintenance, ribosome biogenesis, or proteostasis. For example, dyskeratosis congenita (DC) is linked to impaired telomere function (CS=10) while Diamond‐Blackfan anemia (DBA) is associated with defects in ribosomal proteins, leading to ineffective erythropoiesis (CS=9). Zebrafish models have provided evidence that activation of the TP53 pathway plays a central role in mediating marrow failure in these syndromes, suggesting that a stress response is triggered by defective DNA repair and other forms of cellular perturbation (CS=9) [14].</w:t>
        <w:br/>
        <w:br/>
        <w:t>In patients with β‐haemoglobinopathies, the molecular pathology is equally complex. Sickle cell disease, for instance, is caused by a single base substitution in the β‐globin gene that leads to the replacement of glutamic acid with valine, triggering polymerization of sickle hemoglobin and resultant vaso-occlusion (CS=10). In contrast, β‐thalassemia typically involves mutations that cause reduced or absent production of beta-globin chains, with consequent accumulation of unpaired alpha-globin precipitates in erythroid precursors (CS=10). Together, these disorders contribute significantly to global morbidity, particularly in populations from the Mediterranean, Asia, and Africa (CS=10) [1].</w:t>
        <w:br/>
        <w:br/>
        <w:t>CRISPR-based genome editing strategies for hematopoietic stem cells (HSCs) are emerging as powerful tools to correct such inherited blood disorders. The efficiency of these approaches relies on the delicate balance between error-prone non-homologous end joining (NHEJ) and high-fidelity homology-directed repair (HDR) pathways (CS=9). While HDR has enabled precise correction by templated repair, its restricted activity during the S/G2 cell cycle phases limits its use in quiescent HSCs (CS=9). In order to overcome these limitations, alternative techniques such as base editing and prime editing have been developed; the former allows single nucleotide modifications without double-strand break (DSB) formation, and the latter further enables targeted insertions or deletions while avoiding DSBs (CS=9). However, both editing strategies require highly efficient and specific delivery to HSCs, given their quiescent state and complex niche environment (CS=8) [11].</w:t>
        <w:br/>
        <w:br/>
        <w:t>Ex vivo manipulation of HSCs, combined with innovative delivery platforms, has significantly enhanced engraftment and therapeutic outcomes. Advances in non-viral delivery systems – particularly those utilizing stimuli-responsive nanoformulations – have improved the intracellular uptake of CRISPR components and minimized immune responses (CS=8). Moreover, targeted integration strategies that use safe harbor loci further mitigate the risks associated with random integration, thereby enhancing the precision and safety of gene correction in autologous HSC therapy (CS=9) [8, 11].</w:t>
        <w:br/>
        <w:br/>
        <w:t>It is also critical to consider that the quiescent state of HSCs, maintained by a unique metabolic and transcriptional profile in a hypoxic bone marrow niche, poses additional challenges for efficient genome editing. Quiescence minimizes replication-induced errors but also restricts access to HDR-mediated repair pathways (CS=9). Recent advances in our understanding of stem cell quiescence have highlighted the role of key regulators—including HIF-1α and Meis1—in balancing glycolytic flux and mitochondrial respiration, thereby preserving the long-term regenerative potential of HSCs (CS=9) [17, 22].</w:t>
        <w:br/>
        <w:br/>
        <w:t>Finally, long-term safety remains a paramount consideration in clinical translation. Off-target effects of CRISPR-Cas9, even though now mitigated through the development of high-fidelity nucleases and improved guide RNA designs, still require rigorous evaluation through deep sequencing and unbiased genome-wide assays (CS=9). In addition, immune responses against CRISPR components and delivery vehicles can compromise cell viability and function, emphasizing the importance of controlled, transient expression systems (CS=8) [1, 15].</w:t>
        <w:br/>
        <w:br/>
        <w:t>Collectively, these developments underscore both the potential and the challenges of applying CRISPR-based genome editing to treat inherited blood disorders. The integration of precise editing technologies with optimized ex vivo expansion and non-cytotoxic conditioning regimens heralds a new era in HSC gene therapy, promising durable and potentially curative treatments with minimal adverse effects (CS=9) [2, 5].</w:t>
      </w:r>
    </w:p>
    <w:p>
      <w:pPr>
        <w:pStyle w:val="Heading2"/>
      </w:pPr>
      <w:r>
        <w:t>Improving broad patient access</w:t>
      </w:r>
    </w:p>
    <w:p>
      <w:r>
        <w:t>Improving broad patient access to CRISPR‐based therapies for inherited blood disorders is increasingly recognized as a critical component in translating these transformative technologies into clinically impactful treatments (CS = 10). Recent advancements in CRISPR‐Cas systems—including the development of high‐fidelity nucleases and refined base and prime editing platforms—have been paralleled by innovations in delivery strategies such as stimulus‐responsive, non‐viral nanoparticle formulations. These delivery systems not only enhance the precision and efficacy of gene editing by ensuring selective tissue targeting and efficient cellular uptake but also minimize the risks of immunogenicity and off‐target effects (CS = 9) [1].</w:t>
        <w:br/>
        <w:br/>
        <w:t>Furthermore, contemporary research emphasizes the integration of cost‐effective, robust manufacturing processes with decentralized cell processing to reduce complexities inherent in traditional conditioning regimens and ex vivo expansion of hematopoietic stem cells (HSCs). Innovations such as non‐myeloablative conditioning regimens and novel mobilization approaches have the potential to circumvent the need for high‐dose chemotherapeutic preconditioning, thereby reducing treatment-related morbidity and broadening patient eligibility—particularly among older or medically fragile individuals (CS = 9) [2].</w:t>
        <w:br/>
        <w:br/>
        <w:t>In addition, strategic improvements in delivery tools, such as the design of nanostructured, stimuli‐responsive carriers, allow for more controlled and transient expression of CRISPR components. This transient delivery mitigates long-term exposure and decreases the risk of undesired genomic alterations while preserving the long-term repopulating potential of gene-edited HSCs. Such developments are vital for ensuring that the benefits of precision genome editing can be distributed equitably, thus making therapies more accessible beyond highly specialized centers (CS = 8) [5].</w:t>
        <w:br/>
        <w:br/>
        <w:t>Finally, the combination of these advances—including improvements in nuclease specificity, optimized donor template designs, and the development of innovative, non-viral delivery systems—paves the way for scalable and cost-effective gene editing platforms. This integrated approach is expected to further reduce overall treatment costs and logistical barriers, thereby facilitating broader clinical adoption and improved patient access to curative treatments for inherited blood disorders (CS = 9) [12].</w:t>
      </w:r>
    </w:p>
    <w:p>
      <w:pPr>
        <w:pStyle w:val="Heading3"/>
      </w:pPr>
      <w:r>
        <w:t>In vivo delivery</w:t>
      </w:r>
    </w:p>
    <w:p>
      <w:r>
        <w:t>In vivo delivery remains a critical challenge for broad patient access to CRISPR‐based therapeutic genome editing for inherited blood disorders (CS = 10). The success of in vivo strategies depends on overcoming the biological barriers that limit the stability, targeting, and cellular uptake of CRISPR components. For instance, following systemic administration, the Cas9 protein and its guide RNA must evade rapid degradation, immune clearance, and nonspecific uptake by non‐target tissues; in parallel, they must traverse the vascular endothelium and efficiently enter the desired cell type (CS = 10) [5, 15].</w:t>
        <w:br/>
        <w:br/>
        <w:t>Non‐viral delivery systems, such as lipid nanoparticles, polymeric nanocarriers, and extracellular vesicles, have emerged as promising alternatives to traditional viral vectors. Their stimulus-responsive designs allow for controlled release of the CRISPR components in response to specific physiological cues—such as changes in pH or redox state—thus enhancing spatial and temporal control of gene editing (CS = 9). Additionally, these nanoparticles can be engineered to display targeting ligands that recognize markers on diseased cells, further improving cell-specific delivery and reducing off-target effects (CS = 9) [5, 23].</w:t>
        <w:br/>
        <w:br/>
        <w:t>Another key consideration in in vivo delivery is the challenge of transporting CRISPR reagents to less accessible cell populations, such as quiescent hematopoietic stem cells residing in specialized bone marrow niches. Quiescent cells display low rates of endocytosis and robust barriers to intracellular trafficking, which necessitates the development of vehicles that not only enhance cellular uptake but also promote efficient endosomal escape and nuclear entry (CS = 8). Strategies that incorporate stimuli-responsive features—designed to release their payload upon encountering endosomal pH or enzymatic activity—have begun to address these limitations, thereby increasing the likelihood of achieving therapeutic editing levels (CS = 8) [17, 22].</w:t>
        <w:br/>
        <w:br/>
        <w:t>Furthermore, the formulation of CRISPR delivery platforms must be optimized to balance safety, efficacy, and manufacturing scalability. Non-viral nanoparticle systems offer advantages in terms of lower immunogenicity and easier scale-up compared to viral vectors, yet their efficiency still lags behind that of viruses. Recent advances in nanotechnology have enabled the design of multifunctional carriers that improve loading capacity, protect the cargo from nuclease degradation, and provide controlled release, thereby enhancing the overall gene editing efficiency in vivo (CS = 8) [5, 15].</w:t>
        <w:br/>
        <w:br/>
        <w:t>Collectively, these advances in stimuli-responsive nanocarriers and targeted delivery strategies underscore the potential of in vivo CRISPR delivery systems to expand patient access to gene editing therapies. By mitigating key challenges—such as immune clearance, limited cellular uptake, and off-target effects—these innovative approaches are paving the way for more effective, clinically translatable treatments for inherited blood disorders (CS = 9) [13, 23].</w:t>
      </w:r>
    </w:p>
    <w:p>
      <w:pPr>
        <w:pStyle w:val="Heading3"/>
      </w:pPr>
      <w:r>
        <w:t>Simplified manufacturing</w:t>
      </w:r>
    </w:p>
    <w:p>
      <w:r>
        <w:t>The production of CRISPR‐based therapeutics for inherited blood disorders is heavily dependent on the development of simplified, scalable manufacturing processes that not only reduce costs but also ensure consistency and quality across production scales (CS=10). In recent years, systematic frameworks—such as the Bioindustrial Manufacturing Readiness Levels (BioMRLs)—have provided a unified vocabulary to assess and mitigate risks during the scale‐up process of fermentation, downstream processing, and quality control. Bioindustrial manufacturing is inherently complex because fermentation at milliliter‐scale does not always predict performance in kiloliter‐scale production, and this discrepancy must be managed by refining predictive scale‐down models, risk management plans, and technology readiness assessments (CS=9) [24].</w:t>
        <w:br/>
        <w:br/>
        <w:t>In parallel, automation systems are being developed to streamline cell processing steps essential for gene therapy production. For example, open-source fluorescence-activated cell sorting (FACS) automation platforms have enabled high-throughput cell selection with minimal operator intervention and reduced variability. These automated systems, which integrate robotics for sample handling and bespoke software to generate custom gating algorithms per sample, have been shown to decrease hands-on labor by over 90% while preserving cell viability and function (CS=10) [25]. Moreover, smart manufacturing approaches that leverage automated process control, connectivity, and advanced modeling have been successfully applied to complex industrial processes, providing an impetus for their adoption in scaling up CRISPR-based gene therapies (CS=9) [26].</w:t>
        <w:br/>
        <w:br/>
        <w:t>Taken together, these developments in process automation and smart manufacturing are converging to create simplified manufacturing workflows that are both cost-effective and robust. By seamlessly integrating continuous improvements in upstream cell culture, bioreactor design, and downstream processing with precisely engineered non-viral delivery systems and cost-effective scaling strategies, the field is poised to overcome previous limitations in bioindustrial production. The use of standardized manufacturing readiness frameworks and automated quality control will be essential for ensuring that therapeutic cells can be produced reliably at a scale that can broaden patient access to these transformative CRISPR-based treatments (CS=10) [5].</w:t>
      </w:r>
    </w:p>
    <w:p>
      <w:pPr>
        <w:pStyle w:val="Heading2"/>
      </w:pPr>
      <w:r>
        <w:t>Summary and perspective</w:t>
      </w:r>
    </w:p>
    <w:p>
      <w:r>
        <w:t>Recent advances in CRISPR‐based therapeutic genome editing for inherited blood disorders have transformed the landscape of precision medicine by combining novel gene‐editing modalities with refined delivery strategies. Building on the pioneering work with CRISPR‐Cas9—which introduced double‐strand breaks (CS=10)—the field has seen a paradigm shift with the advent of base and prime editors that enable single nucleotide modifications and small indels with minimized collateral genome damage (CS=9). In hematopoietic stem cells (HSCs), these approaches have facilitated both ex vivo and in vivo modifications that hold particular promise for disorders such as sickle cell disease, β‐thalassaemia, and various immunodeficiencies (CS=9). Concurrent improvements in the fidelity of Cas nucleases, achieved through engineering variants with reduced off-target activity, have contributed to a more favorable safety profile. These refinements are complemented by robust off-target evaluation methods, including predictive modeling and deep sequencing, which together form a critical framework for assessing editing specificity in sensitive cell populations (CS=9) [11, 13].</w:t>
        <w:br/>
        <w:br/>
        <w:t>Looking forward, the integration of advanced non-viral delivery systems, such as stimuli-responsive nanoparticles and refined extracellular vehicles, is addressing the longstanding challenges related to targeted delivery, immune clearance, and manufacturing scalability (CS=8). The convergence of automation in cell processing, coupled with innovative regulatory and manufacturing strategies, is poised to accelerate the translation of these therapies into clinical practice while ensuring consistent product quality (CS=8). In addition, multidisciplinary efforts aimed at optimizing both in vivo and ex vivo approaches will be essential to harness the full therapeutic potential of CRISPR-based interventions. Overall, while significant challenges remain in ensuring long-term safety and efficient tissue-specific delivery, the cumulative progress in the field reinforces a future where precise, curative therapies for inherited blood disorders become broadly accessible (CS=8) [5, 12, 15].</w:t>
      </w:r>
    </w:p>
    <w:p>
      <w:pPr>
        <w:pStyle w:val="Heading2"/>
      </w:pPr>
      <w:r>
        <w:t>References</w:t>
      </w:r>
    </w:p>
    <w:p>
      <w:r>
        <w:t>[1]. Cetin, B., Erendor, F., Eksi, Y. E., Sanlioglu, A. D., Sanlioglu, S. (2025). Advancing CRISPR genome editing into gene therapy clinical trials: progress and future prospects. Expert Reviews in Molecular Medicine, 27(1), e16. http://doi.org/10.1017/erm.2025.10</w:t>
      </w:r>
    </w:p>
    <w:p>
      <w:r>
        <w:t>[2]. Branco, A., Rayabaram, J., Miranda, C. C., Fernandes-Platzgummer, A., Fernandes, T. G., Sajja, S., da Silva, C. L., Vemuri, M. C. (2024). Advances in ex vivo expansion of hematopoietic stem and progenitor cells for clinical applications. Frontiers in Bioengineering and Biotechnology, 12(1), 1380950. http://doi.org/10.3389/fbioe.2024.1380950</w:t>
      </w:r>
    </w:p>
    <w:p>
      <w:r>
        <w:t>[3]. Li, J., Wang, X., Ding, J., Zhu, Y., Min, W., Kuang, W., Yuan, K., Sun, C., Yang, P. (2022). Development and clinical advancement of small molecules for  expansion of hematopoietic stem cell. Acta Pharmaceutica Sinica. B, 12(6), 2808-2831. http://doi.org/10.1016/j.apsb.2021.12.006</w:t>
      </w:r>
    </w:p>
    <w:p>
      <w:r>
        <w:t>[4]. Atia, M., Jiang, W., Sedeek, K., Butt, H., Mahfouz, M. (2024). Crop bioengineering via gene editing: reshaping the future of agriculture. Plant Cell Reports, 43(4), 98. http://doi.org/10.1007/s00299-024-03183-1</w:t>
      </w:r>
    </w:p>
    <w:p>
      <w:r>
        <w:t>[5]. Lee, H., Rho, W., Kim, Y., Chang, H., Jun, B. (2025). CRISPR-Cas9 Gene Therapy: Non-Viral Delivery and Stimuli-Responsive Nanoformulations. Molecules, 30(3), 542. http://doi.org/10.3390/molecules30030542</w:t>
      </w:r>
    </w:p>
    <w:p>
      <w:r>
        <w:t>[6]. Song, X., Chen, Z., Sun, W., Yang, H., Guo, L., et al. (2024). CRISPR-AsCas12f1 couples out-of-protospacer DNA unwinding with exonuclease activity in the sequential target cleavage. Nucleic Acids Research, 52(22), 14030-14042. http://doi.org/10.1093/nar/gkae989</w:t>
      </w:r>
    </w:p>
    <w:p>
      <w:r>
        <w:t>[7]. Perroud, P., Guyon-Debast, A., Casacuberta, J. M., Paul, W., Pichon, J., Comeau, D., Nogué, F. (2023). Improved prime editing allows for routine predictable gene editing in. Journal of Experimental Botany, 74(19), 6176-6187. http://doi.org/10.1093/jxb/erad189</w:t>
      </w:r>
    </w:p>
    <w:p>
      <w:r>
        <w:t>[8]. Hermantara, R., Richmond, L., Taqi, A. F., Chilaka, S., Jeantet, V., Guerrini, I., West, K., West, A. (2024). Improving CRISPR–Cas9 directed faithful transgene integration outcomes by reducing unwanted random DNA integration. Journal of Biomedical Science, 31(1), 32. http://doi.org/10.1186/s12929-024-01020-x</w:t>
      </w:r>
    </w:p>
    <w:p>
      <w:r>
        <w:t>[9]. El Mouridi, S., Alkhaldi, F., Frøkjær-Jensen, C. (2022). Modular safe-harbor transgene insertion for targeted single-copy and extrachromosomal array integration in. G3: Genes|Genomes|Genetics, 12(9), jkac184. http://doi.org/10.1093/g3journal/jkac184</w:t>
      </w:r>
    </w:p>
    <w:p>
      <w:r>
        <w:t>[10]. Mishra, R., Joshi, R. K., Zhao, K. (2019). Base editing in crops: current advances, limitations and future implications. Plant Biotechnology Journal, 18(1), 20-31. http://doi.org/10.1111/pbi.13225</w:t>
      </w:r>
    </w:p>
    <w:p>
      <w:r>
        <w:t>[11]. Koniali, L., Lederer, C. W., Kleanthous, M. (2021). Therapy Development by Genome Editing of Hematopoietic Stem Cells. Cells, 10(6), 1492. http://doi.org/10.3390/cells10061492</w:t>
      </w:r>
    </w:p>
    <w:p>
      <w:r>
        <w:t>[12]. Cavazza, A., Molina-Estévez, F. J., Reyes, Á. P., Ronco, V., Naseem, A., et al. (2025). Advanced delivery systems for gene editing: A comprehensive review from the GenE-HumDi COST Action Working Group. Molecular Therapy. Nucleic Acids, 36(1), 102457. http://doi.org/10.1016/j.omtn.2025.102457</w:t>
      </w:r>
    </w:p>
    <w:p>
      <w:r>
        <w:t>[13]. Pavel-Dinu, M., Borna, S., Bacchetta, R. (2023). Rare immune diseases paving the road for genome editing-based precision medicine. Frontiers in Genome Editing, 5(1), 1114996. http://doi.org/10.3389/fgeed.2023.1114996</w:t>
      </w:r>
    </w:p>
    <w:p>
      <w:r>
        <w:t>[14]. Oyarbide, U., Topczewski, J., Corey, S. J. (2019). Peering through zebrafish to understand inherited bone marrow failure syndromes. Haematologica, 104(1), 13-24. http://doi.org/10.3324/haematol.2018.196105</w:t>
      </w:r>
    </w:p>
    <w:p>
      <w:r>
        <w:t>[15]. Ernst, M. P., Broeders, M., Herrero-Hernandez, P., Oussoren, E., van der Ploeg, A. T., Pijnappel, W. P. (2020). Ready for Repair? Gene Editing Enters the Clinic for the Treatment of Human Disease. Molecular Therapy. Methods &amp; Clinical Development, 18(1), 532-557. http://doi.org/10.1016/j.omtm.2020.06.022</w:t>
      </w:r>
    </w:p>
    <w:p>
      <w:r>
        <w:t>[16]. Zhang, T., Cui, M., Li, Y., Cheng, Y., Gao, Z., et al. (2023). Pax transactivation domain-interacting protein is required for preserving hematopoietic stem cell quiescence via regulating lysosomal activity. Haematologica, 108(9), 2410-2421. http://doi.org/10.3324/haematol.2022.282224</w:t>
      </w:r>
    </w:p>
    <w:p>
      <w:r>
        <w:t>[17]. Urbán, N., Cheung, T. H. (2021). Stem cell quiescence: the challenging path to activation. Development (Cambridge, England), 148(3), dev165084. http://doi.org/10.1242/dev.165084</w:t>
      </w:r>
    </w:p>
    <w:p>
      <w:r>
        <w:t>[18]. Siegner, S. M., Ugalde, L., Clemens, A., Garcia-Garcia, L., Bueren, J. A., Rio, P., Karasu, M. E., Corn, J. E. (2022). Adenine base editing efficiently restores the function of Fanconi anemia hematopoietic stem and progenitor cells. Nature Communications, 13(1), 6900. http://doi.org/10.1038/s41467-022-34479-z</w:t>
      </w:r>
    </w:p>
    <w:p>
      <w:r>
        <w:t>[19]. Ikonomi, N., Kühlwein, S. D., Schwab, J. D., Kestler, H. A. (2020). Awakening the HSC: Dynamic Modeling of HSC Maintenance Unravels Regulation of the TP53 Pathway and Quiescence. Frontiers in Physiology, 11(1), 848. http://doi.org/10.3389/fphys.2020.00848</w:t>
      </w:r>
    </w:p>
    <w:p>
      <w:r>
        <w:t>[20]. Fang, T., Cao, X., Ibnat, M., Chen, G. (2022). Stimuli-responsive nanoformulations for CRISPR-Cas9 genome editing. Journal of Nanobiotechnology, 20(1), 354. http://doi.org/10.1186/s12951-022-01570-y</w:t>
      </w:r>
    </w:p>
    <w:p>
      <w:r>
        <w:t>[21]. Pietras, E. M., Warr, M. R., Passegué, E. (2011). Cell cycle regulation in hematopoietic stem cells. The Journal of Cell Biology, 195(5), 709-720. http://doi.org/10.1083/jcb.201102131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