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/>
        <w:jc w:val="center"/>
      </w:pPr>
      <w:r>
        <w:rPr>
          <w:rFonts w:ascii="Segoe UI" w:hAnsi="Segoe UI"/>
          <w:b/>
          <w:color w:val="0C2340"/>
          <w:sz w:val="56"/>
        </w:rPr>
        <w:t>KgpOne Portal Specification</w:t>
      </w:r>
    </w:p>
    <w:p>
      <w:pPr>
        <w:spacing w:after="5000"/>
        <w:jc w:val="center"/>
      </w:pPr>
      <w:r>
        <w:rPr>
          <w:rFonts w:ascii="Segoe UI" w:hAnsi="Segoe UI"/>
          <w:color w:val="1C61A6"/>
          <w:sz w:val="26"/>
        </w:rPr>
        <w:t>Comprehensive Backend APIs &amp; Elegant Admin Frontend Requirements</w:t>
      </w:r>
    </w:p>
    <w:p>
      <w:pPr>
        <w:jc w:val="center"/>
      </w:pPr>
      <w:r>
        <w:rPr>
          <w:rFonts w:ascii="Segoe UI" w:hAnsi="Segoe UI"/>
          <w:color w:val="718096"/>
          <w:sz w:val="19"/>
        </w:rPr>
        <w:t>Version: 2.0  |  Author: DeepMind Antigravity Partner  |  Status: Draft Spec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0C2340"/>
          <w:sz w:val="36"/>
        </w:rPr>
        <w:t>1. Executive Summary &amp; System Architecture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KgpOne is an intelligent academic knowledge graph and retrieval-augmented generation (RAG) platform. It ingests curriculum documents, maps syllabus prerequisites into a graph database (Neo4j), and embeds lecture materials into a vector database (Qdrant) to allow intelligent course-specific semantic querying. This specification documents the current secure backend API capabilities and specifies the design requirements for a premium, highly aesthetic Admin Portal.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Role Permissions Matrix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The system enforces strict Role-Based Access Control (RBAC) across three distinct user categories: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08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Action / Endpoint</w:t>
            </w:r>
          </w:p>
        </w:tc>
        <w:tc>
          <w:tcPr>
            <w:tcW w:type="dxa" w:w="158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58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PUBLISHER</w:t>
            </w:r>
          </w:p>
        </w:tc>
        <w:tc>
          <w:tcPr>
            <w:tcW w:type="dxa" w:w="158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STUDENT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Register student account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 (Public)</w:t>
            </w:r>
          </w:p>
        </w:tc>
      </w:tr>
      <w:tr>
        <w:tc>
          <w:tcPr>
            <w:tcW w:type="dxa" w:w="460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Create publisher accounts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Create / Edit / Delete Department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Create Course &amp; Syllabus metadata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Soft-delete Course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Manage Course Prerequisites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Create / Delete Offerings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Assign Faculty &amp; Office Hours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Generate S3 Presigned Upload URLs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Upload, Ingest, &amp; Delete Documents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Query Documents (RAG Chat / Search)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Allowed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Segoe UI" w:hAnsi="Segoe UI"/>
          <w:b/>
          <w:color w:val="0C2340"/>
          <w:sz w:val="36"/>
        </w:rPr>
        <w:t>2. Backend API Endpoint Reference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All backend endpoints live under the prefix /api/v1/ and follow a standardized, secure structure. Requests must contain Bearer JWT authentication (passed via the Authorization header or the HTTPOnly secure cookie).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Standard Envelope Response Format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All responses adhere strictly to the following unified response envelope, providing predictable parsing for frontend clients: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1C61A6"/>
              <w:top w:val="none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3748"/>
                <w:sz w:val="18"/>
              </w:rPr>
              <w:t>{</w:t>
              <w:br/>
              <w:t xml:space="preserve">  "status": "success" | "error",</w:t>
              <w:br/>
              <w:t xml:space="preserve">  "message": "Description of operation result or exception details.",</w:t>
              <w:br/>
              <w:t xml:space="preserve">  "data": { ... } | null</w:t>
              <w:br/>
              <w:t>}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2.1 Users &amp; Authentication Module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Endpoints in this module manage registration, login credentials, cookie storage, and session token rotation.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158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Access Role</w:t>
            </w:r>
          </w:p>
        </w:tc>
        <w:tc>
          <w:tcPr>
            <w:tcW w:type="dxa" w:w="2880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/users/register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None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Public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Registers a new student account. Role is forced to STUDENT.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/users/publishers</w:t>
            </w:r>
          </w:p>
        </w:tc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</w:t>
            </w:r>
          </w:p>
        </w:tc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Creates a publisher account for instructors/staff.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/users/login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None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Public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Authenticates credentials. Returns JSON tokens &amp; sets HTTPOnly access_cookie.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/users/refresh</w:t>
            </w:r>
          </w:p>
        </w:tc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None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Public</w:t>
            </w:r>
          </w:p>
        </w:tc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Rotates expired access tokens using a valid refresh token.</w:t>
            </w:r>
          </w:p>
        </w:tc>
      </w:tr>
    </w:tbl>
    <w:p>
      <w:pPr>
        <w:spacing w:after="240"/>
      </w:pP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Sample Request: Register 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1C61A6"/>
              <w:top w:val="none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3748"/>
                <w:sz w:val="18"/>
              </w:rPr>
              <w:t>POST /api/v1/users/register</w:t>
              <w:br/>
              <w:t>Content-Type: application/json</w:t>
              <w:br/>
              <w:br/>
              <w:t>{</w:t>
              <w:br/>
              <w:t xml:space="preserve">  "email": "student@kgpone.edu",</w:t>
              <w:br/>
              <w:t xml:space="preserve">  "password": "securePass123!",</w:t>
              <w:br/>
              <w:t xml:space="preserve">  "full_name": "Amit Sen"</w:t>
              <w:br/>
              <w:t>}</w:t>
            </w:r>
          </w:p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Sample Response: Register 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1C61A6"/>
              <w:top w:val="none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3748"/>
                <w:sz w:val="18"/>
              </w:rPr>
              <w:t>{</w:t>
              <w:br/>
              <w:t xml:space="preserve">  "status": "success",</w:t>
              <w:br/>
              <w:t xml:space="preserve">  "message": "User registered successfully",</w:t>
              <w:br/>
              <w:t xml:space="preserve">  "data": {</w:t>
              <w:br/>
              <w:t xml:space="preserve">    "id": "8f9b9f93-5ebf-4f81-8b9a-4c28bb46c65b",</w:t>
              <w:br/>
              <w:t xml:space="preserve">    "email": "student@kgpone.edu",</w:t>
              <w:br/>
              <w:t xml:space="preserve">    "full_name": "Amit Sen",</w:t>
              <w:br/>
              <w:t xml:space="preserve">    "role": "STUDENT",</w:t>
              <w:br/>
              <w:t xml:space="preserve">    "is_active": true,</w:t>
              <w:br/>
              <w:t xml:space="preserve">    "is_verified": false,</w:t>
              <w:br/>
              <w:t xml:space="preserve">    "created_at": "2026-06-18T12:00:00Z",</w:t>
              <w:br/>
              <w:t xml:space="preserve">    "updated_at": "2026-06-18T12:00:00Z"</w:t>
              <w:br/>
              <w:t xml:space="preserve">  }</w:t>
              <w:br/>
              <w:t>}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2.2 Academic Catalog &amp; Graph Module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This module forms the foundation of the Knowledge Graph, representing departments, courses, their prerequisite links (nodes and edges), specific offerings, and associated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Role Required</w:t>
            </w:r>
          </w:p>
        </w:tc>
        <w:tc>
          <w:tcPr>
            <w:tcW w:type="dxa" w:w="230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/academic/departments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Creates a department entry (e.g. CSE).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GET</w:t>
            </w:r>
          </w:p>
        </w:tc>
        <w:tc>
          <w:tcPr>
            <w:tcW w:type="dxa" w:w="316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/academic/departments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Any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Lists all active departments in the university.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Creates a course syllabus entry (e.g. CS101).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GET</w:t>
            </w:r>
          </w:p>
        </w:tc>
        <w:tc>
          <w:tcPr>
            <w:tcW w:type="dxa" w:w="316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Any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Lists courses (filterable by department_id).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DELETE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/academic/{id}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Soft-deletes a course &amp; triggers graph cleanup.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316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/academic/{id}/prerequisites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Adds prerequisite dependency link.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/academic/{id}/offerings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Registers a course offering for a specific semester/year.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316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/academic/offerings/{id}/faculty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Assigns faculty details &amp; hours to an offering.</w:t>
            </w:r>
          </w:p>
        </w:tc>
      </w:tr>
    </w:tbl>
    <w:p>
      <w:pPr>
        <w:spacing w:after="240"/>
      </w:pP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Sample Request: Add Prerequisite Link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1C61A6"/>
              <w:top w:val="none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3748"/>
                <w:sz w:val="18"/>
              </w:rPr>
              <w:t>POST /api/v1/academic/3c411516-72aa-4d9f-a2e6-63e8a15998f4/prerequisites</w:t>
              <w:br/>
              <w:t>Content-Type: application/json</w:t>
              <w:br/>
              <w:br/>
              <w:t>{</w:t>
              <w:br/>
              <w:t xml:space="preserve">  "prerequisite_id": "9a0d8e87-1903-4f24-814d-d790757a3e9c"</w:t>
              <w:br/>
              <w:t>}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2.3 Document &amp; Ingestion Module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Manages files, metadata indexing, and vector indexing. The uploading process consists of calling /presigned-url, uploading the binary to S3 direct from the browser, and registering metadata which triggers an asynchronous parsing and embedding task in Celery.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Role Required</w:t>
            </w:r>
          </w:p>
        </w:tc>
        <w:tc>
          <w:tcPr>
            <w:tcW w:type="dxa" w:w="230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/documents/presigned-url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Generates S3 presigned URL for direct browser upload.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POST</w:t>
            </w:r>
          </w:p>
        </w:tc>
        <w:tc>
          <w:tcPr>
            <w:tcW w:type="dxa" w:w="316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/documents/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Saves document metadata and dispatches ingestion Celery job.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/documents/offering/{id}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Any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Lists all documents linked to a course offering.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GET</w:t>
            </w:r>
          </w:p>
        </w:tc>
        <w:tc>
          <w:tcPr>
            <w:tcW w:type="dxa" w:w="316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/documents/{id}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Any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Fetches metadata and processing status of a document.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PATCH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/documents/{id}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Updates metadata or custom parsing guidelines; triggers re-ingestion.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DELETE</w:t>
            </w:r>
          </w:p>
        </w:tc>
        <w:tc>
          <w:tcPr>
            <w:tcW w:type="dxa" w:w="316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/documents/{id}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JWT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ADMIN, PUBLISHER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Soft-deletes a document and starts vector &amp; S3 cleanup tasks.</w:t>
            </w:r>
          </w:p>
        </w:tc>
      </w:tr>
    </w:tbl>
    <w:p>
      <w:pPr>
        <w:spacing w:after="240"/>
      </w:pP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Document Ingestion Lifecycle Statuses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Documents advance through four sequential states during processing, which must be rendered on the admin interface: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448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UI Representation</w:t>
            </w:r>
          </w:p>
        </w:tc>
        <w:tc>
          <w:tcPr>
            <w:tcW w:type="dxa" w:w="2880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Backend Action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PENDING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Metadata saved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Amber Badge (Pulse)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Queued for celery parsing task.</w:t>
            </w:r>
          </w:p>
        </w:tc>
      </w:tr>
      <w:tr>
        <w:tc>
          <w:tcPr>
            <w:tcW w:type="dxa" w:w="172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PROCESSING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Parsing/Embedding started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Blue Loading Spinner</w:t>
            </w:r>
          </w:p>
        </w:tc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Text extracted via LlamaIndex &amp; vectorized.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COMPLETED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Vectors saved in Qdrant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Green Success Badge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Chunks searchable, knowledge graph nodes updated.</w:t>
            </w:r>
          </w:p>
        </w:tc>
      </w:tr>
      <w:tr>
        <w:tc>
          <w:tcPr>
            <w:tcW w:type="dxa" w:w="172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FAILED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Parsing error or timeout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Red Warning Badge</w:t>
            </w:r>
          </w:p>
        </w:tc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Errors logged, user prompted to change parsing guidelines.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0C2340"/>
          <w:sz w:val="36"/>
        </w:rPr>
        <w:t>3. Admin Portal Frontend Specification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The Admin Portal serves as the primary system panel for managing academic metadata, overseeing document parsing pipelines, and managing users. To achieve a premium, state-of-the-art feel, the frontend must strictly adhere to the following guidelines.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3.1 Visual Design Language &amp; Aesthetics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Typography: Primary font is Inter or Outfit (loaded from Google Fonts). Browser defaults are forbidden. Headings should feature strong weights (600 or 700) with letter-spacing adjusted for optimal legibility.</w:t>
        <w:br/>
        <w:t>• Color Palette: A curated HSL theme with a dark/glassmorphism preference. Main colors:</w:t>
        <w:br/>
        <w:t xml:space="preserve">  - Background: Slate Charcoal/Dark Navy (#0B0F19)</w:t>
        <w:br/>
        <w:t xml:space="preserve">  - Foreground Cards: Translucent dark grey (#161C2A with backdrop-filter: blur(12px) and a subtle border of #2E374A)</w:t>
        <w:br/>
        <w:t xml:space="preserve">  - Primary Accent: Electric Ice Blue (#00D2FF)</w:t>
        <w:br/>
        <w:t xml:space="preserve">  - Secondary Accent / Action: Amber Gold (#FFB000) for warnings and secondary calls-to-action.</w:t>
        <w:br/>
        <w:t xml:space="preserve">  - Success State: Emerald Mint (#00E676)</w:t>
        <w:br/>
        <w:t>• Layout &amp; Structure: CSS Grid and Flexbox for fully responsive sizing. All buttons must feature transitions (e.g. transform 0.15s ease-out, background-color 0.2s) and hover lifts.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3.2 Required Pages &amp; Core Functionality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1. Secure Admin Login Page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Goal: Authenticates admin credentials, handles secure cookie creation, and manages routing redirections.</w:t>
        <w:br/>
        <w:t>• Key Components:</w:t>
        <w:br/>
        <w:t xml:space="preserve">  - Glassmorphic card centered on a dynamic gradient mesh background.</w:t>
        <w:br/>
        <w:t xml:space="preserve">  - Email and Password inputs with animated focus states (borders light up in Ice Blue).</w:t>
        <w:br/>
        <w:t xml:space="preserve">  - Toast notification system displaying detailed errors (e.g., 'Invalid credentials', 'Network timeout').</w:t>
        <w:br/>
        <w:t xml:space="preserve">  - Seamless redirect to Dashboard upon successful cookie storage.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2. Telemetry Dashboard &amp; Overview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Goal: Provide administrators with a high-level operational overview of university metrics and system load.</w:t>
        <w:br/>
        <w:t>• Key Components:</w:t>
        <w:br/>
        <w:t xml:space="preserve">  - Stats Grid: Four key indicators displaying counts for: Total Students, Total Publishers, Active Departments, Ingested Documents.</w:t>
        <w:br/>
        <w:t xml:space="preserve">  - Ingestion Health Widget: Visual list showing current Celery queue load and a mini pipeline log tracker.</w:t>
        <w:br/>
        <w:t xml:space="preserve">  - DB Status Indicators: Green/Red badges representing real-time ping status for Postgres, Qdrant, and Neo4j.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3. Publisher Management Panel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Goal: Provision and audit academic publisher accounts responsible for uploading and managing syllabus content.</w:t>
        <w:br/>
        <w:t>• Key Components:</w:t>
        <w:br/>
        <w:t xml:space="preserve">  - Directory Table: Lists active publishers, showing name, email, registration date, and active status.</w:t>
        <w:br/>
        <w:t xml:space="preserve">  - Account Creation Slide-out (Drawer): Sidebar form to create a new publisher, utilizing the POST /users/publishers endpoint.</w:t>
        <w:br/>
        <w:t xml:space="preserve">  - Quick Toggle: Enable or disable a publisher's access instantly via active state toggles.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4. Department &amp; Course Catalog with Graph Linker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Goal: Maintain the department structure, create new courses, and manage prerequisite structures.</w:t>
        <w:br/>
        <w:t>• Key Components:</w:t>
        <w:br/>
        <w:t xml:space="preserve">  - Department Manager: Add new departments (e.g., code: 'EE', name: 'Electrical Engineering').</w:t>
        <w:br/>
        <w:t xml:space="preserve">  - Course Registry: Filterable list of courses under each department, showing credit values and code mappings.</w:t>
        <w:br/>
        <w:t xml:space="preserve">  - Prerequisite Builder: Visual connection manager allowing admins to link prerequisite relationships. Uses an elegant search-and-select component to search courses and link them as prerequisites (calling POST /academic/{id}/prerequisites).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5. Term Offerings &amp; Faculty Assignment Panel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Goal: Instantiate course offerings for specific terms (e.g., CS101 - Autumn 2026) and allocate faculty details.</w:t>
        <w:br/>
        <w:t>• Key Components:</w:t>
        <w:br/>
        <w:t xml:space="preserve">  - Offering Creator: Grid listing terms, with a quick modal to spin up a new offering.</w:t>
        <w:br/>
        <w:t xml:space="preserve">  - Faculty Assigner: Interactive form card to add faculty members to a specific offering (allocating name, email, office hours, and role).</w:t>
        <w:br/>
        <w:t xml:space="preserve">  - Faculty List: Clear directory cards for assigned professors, complete with a delete action button.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4A5568"/>
          <w:sz w:val="22"/>
        </w:rPr>
        <w:t>6. Document Ingestion Hub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Goal: Centrally upload class PDFs, define custom LLM parsing rules, and monitor vectorization progress.</w:t>
        <w:br/>
        <w:t>• Key Components:</w:t>
        <w:br/>
        <w:t xml:space="preserve">  - Drag-and-Drop Uploader: Reusable upload component. Queries the presigned URL backend, uploads the file directly to S3 via PUT, and displays a live percentage progress bar.</w:t>
        <w:br/>
        <w:t xml:space="preserve">  - Metadata &amp; Parsing Instructions Form: Inputs for document title, category/type (NOTES, SYLLABUS, slides), and a text area for 'Parsing Instructions' (e.g., 'Ignore header logo, parse tables thoroughly').</w:t>
        <w:br/>
        <w:t xml:space="preserve">  - Ingestion Monitor: Active table displaying documents. If status is PROCESSING, show progress spinners. If FAILED, provide a tool-tip with the exception log and a quick 'Re-try' button (calling PATCH).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0C2340"/>
          <w:sz w:val="36"/>
        </w:rPr>
        <w:t>4. Frontend-Backend Integration Guidelines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Frontend developers must comply with the following implementation patterns to guarantee security and architectural compliance:</w:t>
        <w:br/>
        <w:t>1. Token Storage: JWT access tokens must be stored in secure, HttpOnly cookies set by the backend. Do not write custom javascript to store JWTs in localStorage to prevent XSS attacks.</w:t>
        <w:br/>
        <w:t>2. Axios Interceptors: Use an interceptor to automatically catch 401 Unauthorized errors and dispatch a refresh request to `/users/refresh` to fetch a rotated session.</w:t>
        <w:br/>
        <w:t>3. File Uploading Flow:</w:t>
        <w:br/>
        <w:t xml:space="preserve">   - Frontend requests Presigned URL: `POST /api/v1/documents/presigned-url`</w:t>
        <w:br/>
        <w:t xml:space="preserve">   - Axios puts file binary to S3: `PUT &lt;upload_url&gt;` (with Content-Type set appropriately)</w:t>
        <w:br/>
        <w:t xml:space="preserve">   - Frontend registers metadata: `POST /api/v1/documents/` (with the `s3_key` returned in step 1)</w:t>
        <w:br/>
        <w:t>4. Error Toasting: Match the `StandardResponse` model. When status is 'error', fetch the message field and present it in an alert notification block.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