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Segoe UI" w:hAnsi="Segoe UI"/>
          <w:b/>
          <w:color w:val="0C2340"/>
          <w:sz w:val="56"/>
        </w:rPr>
        <w:t>KgpOne Portal Specification</w:t>
      </w:r>
    </w:p>
    <w:p>
      <w:pPr>
        <w:spacing w:after="4600"/>
        <w:jc w:val="center"/>
      </w:pPr>
      <w:r>
        <w:rPr>
          <w:rFonts w:ascii="Segoe UI" w:hAnsi="Segoe UI"/>
          <w:color w:val="1C61A6"/>
          <w:sz w:val="26"/>
        </w:rPr>
        <w:t>Design &amp; Functional Specifications for the 5 Core Frontend Pages</w:t>
      </w:r>
    </w:p>
    <w:p>
      <w:pPr>
        <w:jc w:val="center"/>
      </w:pPr>
      <w:r>
        <w:rPr>
          <w:rFonts w:ascii="Segoe UI" w:hAnsi="Segoe UI"/>
          <w:color w:val="718096"/>
          <w:sz w:val="19"/>
        </w:rPr>
        <w:t>Version: 1.0  |  Author: Academic Nexus UI Team  |  Status: Ready for Stitch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1. Portal Overview &amp; Visual Guidelines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This document details the interface layouts and functionality requirements for the 5 pages of the KgpOne web application. The objective is to establish a premium, state-of-the-art UI system supporting both light and dark modes, featuring fluid animations, modern fonts, glassmorphism, and unified state handling.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Color Variables &amp; Styling System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The application maintains a dual-theme HSL variable structure in src/index.css. Any visual additions must match these design tokens: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Token Name</w:t>
            </w:r>
          </w:p>
        </w:tc>
        <w:tc>
          <w:tcPr>
            <w:tcW w:type="dxa" w:w="216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Light Theme Hex/RGB</w:t>
            </w:r>
          </w:p>
        </w:tc>
        <w:tc>
          <w:tcPr>
            <w:tcW w:type="dxa" w:w="216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Dark Theme Hex/RGB</w:t>
            </w:r>
          </w:p>
        </w:tc>
        <w:tc>
          <w:tcPr>
            <w:tcW w:type="dxa" w:w="2448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Aesthetic Application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--theme-bg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#f8fafc (Slate 50)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#0e1511 (Dark Green/Grey)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Primary application background canvas.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--theme-surface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#ffffff (White)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#16201a (Soft Dark Green)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Secondary cards, sidebars, and dialogue modals.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--theme-text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#0f172a (Slate 900)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#dde4dd (Ash/Mint White)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Primary body typography and labels.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--theme-accent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#10b981 (Emerald 500)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#4edea3 (Electric Green)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Interactive buttons, sliders, active borders, and highlights.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--theme-accent-light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rgba(16, 185, 129, 0.2)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rgba(78, 222, 163, 0.2)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Subtle backgrounds, indicators, and hover masks.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--theme-border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#e2e8f0 (Slate 200)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rgba(60, 74, 66, 0.3)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A5568"/>
                <w:sz w:val="19"/>
              </w:rPr>
              <w:t>Dividers, form fields, and card borders.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Segoe UI" w:hAnsi="Segoe UI"/>
          <w:b/>
          <w:color w:val="0C2340"/>
          <w:sz w:val="36"/>
        </w:rPr>
        <w:t>2. Page-by-Page Specifications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Page 1: Secure Session Initialization (Login.jsx)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Purpose: Secure authentication gateway for all users (students, publishers, and administrators).</w:t>
        <w:br/>
        <w:t>• Interface Layout:</w:t>
        <w:br/>
        <w:t xml:space="preserve">  - Glassmorphic card container centered on a full-viewport canvas.</w:t>
        <w:br/>
        <w:t xml:space="preserve">  - Top-right corner displays a floating theme toggler (ThemeToggle).</w:t>
        <w:br/>
        <w:t xml:space="preserve">  - Backdrop features a slow-pulsing background radial gradient in theme-accent-light.</w:t>
        <w:br/>
        <w:t>• Core Components:</w:t>
        <w:br/>
        <w:t xml:space="preserve">  - Header Branding: Features a terminal icon badge with a glowing shadow, branding title 'Academic Nexus', and subtitles.</w:t>
        <w:br/>
        <w:t xml:space="preserve">  - Email &amp; Password Fields: Icon-anchored text fields with blue/green glowing focus rings.</w:t>
        <w:br/>
        <w:t xml:space="preserve">  - Submit Button: Large accent-colored action button with loader state triggers ('Authenticating...').</w:t>
        <w:br/>
        <w:t xml:space="preserve">  - Social Sign In: Minimalist secondary grid containing GitHub and Google login stubs.</w:t>
        <w:br/>
        <w:t xml:space="preserve">  - Account State Toggle: Toggle button to switch the form layout between Sign In and Sign Up (registers students).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Page 2: Terminal Control Center (Dashboard.jsx)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Purpose: Central entry point directing logged-in users to their workspace options based on role permissions.</w:t>
        <w:br/>
        <w:t>• Interface Layout:</w:t>
        <w:br/>
        <w:t xml:space="preserve">  - Fixed Header: Displays logo, app title, active user profile details (email, role badge), and logout button.</w:t>
        <w:br/>
        <w:t xml:space="preserve">  - Responsive grid structure spacing out features based on screen width.</w:t>
        <w:br/>
        <w:t>• Core Components:</w:t>
        <w:br/>
        <w:t xml:space="preserve">  - Welcome Banner Card: Features a gradient blur vector circle and a personalized greeting reflecting the active session.</w:t>
        <w:br/>
        <w:t xml:space="preserve">  - Marketplace Card: Links to the visual course dependency graph.</w:t>
        <w:br/>
        <w:t xml:space="preserve">  - Course Workspace Card: Links to the Gemini-style search and research environment.</w:t>
        <w:br/>
        <w:t xml:space="preserve">  - Publisher Portal Card (Role-protected): Visible only to ADMIN and PUBLISHER accounts. Allows uploading content.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Page 3: Visual Course Catalog (Marketplace.jsx)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Purpose: Visual directory displaying the university catalog and inter-course prerequisites.</w:t>
        <w:br/>
        <w:t>• Interface Layout:</w:t>
        <w:br/>
        <w:t xml:space="preserve">  - Interactive canvas (powered by React Flow).</w:t>
        <w:br/>
        <w:t xml:space="preserve">  - Features side filtering widgets to filter courses by Department (e.g. CSE, EE).</w:t>
        <w:br/>
        <w:t>• Core Components:</w:t>
        <w:br/>
        <w:t xml:space="preserve">  - Graph Nodes: Representing courses (CS101, CS202) colored by department or level.</w:t>
        <w:br/>
        <w:t xml:space="preserve">  - Directed Relationship Edges: Drawing prerequisite requirements as flowing dashed lines between courses.</w:t>
        <w:br/>
        <w:t xml:space="preserve">  - Info Sidebar: Click on a course node to slide out course details: Title, description, credits, and syllabus topics.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Page 4: Research &amp; Learning Workspace (CourseWorkspace.jsx)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Purpose: split-pane interface acting as a local RAG playground, connecting lecture materials with LLM assistants.</w:t>
        <w:br/>
        <w:t>• Interface Layout:</w:t>
        <w:br/>
        <w:t xml:space="preserve">  - Three-column setup: Left sidebar (Lecture notes list), Middle panel (Interactive workspace toggling between Chat and Concept Graph), Right panel (Source citations drawer).</w:t>
        <w:br/>
        <w:t>• Core Components:</w:t>
        <w:br/>
        <w:t xml:space="preserve">  - Header Selector: Allows the user to switch between courses via a dropdown menu, syncing URL parameters.</w:t>
        <w:br/>
        <w:t xml:space="preserve">  - Lecture Notes Library: Lists active files, status indicators, and handles document selection.</w:t>
        <w:br/>
        <w:t xml:space="preserve">  - Grounded Chat: Clean message log showing user inputs and grounded AI answers. Includes citation bubble triggers.</w:t>
        <w:br/>
        <w:t xml:space="preserve">  - Prerequisite Concept Graph: Custom interactive SVG rendering node concept chains walked during the LLM reasoning process. Highlights missing prerequisite topics in warning gold.</w:t>
        <w:br/>
        <w:t xml:space="preserve">  - Provenance Drawer: Opens when a citation is clicked. Details exact metadata matches: title, course origin, relevancy score, and text snippets.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C61A6"/>
          <w:sz w:val="28"/>
        </w:rPr>
        <w:t>Page 5: Content Ingestion Console (PublisherPortal.jsx)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1"/>
        </w:rPr>
        <w:t>• Purpose: Interface for publishers/instructors to upload syllabus notes, assign metadata, and monitor pipeline progress.</w:t>
        <w:br/>
        <w:t>• Interface Layout:</w:t>
        <w:br/>
        <w:t xml:space="preserve">  - Two-column dashboard: Left Column (Upload Form), Right Column (Syllabus/Content table).</w:t>
        <w:br/>
        <w:t>• Core Components:</w:t>
        <w:br/>
        <w:t xml:space="preserve">  - File Dropzone: Drag-and-drop target supporting PDF, MD, and MP4. Displays selected file size details.</w:t>
        <w:br/>
        <w:t xml:space="preserve">  - Metadata Fields: Inputs for title, course code, academic year, and custom text area for special LLM parsing instructions.</w:t>
        <w:br/>
        <w:t xml:space="preserve">  - Direct Upload Progress: Active upload percentage bar displaying direct S3 upload completion.</w:t>
        <w:br/>
        <w:t xml:space="preserve">  - Published Content Table: Details course catalog files. Renders real-time status badges (PENDING, PROCESSING, COMPLETED, FAILED) reflecting backend vectorization progress.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