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C0E4" w14:textId="73EBB660" w:rsidR="00EC49FE" w:rsidRPr="00E81542" w:rsidRDefault="00A43F77" w:rsidP="0039084B">
      <w:pPr>
        <w:pStyle w:val="Ttulo"/>
        <w:rPr>
          <w:lang w:val="pt-BR"/>
        </w:rPr>
      </w:pPr>
      <w:r w:rsidRPr="00E81542">
        <w:rPr>
          <w:lang w:val="pt-BR"/>
        </w:rPr>
        <w:t>Análise de Composição de Carteira de Fundos de Investimento</w:t>
      </w:r>
    </w:p>
    <w:p w14:paraId="25EE95EA" w14:textId="3EED99A0" w:rsidR="00EC49FE" w:rsidRPr="00E81542" w:rsidRDefault="00A43F77" w:rsidP="0039084B">
      <w:pPr>
        <w:pStyle w:val="Author"/>
        <w:rPr>
          <w:lang w:val="pt-BR"/>
        </w:rPr>
      </w:pPr>
      <w:r w:rsidRPr="00E81542">
        <w:rPr>
          <w:lang w:val="pt-BR"/>
        </w:rPr>
        <w:t>Andréia M. Luna</w:t>
      </w:r>
      <w:r w:rsidR="00EC49FE" w:rsidRPr="00E81542">
        <w:rPr>
          <w:vertAlign w:val="superscript"/>
          <w:lang w:val="pt-BR"/>
        </w:rPr>
        <w:t>1</w:t>
      </w:r>
      <w:r w:rsidR="00EC49FE" w:rsidRPr="00E81542">
        <w:rPr>
          <w:lang w:val="pt-BR"/>
        </w:rPr>
        <w:t xml:space="preserve">, </w:t>
      </w:r>
      <w:r w:rsidRPr="00E81542">
        <w:rPr>
          <w:lang w:val="pt-BR"/>
        </w:rPr>
        <w:t>Anderson S. Nascimento</w:t>
      </w:r>
      <w:r w:rsidRPr="00E81542">
        <w:rPr>
          <w:vertAlign w:val="superscript"/>
          <w:lang w:val="pt-BR"/>
        </w:rPr>
        <w:t>1</w:t>
      </w:r>
    </w:p>
    <w:p w14:paraId="4CF9F67E" w14:textId="53212D8F" w:rsidR="00EC49FE" w:rsidRPr="00E81542" w:rsidRDefault="00EC49FE" w:rsidP="003C25DE">
      <w:pPr>
        <w:spacing w:before="240"/>
        <w:jc w:val="center"/>
        <w:rPr>
          <w:rStyle w:val="AddressChar"/>
        </w:rPr>
      </w:pPr>
      <w:r w:rsidRPr="00E81542">
        <w:rPr>
          <w:rStyle w:val="AddressChar"/>
          <w:vertAlign w:val="superscript"/>
        </w:rPr>
        <w:t>1</w:t>
      </w:r>
      <w:r w:rsidR="00A43F77" w:rsidRPr="00E81542">
        <w:rPr>
          <w:rStyle w:val="AddressChar"/>
        </w:rPr>
        <w:t>Pontifícia Universidade Católica do Rio de Janeiro</w:t>
      </w:r>
      <w:r w:rsidR="00146BDD">
        <w:rPr>
          <w:rStyle w:val="AddressChar"/>
        </w:rPr>
        <w:t xml:space="preserve"> </w:t>
      </w:r>
      <w:r w:rsidRPr="00E81542">
        <w:rPr>
          <w:rStyle w:val="AddressChar"/>
        </w:rPr>
        <w:t xml:space="preserve">– </w:t>
      </w:r>
      <w:r w:rsidR="00A43F77" w:rsidRPr="00E81542">
        <w:rPr>
          <w:rStyle w:val="AddressChar"/>
        </w:rPr>
        <w:t>Rio de Janeiro</w:t>
      </w:r>
      <w:r w:rsidRPr="00E81542">
        <w:rPr>
          <w:rStyle w:val="AddressChar"/>
        </w:rPr>
        <w:t xml:space="preserve"> – R</w:t>
      </w:r>
      <w:r w:rsidR="00A43F77" w:rsidRPr="00E81542">
        <w:rPr>
          <w:rStyle w:val="AddressChar"/>
        </w:rPr>
        <w:t>J</w:t>
      </w:r>
      <w:r w:rsidRPr="00E81542">
        <w:rPr>
          <w:rStyle w:val="AddressChar"/>
        </w:rPr>
        <w:t xml:space="preserve"> – Bra</w:t>
      </w:r>
      <w:r w:rsidR="00A43F77" w:rsidRPr="00E81542">
        <w:rPr>
          <w:rStyle w:val="AddressChar"/>
        </w:rPr>
        <w:t>s</w:t>
      </w:r>
      <w:r w:rsidRPr="00E81542">
        <w:rPr>
          <w:rStyle w:val="AddressChar"/>
        </w:rPr>
        <w:t>il</w:t>
      </w:r>
    </w:p>
    <w:p w14:paraId="7436B50C" w14:textId="16AA6E6F" w:rsidR="00EC49FE" w:rsidRPr="00E81542" w:rsidRDefault="00A43F77" w:rsidP="00EE70EF">
      <w:pPr>
        <w:pStyle w:val="Email"/>
        <w:rPr>
          <w:lang w:val="pt-BR"/>
        </w:rPr>
      </w:pPr>
      <w:r w:rsidRPr="00E81542">
        <w:rPr>
          <w:lang w:val="pt-BR"/>
        </w:rPr>
        <w:t>am.luna@hotmail.com</w:t>
      </w:r>
      <w:r w:rsidR="00EC49FE" w:rsidRPr="00E81542">
        <w:rPr>
          <w:lang w:val="pt-BR"/>
        </w:rPr>
        <w:t xml:space="preserve">, </w:t>
      </w:r>
      <w:r w:rsidRPr="00E81542">
        <w:rPr>
          <w:lang w:val="pt-BR"/>
        </w:rPr>
        <w:t>prof.anderson@ica.ele.puc-rio.br</w:t>
      </w:r>
    </w:p>
    <w:p w14:paraId="71CC85B1" w14:textId="77777777" w:rsidR="00EC49FE" w:rsidRPr="00556B9F" w:rsidRDefault="00EC49FE" w:rsidP="00EE70EF">
      <w:pPr>
        <w:pStyle w:val="Email"/>
        <w:rPr>
          <w:lang w:val="pt-BR"/>
        </w:rPr>
        <w:sectPr w:rsidR="00EC49FE" w:rsidRPr="00556B9F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199CA44A" w14:textId="1247238F" w:rsidR="00CA6F69" w:rsidRPr="00E81542" w:rsidRDefault="00EC49FE" w:rsidP="00CA6F69">
      <w:pPr>
        <w:pStyle w:val="Abstract"/>
        <w:rPr>
          <w:lang w:val="en-GB"/>
        </w:rPr>
      </w:pPr>
      <w:r w:rsidRPr="00E81542">
        <w:rPr>
          <w:b/>
          <w:lang w:val="en-GB"/>
        </w:rPr>
        <w:t>Abstract.</w:t>
      </w:r>
      <w:r w:rsidRPr="00E81542">
        <w:rPr>
          <w:lang w:val="en-GB"/>
        </w:rPr>
        <w:t xml:space="preserve"> </w:t>
      </w:r>
      <w:r w:rsidR="00CA6F69" w:rsidRPr="00E81542">
        <w:rPr>
          <w:lang w:val="en-GB"/>
        </w:rPr>
        <w:t xml:space="preserve">This paper describes the use of graph databases to analyse investment </w:t>
      </w:r>
      <w:r w:rsidR="00E81542" w:rsidRPr="00E81542">
        <w:rPr>
          <w:lang w:val="en-GB"/>
        </w:rPr>
        <w:t>funds’</w:t>
      </w:r>
      <w:r w:rsidR="00CA6F69" w:rsidRPr="00E81542">
        <w:rPr>
          <w:lang w:val="en-GB"/>
        </w:rPr>
        <w:t xml:space="preserve"> portfolios. The set of financial assets an investment fund owns is known as its portfolio, which is managed by his investment adviser. The choice of the graph-based data model to represent this problem domain was motivated by the need to produce analyses </w:t>
      </w:r>
      <w:r w:rsidR="00E81542">
        <w:rPr>
          <w:lang w:val="en-GB"/>
        </w:rPr>
        <w:t>focused</w:t>
      </w:r>
      <w:r w:rsidR="00CA6F69" w:rsidRPr="00E81542">
        <w:rPr>
          <w:lang w:val="en-GB"/>
        </w:rPr>
        <w:t xml:space="preserve"> on the relationships between the entities: a fund invests in assets; a fund invests in shares of other funds; assets are issued by financial institutions or companies;</w:t>
      </w:r>
      <w:r w:rsidR="00E81542">
        <w:rPr>
          <w:lang w:val="en-GB"/>
        </w:rPr>
        <w:t xml:space="preserve"> </w:t>
      </w:r>
      <w:r w:rsidR="00E81542" w:rsidRPr="00E81542">
        <w:rPr>
          <w:lang w:val="en-GB"/>
        </w:rPr>
        <w:t>funds’</w:t>
      </w:r>
      <w:r w:rsidR="00CA6F69" w:rsidRPr="00E81542">
        <w:rPr>
          <w:lang w:val="en-GB"/>
        </w:rPr>
        <w:t xml:space="preserve"> portfolios are managed by individuals or legal entities.</w:t>
      </w:r>
    </w:p>
    <w:p w14:paraId="46E14567" w14:textId="6E170B2C" w:rsidR="007C1EA1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7C1EA1">
        <w:t xml:space="preserve">Este artigo descreve a utilização da </w:t>
      </w:r>
      <w:r w:rsidR="007C1EA1" w:rsidRPr="007C1EA1">
        <w:t xml:space="preserve">abordagem baseada em banco de dados de grafos </w:t>
      </w:r>
      <w:r w:rsidR="007C1EA1">
        <w:t xml:space="preserve">para </w:t>
      </w:r>
      <w:r w:rsidR="007C1EA1" w:rsidRPr="007C1EA1">
        <w:t>analisar a composição de carteira de fundos de investimento</w:t>
      </w:r>
      <w:r w:rsidR="007C1EA1">
        <w:t xml:space="preserve">. </w:t>
      </w:r>
      <w:r w:rsidR="007C1EA1" w:rsidRPr="007C1EA1">
        <w:t>A composição da carteira de um fundo é o conjunto de ativos financeiros nos quais o patrimônio do fundo está aplicado</w:t>
      </w:r>
      <w:r w:rsidR="007C1EA1">
        <w:t xml:space="preserve">, cuja seleção </w:t>
      </w:r>
      <w:r w:rsidR="007C1EA1" w:rsidRPr="007C1EA1">
        <w:t>é de responsabilidade de seu(s) gestor(es). A escolha do modelo de dados baseado em grafos para representar este domínio de problema foi motivada pela necessidade de se produzir análises centradas nos relacionamentos entre as entidades: fundo aplica em ativos; fundo aplica em cotas de outros fundos; ativos são em</w:t>
      </w:r>
      <w:r w:rsidR="00797C21">
        <w:t>i</w:t>
      </w:r>
      <w:r w:rsidR="007C1EA1" w:rsidRPr="007C1EA1">
        <w:t>tidos</w:t>
      </w:r>
      <w:r w:rsidR="00797C21">
        <w:t xml:space="preserve"> </w:t>
      </w:r>
      <w:r w:rsidR="007C1EA1" w:rsidRPr="007C1EA1">
        <w:t>por instituições financeiras/empresas; fundos são geridos por pessoas físicas ou jurídicas.</w:t>
      </w:r>
    </w:p>
    <w:p w14:paraId="4DB74DC6" w14:textId="6FE248B1" w:rsidR="00EC49FE" w:rsidRPr="00146BDD" w:rsidRDefault="00EC49FE" w:rsidP="00EE70EF">
      <w:pPr>
        <w:pStyle w:val="Ttulo1"/>
        <w:rPr>
          <w:lang w:val="pt-BR"/>
        </w:rPr>
      </w:pPr>
      <w:r w:rsidRPr="00146BDD">
        <w:rPr>
          <w:lang w:val="pt-BR"/>
        </w:rPr>
        <w:t xml:space="preserve">1. </w:t>
      </w:r>
      <w:r w:rsidR="00146BDD" w:rsidRPr="00146BDD">
        <w:rPr>
          <w:lang w:val="pt-BR"/>
        </w:rPr>
        <w:t>Introdução</w:t>
      </w:r>
    </w:p>
    <w:p w14:paraId="02173814" w14:textId="04997F31" w:rsidR="00146BDD" w:rsidRPr="00146BDD" w:rsidRDefault="00146BDD" w:rsidP="00146BDD">
      <w:pPr>
        <w:rPr>
          <w:lang w:val="pt-BR"/>
        </w:rPr>
      </w:pPr>
      <w:r w:rsidRPr="00146BDD">
        <w:rPr>
          <w:lang w:val="pt-BR"/>
        </w:rPr>
        <w:t>De acordo com dados da Associação Brasileira das Entidades dos Mercados Financeiro e de Capitais – ANBIMA, a indústria de fundos de investimento encerrou o ano de 2020 com captação líquida positiva, apesar de todo o impacto da crise finan</w:t>
      </w:r>
      <w:r>
        <w:rPr>
          <w:lang w:val="pt-BR"/>
        </w:rPr>
        <w:t>c</w:t>
      </w:r>
      <w:r w:rsidRPr="00146BDD">
        <w:rPr>
          <w:lang w:val="pt-BR"/>
        </w:rPr>
        <w:t xml:space="preserve">eira causada pela pandemia do coronavírus </w:t>
      </w:r>
      <w:r w:rsidR="003272C6">
        <w:rPr>
          <w:lang w:val="pt-BR"/>
        </w:rPr>
        <w:t>[</w:t>
      </w:r>
      <w:r w:rsidR="00195DD6" w:rsidRPr="00146BDD">
        <w:rPr>
          <w:lang w:val="pt-BR"/>
        </w:rPr>
        <w:t>ANBIMA</w:t>
      </w:r>
      <w:r w:rsidR="003272C6">
        <w:rPr>
          <w:lang w:val="pt-BR"/>
        </w:rPr>
        <w:t xml:space="preserve"> 2021]</w:t>
      </w:r>
      <w:r w:rsidRPr="00146BDD">
        <w:rPr>
          <w:lang w:val="pt-BR"/>
        </w:rPr>
        <w:t>.</w:t>
      </w:r>
    </w:p>
    <w:p w14:paraId="0C2F85D1" w14:textId="35A10269" w:rsidR="00EC49FE" w:rsidRPr="00146BDD" w:rsidRDefault="00146BDD" w:rsidP="00146BDD">
      <w:pPr>
        <w:rPr>
          <w:lang w:val="pt-BR"/>
        </w:rPr>
      </w:pPr>
      <w:r w:rsidRPr="00146BDD">
        <w:rPr>
          <w:lang w:val="pt-BR"/>
        </w:rPr>
        <w:tab/>
        <w:t xml:space="preserve">Tal fato ilustra a relevância do mercado de fundos de investimento brasileiro, evidenciada também pelo surgimento de diversas plataformas online de análise de fundos, tais como: </w:t>
      </w:r>
      <w:hyperlink r:id="rId12" w:history="1">
        <w:r w:rsidRPr="003272C6">
          <w:rPr>
            <w:rStyle w:val="Hyperlink"/>
            <w:lang w:val="pt-BR"/>
          </w:rPr>
          <w:t>Mais Retorno</w:t>
        </w:r>
      </w:hyperlink>
      <w:r w:rsidRPr="00146BDD">
        <w:rPr>
          <w:lang w:val="pt-BR"/>
        </w:rPr>
        <w:t xml:space="preserve">, </w:t>
      </w:r>
      <w:hyperlink r:id="rId13" w:history="1">
        <w:r w:rsidRPr="003272C6">
          <w:rPr>
            <w:rStyle w:val="Hyperlink"/>
            <w:lang w:val="pt-BR"/>
          </w:rPr>
          <w:t>Info Fundos</w:t>
        </w:r>
      </w:hyperlink>
      <w:r w:rsidRPr="00146BDD">
        <w:rPr>
          <w:lang w:val="pt-BR"/>
        </w:rPr>
        <w:t xml:space="preserve">, </w:t>
      </w:r>
      <w:hyperlink r:id="rId14" w:history="1">
        <w:r w:rsidRPr="003272C6">
          <w:rPr>
            <w:rStyle w:val="Hyperlink"/>
            <w:lang w:val="pt-BR"/>
          </w:rPr>
          <w:t>Comparador de Fundos</w:t>
        </w:r>
      </w:hyperlink>
      <w:r w:rsidRPr="00146BDD">
        <w:rPr>
          <w:lang w:val="pt-BR"/>
        </w:rPr>
        <w:t xml:space="preserve"> e </w:t>
      </w:r>
      <w:hyperlink r:id="rId15" w:history="1">
        <w:r w:rsidRPr="003272C6">
          <w:rPr>
            <w:rStyle w:val="Hyperlink"/>
            <w:lang w:val="pt-BR"/>
          </w:rPr>
          <w:t>Yubb</w:t>
        </w:r>
      </w:hyperlink>
      <w:r w:rsidRPr="00146BDD">
        <w:rPr>
          <w:lang w:val="pt-BR"/>
        </w:rPr>
        <w:t>. Essas plataformas disponibilizam informações tais como rentabilidade histórica, evolução do patrimônio, nível de risco e composição da car</w:t>
      </w:r>
      <w:r w:rsidR="009D21EA">
        <w:rPr>
          <w:lang w:val="pt-BR"/>
        </w:rPr>
        <w:t>t</w:t>
      </w:r>
      <w:r w:rsidRPr="00146BDD">
        <w:rPr>
          <w:lang w:val="pt-BR"/>
        </w:rPr>
        <w:t>eira, entre outras.</w:t>
      </w:r>
      <w:r w:rsidR="00EC49FE" w:rsidRPr="00146BDD">
        <w:rPr>
          <w:lang w:val="pt-BR"/>
        </w:rPr>
        <w:t xml:space="preserve"> </w:t>
      </w:r>
    </w:p>
    <w:p w14:paraId="0E2D8651" w14:textId="051476E6" w:rsidR="003272C6" w:rsidRDefault="00EC49FE">
      <w:pPr>
        <w:rPr>
          <w:lang w:val="pt-BR"/>
        </w:rPr>
      </w:pPr>
      <w:r w:rsidRPr="00146BDD">
        <w:rPr>
          <w:lang w:val="pt-BR"/>
        </w:rPr>
        <w:tab/>
      </w:r>
      <w:r w:rsidR="003272C6">
        <w:rPr>
          <w:lang w:val="pt-BR"/>
        </w:rPr>
        <w:t xml:space="preserve">Este artigo descreve a realização de uma </w:t>
      </w:r>
      <w:r w:rsidR="003272C6" w:rsidRPr="003272C6">
        <w:rPr>
          <w:lang w:val="pt-BR"/>
        </w:rPr>
        <w:t xml:space="preserve">prova de conceito </w:t>
      </w:r>
      <w:r w:rsidR="003272C6">
        <w:rPr>
          <w:lang w:val="pt-BR"/>
        </w:rPr>
        <w:t>com o objetivo de</w:t>
      </w:r>
      <w:r w:rsidR="003272C6" w:rsidRPr="003272C6">
        <w:rPr>
          <w:lang w:val="pt-BR"/>
        </w:rPr>
        <w:t xml:space="preserve"> analisar a composição de carteira de fundos de investimento experimentando uma abordagem baseada em banco de dados de grafos (</w:t>
      </w:r>
      <w:r w:rsidR="003272C6" w:rsidRPr="003272C6">
        <w:rPr>
          <w:i/>
          <w:iCs/>
          <w:lang w:val="pt-BR"/>
        </w:rPr>
        <w:t>graph database</w:t>
      </w:r>
      <w:r w:rsidR="003272C6" w:rsidRPr="003272C6">
        <w:rPr>
          <w:lang w:val="pt-BR"/>
        </w:rPr>
        <w:t xml:space="preserve">). A composição da carteira de um fundo é o conjunto de ativos financeiros nos quais o patrimônio do fundo está aplicado. São exemplos de ativos financeiros: Letras Financeiras, debêntures, CDBs (Certificados de Depósito Bancário), ações, opções, contratos de Swap e cotas de outros fundos. A seleção dos ativos em que os recursos do fundo serão aplicados é de </w:t>
      </w:r>
      <w:r w:rsidR="003272C6" w:rsidRPr="003272C6">
        <w:rPr>
          <w:lang w:val="pt-BR"/>
        </w:rPr>
        <w:lastRenderedPageBreak/>
        <w:t>responsabilidade de seu(s) gestor(es). A escolha do modelo de dados baseado em grafos para representar este domínio de problema foi motivada pela necessidade de se produzir análises centradas nos relacionamentos entre as entidades: fundo aplica em ativos; fundo aplica em cotas de outros fundos; ativos são emitidos por instituições financeiras/empresas; fundos são geridos por pessoas físicas ou jurídicas.</w:t>
      </w:r>
    </w:p>
    <w:p w14:paraId="162D5116" w14:textId="401B7D6C" w:rsidR="00EC49FE" w:rsidRPr="00146BDD" w:rsidRDefault="00EC49FE">
      <w:pPr>
        <w:rPr>
          <w:lang w:val="pt-BR"/>
        </w:rPr>
      </w:pPr>
    </w:p>
    <w:p w14:paraId="638C6845" w14:textId="3209D21C" w:rsidR="00EC49FE" w:rsidRPr="00A71E1F" w:rsidRDefault="00EC49FE" w:rsidP="00603861">
      <w:pPr>
        <w:pStyle w:val="Ttulo1"/>
        <w:rPr>
          <w:lang w:val="pt-BR"/>
        </w:rPr>
      </w:pPr>
      <w:r w:rsidRPr="00A71E1F">
        <w:rPr>
          <w:lang w:val="pt-BR"/>
        </w:rPr>
        <w:t xml:space="preserve">2. </w:t>
      </w:r>
      <w:r w:rsidR="00146BDD" w:rsidRPr="00A71E1F">
        <w:rPr>
          <w:lang w:val="pt-BR"/>
        </w:rPr>
        <w:t>Descrição do negócio</w:t>
      </w:r>
    </w:p>
    <w:p w14:paraId="28F90785" w14:textId="77777777" w:rsidR="00A71E1F" w:rsidRPr="00A71E1F" w:rsidRDefault="00A71E1F" w:rsidP="00A71E1F">
      <w:pPr>
        <w:rPr>
          <w:lang w:val="pt-BR"/>
        </w:rPr>
      </w:pPr>
      <w:r w:rsidRPr="00A71E1F">
        <w:rPr>
          <w:lang w:val="pt-BR"/>
        </w:rPr>
        <w:t xml:space="preserve">Os </w:t>
      </w:r>
      <w:r w:rsidRPr="000D57D0">
        <w:rPr>
          <w:lang w:val="pt-BR"/>
        </w:rPr>
        <w:t>Fundos de Investimento</w:t>
      </w:r>
      <w:r w:rsidRPr="00A71E1F">
        <w:rPr>
          <w:lang w:val="pt-BR"/>
        </w:rPr>
        <w:t xml:space="preserve"> são uma forma organizada de captar recursos de investidores, individuais e institucionais, e aplicá-los em carteiras de ativos disponíveis no mercado financeiro e de capitais.</w:t>
      </w:r>
    </w:p>
    <w:p w14:paraId="27C06AFD" w14:textId="416A3F95" w:rsidR="00A71E1F" w:rsidRPr="00A71E1F" w:rsidRDefault="00A71E1F" w:rsidP="00A71E1F">
      <w:pPr>
        <w:rPr>
          <w:lang w:val="pt-BR"/>
        </w:rPr>
      </w:pPr>
      <w:r w:rsidRPr="00A71E1F">
        <w:rPr>
          <w:lang w:val="pt-BR"/>
        </w:rPr>
        <w:tab/>
      </w:r>
      <w:r w:rsidRPr="00A71E1F">
        <w:rPr>
          <w:lang w:val="pt-BR"/>
        </w:rPr>
        <w:tab/>
        <w:t xml:space="preserve">O </w:t>
      </w:r>
      <w:r w:rsidRPr="00A71E1F">
        <w:rPr>
          <w:b/>
          <w:bCs/>
          <w:lang w:val="pt-BR"/>
        </w:rPr>
        <w:t>patrimônio líquido</w:t>
      </w:r>
      <w:r w:rsidRPr="00A71E1F">
        <w:rPr>
          <w:lang w:val="pt-BR"/>
        </w:rPr>
        <w:t xml:space="preserve"> de um fundo é calculado pela soma de todos os ativos que constituem a sua carteira de investimento e o valor em caixa, menos as suas despesas e obrigações.</w:t>
      </w:r>
    </w:p>
    <w:p w14:paraId="65F67F35" w14:textId="241607E7" w:rsidR="00A71E1F" w:rsidRPr="00A71E1F" w:rsidRDefault="00A71E1F" w:rsidP="00A71E1F">
      <w:pPr>
        <w:rPr>
          <w:lang w:val="pt-BR"/>
        </w:rPr>
      </w:pPr>
      <w:r w:rsidRPr="00A71E1F">
        <w:rPr>
          <w:lang w:val="pt-BR"/>
        </w:rPr>
        <w:tab/>
        <w:t xml:space="preserve">O patrimônio dos fundos é investido em ativos financeiros, de emissores públicos ou privados, emitidos no Brasil ou no exterior. Esses ativos compõem o que se chama de </w:t>
      </w:r>
      <w:r w:rsidRPr="00A71E1F">
        <w:rPr>
          <w:b/>
          <w:bCs/>
          <w:lang w:val="pt-BR"/>
        </w:rPr>
        <w:t>carteira do fundo</w:t>
      </w:r>
      <w:r w:rsidRPr="00A71E1F">
        <w:rPr>
          <w:lang w:val="pt-BR"/>
        </w:rPr>
        <w:t>.</w:t>
      </w:r>
    </w:p>
    <w:p w14:paraId="3FA18927" w14:textId="32AC503A" w:rsidR="00A71E1F" w:rsidRPr="00A71E1F" w:rsidRDefault="00A71E1F" w:rsidP="00A71E1F">
      <w:pPr>
        <w:rPr>
          <w:lang w:val="pt-BR"/>
        </w:rPr>
      </w:pPr>
      <w:r w:rsidRPr="00A71E1F">
        <w:rPr>
          <w:lang w:val="pt-BR"/>
        </w:rPr>
        <w:tab/>
        <w:t xml:space="preserve">O </w:t>
      </w:r>
      <w:r w:rsidRPr="00A71E1F">
        <w:rPr>
          <w:b/>
          <w:bCs/>
          <w:lang w:val="pt-BR"/>
        </w:rPr>
        <w:t>gestor da carteira</w:t>
      </w:r>
      <w:r w:rsidRPr="00A71E1F">
        <w:rPr>
          <w:lang w:val="pt-BR"/>
        </w:rPr>
        <w:t xml:space="preserve"> é o profissional (pessoa física ou jurídica credenciada pela CVM como administrador de carteiras de valores mobiliários), responsável pelos investimentos realizados pelo fundo. É quem decide quais ativos financeiros irão compor a sua carteira. No entanto, suas decisões de compra e venda de ativos são regidas pelos objetivos e política de investimento determinados no regulamento do fundo [</w:t>
      </w:r>
      <w:r w:rsidR="00817F37" w:rsidRPr="00817F37">
        <w:rPr>
          <w:lang w:val="pt-BR"/>
        </w:rPr>
        <w:t>Comissão de Valores Mobiliários</w:t>
      </w:r>
      <w:r w:rsidRPr="00A71E1F">
        <w:rPr>
          <w:lang w:val="pt-BR"/>
        </w:rPr>
        <w:t>].</w:t>
      </w:r>
    </w:p>
    <w:p w14:paraId="69BD948E" w14:textId="168003F3" w:rsidR="00A71E1F" w:rsidRPr="00A71E1F" w:rsidRDefault="00A71E1F">
      <w:pPr>
        <w:rPr>
          <w:lang w:val="pt-BR"/>
        </w:rPr>
      </w:pPr>
      <w:r w:rsidRPr="00A71E1F">
        <w:rPr>
          <w:lang w:val="pt-BR"/>
        </w:rPr>
        <w:tab/>
        <w:t xml:space="preserve">O funcionamento dos fundos de investimento está sujeito às normas publicadas pela Comissão de Valores Mobiliários (CVM). Há diversos tipos de fundos e a sua constituição, funcionamento e divulgação de informações seguem o estabelecido em diferentes normas, por exemplo, a </w:t>
      </w:r>
      <w:hyperlink r:id="rId16" w:history="1">
        <w:r w:rsidRPr="00A71E1F">
          <w:rPr>
            <w:rStyle w:val="Hyperlink"/>
            <w:lang w:val="pt-BR"/>
          </w:rPr>
          <w:t>Instrução CVM 555</w:t>
        </w:r>
      </w:hyperlink>
      <w:r w:rsidRPr="00A71E1F">
        <w:rPr>
          <w:lang w:val="pt-BR"/>
        </w:rPr>
        <w:t>.</w:t>
      </w:r>
    </w:p>
    <w:p w14:paraId="5B6DE913" w14:textId="2E25B482" w:rsidR="00A71E1F" w:rsidRPr="00A71E1F" w:rsidRDefault="00A71E1F">
      <w:pPr>
        <w:rPr>
          <w:lang w:val="pt-BR"/>
        </w:rPr>
      </w:pPr>
      <w:r w:rsidRPr="009D21EA">
        <w:rPr>
          <w:lang w:val="pt-BR"/>
        </w:rPr>
        <w:tab/>
      </w:r>
      <w:r w:rsidRPr="00A71E1F">
        <w:rPr>
          <w:lang w:val="pt-BR"/>
        </w:rPr>
        <w:t xml:space="preserve">Os fundos regulados pela Instrução CVM 555 (e alguns outros tipos) devem enviar o demonstrativo mensal da composição da sua carteira por meio do </w:t>
      </w:r>
      <w:hyperlink r:id="rId17" w:history="1">
        <w:r w:rsidRPr="00A71E1F">
          <w:rPr>
            <w:rStyle w:val="Hyperlink"/>
            <w:lang w:val="pt-BR"/>
          </w:rPr>
          <w:t>Sistema de Envio de Documentos da CVM</w:t>
        </w:r>
      </w:hyperlink>
      <w:r w:rsidRPr="00A71E1F">
        <w:rPr>
          <w:lang w:val="pt-BR"/>
        </w:rPr>
        <w:t>.</w:t>
      </w:r>
    </w:p>
    <w:p w14:paraId="299C1E89" w14:textId="3DB748EF" w:rsidR="00A71E1F" w:rsidRPr="00A71E1F" w:rsidRDefault="00A71E1F">
      <w:pPr>
        <w:rPr>
          <w:lang w:val="pt-BR"/>
        </w:rPr>
      </w:pPr>
      <w:r w:rsidRPr="00A71E1F">
        <w:rPr>
          <w:lang w:val="pt-BR"/>
        </w:rPr>
        <w:tab/>
        <w:t xml:space="preserve">O </w:t>
      </w:r>
      <w:r w:rsidRPr="00A71E1F">
        <w:rPr>
          <w:b/>
          <w:bCs/>
          <w:lang w:val="pt-BR"/>
        </w:rPr>
        <w:t>Informe de Composição e Diversificação das Aplicações (CDA)</w:t>
      </w:r>
      <w:r w:rsidRPr="00A71E1F">
        <w:rPr>
          <w:lang w:val="pt-BR"/>
        </w:rPr>
        <w:t xml:space="preserve"> é o documento que descreve as aplicações que compõem as carteiras dos fundos de investimento (ativos financeiros ou cotas de outros fundos), entregue à CVM no </w:t>
      </w:r>
      <w:hyperlink r:id="rId18" w:history="1">
        <w:r w:rsidRPr="00A71E1F">
          <w:rPr>
            <w:rStyle w:val="Hyperlink"/>
            <w:lang w:val="pt-BR"/>
          </w:rPr>
          <w:t>formato XML</w:t>
        </w:r>
      </w:hyperlink>
      <w:r w:rsidRPr="00A71E1F">
        <w:rPr>
          <w:lang w:val="pt-BR"/>
        </w:rPr>
        <w:t>.</w:t>
      </w:r>
    </w:p>
    <w:p w14:paraId="09CA62ED" w14:textId="1B43C349" w:rsidR="00A71E1F" w:rsidRPr="00A71E1F" w:rsidRDefault="00A71E1F">
      <w:pPr>
        <w:rPr>
          <w:lang w:val="pt-BR"/>
        </w:rPr>
      </w:pPr>
      <w:r w:rsidRPr="00A71E1F">
        <w:rPr>
          <w:lang w:val="pt-BR"/>
        </w:rPr>
        <w:tab/>
        <w:t xml:space="preserve">Assim, as carteiras individualizadas dos fundos podem ser consultadas no sítio da CVM, na página </w:t>
      </w:r>
      <w:hyperlink r:id="rId19" w:history="1">
        <w:r w:rsidRPr="00A71E1F">
          <w:rPr>
            <w:rStyle w:val="Hyperlink"/>
            <w:lang w:val="pt-BR"/>
          </w:rPr>
          <w:t>Consulta a Carteiras de Fundos</w:t>
        </w:r>
      </w:hyperlink>
      <w:r w:rsidRPr="00A71E1F">
        <w:rPr>
          <w:lang w:val="pt-BR"/>
        </w:rPr>
        <w:t xml:space="preserve">. Além disso, a CVM disponibiliza essas carteiras para download em massa (bulk download) por meio de seu </w:t>
      </w:r>
      <w:hyperlink r:id="rId20" w:history="1">
        <w:r w:rsidRPr="00A71E1F">
          <w:rPr>
            <w:rStyle w:val="Hyperlink"/>
            <w:lang w:val="pt-BR"/>
          </w:rPr>
          <w:t>Portal de Dados Abertos</w:t>
        </w:r>
      </w:hyperlink>
      <w:r w:rsidRPr="00A71E1F">
        <w:rPr>
          <w:lang w:val="pt-BR"/>
        </w:rPr>
        <w:t>.</w:t>
      </w:r>
    </w:p>
    <w:p w14:paraId="39BF8ECF" w14:textId="77777777" w:rsidR="00817F37" w:rsidRPr="00146BDD" w:rsidRDefault="00817F37" w:rsidP="00817F37">
      <w:pPr>
        <w:rPr>
          <w:lang w:val="pt-BR"/>
        </w:rPr>
      </w:pPr>
    </w:p>
    <w:p w14:paraId="1476A611" w14:textId="5D47AA1E" w:rsidR="00817F37" w:rsidRPr="00A71E1F" w:rsidRDefault="002C147F" w:rsidP="00817F37">
      <w:pPr>
        <w:pStyle w:val="Ttulo1"/>
        <w:rPr>
          <w:lang w:val="pt-BR"/>
        </w:rPr>
      </w:pPr>
      <w:r>
        <w:rPr>
          <w:lang w:val="pt-BR"/>
        </w:rPr>
        <w:lastRenderedPageBreak/>
        <w:t>3</w:t>
      </w:r>
      <w:r w:rsidR="00817F37" w:rsidRPr="00A71E1F">
        <w:rPr>
          <w:lang w:val="pt-BR"/>
        </w:rPr>
        <w:t xml:space="preserve">. </w:t>
      </w:r>
      <w:r w:rsidR="00817F37" w:rsidRPr="00817F37">
        <w:rPr>
          <w:lang w:val="pt-BR"/>
        </w:rPr>
        <w:t>Problema proposto</w:t>
      </w:r>
    </w:p>
    <w:p w14:paraId="0DCD2C2B" w14:textId="391D570B" w:rsidR="00A71E1F" w:rsidRPr="00817F37" w:rsidRDefault="00817F37">
      <w:pPr>
        <w:rPr>
          <w:lang w:val="pt-BR"/>
        </w:rPr>
      </w:pPr>
      <w:r w:rsidRPr="00817F37">
        <w:rPr>
          <w:lang w:val="pt-BR"/>
        </w:rPr>
        <w:t xml:space="preserve">Existem diversas ferramentas online que permitem consultar as aplicações de um fundo, mas que se limitam a exibir as mesmas informações encontradas na </w:t>
      </w:r>
      <w:hyperlink r:id="rId21" w:history="1">
        <w:r w:rsidRPr="00817F37">
          <w:rPr>
            <w:rStyle w:val="Hyperlink"/>
            <w:lang w:val="pt-BR"/>
          </w:rPr>
          <w:t>Consulta a Carteiras de Fundos</w:t>
        </w:r>
      </w:hyperlink>
      <w:r w:rsidRPr="00817F37">
        <w:rPr>
          <w:lang w:val="pt-BR"/>
        </w:rPr>
        <w:t>, no sítio da CVM.</w:t>
      </w:r>
    </w:p>
    <w:p w14:paraId="0B535DF8" w14:textId="503D015F" w:rsidR="00A71E1F" w:rsidRDefault="00817F37">
      <w:pPr>
        <w:rPr>
          <w:lang w:val="pt-BR"/>
        </w:rPr>
      </w:pPr>
      <w:r>
        <w:rPr>
          <w:lang w:val="pt-BR"/>
        </w:rPr>
        <w:tab/>
      </w:r>
      <w:r w:rsidRPr="00817F37">
        <w:rPr>
          <w:lang w:val="pt-BR"/>
        </w:rPr>
        <w:t xml:space="preserve">Todas essas consultas apresentam o portfólio de investimentos que consta no documento </w:t>
      </w:r>
      <w:r w:rsidRPr="00817F37">
        <w:rPr>
          <w:b/>
          <w:bCs/>
          <w:lang w:val="pt-BR"/>
        </w:rPr>
        <w:t>Composição e Diversificação das Aplicações (CDA)</w:t>
      </w:r>
      <w:r w:rsidRPr="00817F37">
        <w:rPr>
          <w:lang w:val="pt-BR"/>
        </w:rPr>
        <w:t xml:space="preserve"> do fundo (chamaremos esta versão da carteira de "</w:t>
      </w:r>
      <w:r w:rsidRPr="00817F37">
        <w:rPr>
          <w:b/>
          <w:bCs/>
          <w:lang w:val="pt-BR"/>
        </w:rPr>
        <w:t>simples</w:t>
      </w:r>
      <w:r w:rsidRPr="00817F37">
        <w:rPr>
          <w:lang w:val="pt-BR"/>
        </w:rPr>
        <w:t>"). No entanto, nenhuma das consultas avaliadas põe em perspectiva o relacionamento entre fundos.</w:t>
      </w:r>
    </w:p>
    <w:p w14:paraId="4F6A711A" w14:textId="70B48FFC" w:rsidR="00817F37" w:rsidRDefault="00817F37">
      <w:pPr>
        <w:rPr>
          <w:lang w:val="pt-BR"/>
        </w:rPr>
      </w:pPr>
      <w:r>
        <w:rPr>
          <w:lang w:val="pt-BR"/>
        </w:rPr>
        <w:tab/>
      </w:r>
      <w:r w:rsidRPr="00817F37">
        <w:rPr>
          <w:lang w:val="pt-BR"/>
        </w:rPr>
        <w:t>Nos casos de aplicações em cotas de outros fundos, as consultas tradicionais à carteira não evidenciam, por exemplo, quais empresas e outras instituições são de fato financiadas com parte dos recursos do fundo. No entanto, é possível fazer tal inferência, bastando "navegar" do fundo investidor para os fundos que recebem o investimento.</w:t>
      </w:r>
    </w:p>
    <w:p w14:paraId="5A04A24B" w14:textId="423B5E38" w:rsidR="00817F37" w:rsidRDefault="00817F37">
      <w:pPr>
        <w:rPr>
          <w:lang w:val="pt-BR"/>
        </w:rPr>
      </w:pPr>
      <w:r>
        <w:rPr>
          <w:lang w:val="pt-BR"/>
        </w:rPr>
        <w:tab/>
      </w:r>
      <w:r w:rsidRPr="00817F37">
        <w:rPr>
          <w:lang w:val="pt-BR"/>
        </w:rPr>
        <w:t xml:space="preserve">Considerando que o CDA informa a relação fundo investidor/fundo investido, definimos a </w:t>
      </w:r>
      <w:r w:rsidRPr="00817F37">
        <w:rPr>
          <w:b/>
          <w:bCs/>
          <w:lang w:val="pt-BR"/>
        </w:rPr>
        <w:t>versão "expandida" da carteira</w:t>
      </w:r>
      <w:r w:rsidRPr="00817F37">
        <w:rPr>
          <w:lang w:val="pt-BR"/>
        </w:rPr>
        <w:t xml:space="preserve"> como sendo todos os ativos e fundos em que ele aplica, direta ou indiretamente. Ou seja, a carteira expandida de um fundo inclui a carteira do próprio fundo e os ativos que estão nas carteiras de todos os fundos em que ele investe.</w:t>
      </w:r>
    </w:p>
    <w:p w14:paraId="006F5B67" w14:textId="0F1A1D61" w:rsidR="00817F37" w:rsidRDefault="00817F37">
      <w:pPr>
        <w:rPr>
          <w:lang w:val="pt-BR"/>
        </w:rPr>
      </w:pPr>
      <w:r>
        <w:rPr>
          <w:lang w:val="pt-BR"/>
        </w:rPr>
        <w:tab/>
        <w:t>Sejam:</w:t>
      </w:r>
    </w:p>
    <w:p w14:paraId="03ED78A2" w14:textId="435860B9" w:rsidR="00817F37" w:rsidRPr="00817F37" w:rsidRDefault="00B34C80" w:rsidP="00B34C80">
      <w:pPr>
        <w:ind w:left="6"/>
        <w:rPr>
          <w:lang w:val="pt-BR"/>
        </w:rPr>
      </w:pPr>
      <w:r>
        <w:rPr>
          <w:lang w:val="pt-BR"/>
        </w:rPr>
        <w:tab/>
      </w:r>
      <w:r w:rsidR="00817F37" w:rsidRPr="00B34C80">
        <w:rPr>
          <w:b/>
          <w:bCs/>
          <w:lang w:val="pt-BR"/>
        </w:rPr>
        <w:t>F</w:t>
      </w:r>
      <w:r w:rsidR="00817F37" w:rsidRPr="00B34C80">
        <w:rPr>
          <w:b/>
          <w:bCs/>
          <w:vertAlign w:val="subscript"/>
          <w:lang w:val="pt-BR"/>
        </w:rPr>
        <w:t>0</w:t>
      </w:r>
      <w:r w:rsidR="00817F37" w:rsidRPr="00817F37">
        <w:rPr>
          <w:lang w:val="pt-BR"/>
        </w:rPr>
        <w:t>: o fundo em análise</w:t>
      </w:r>
    </w:p>
    <w:p w14:paraId="483980B8" w14:textId="5B3BCA13" w:rsidR="00817F37" w:rsidRPr="00817F37" w:rsidRDefault="00B34C80" w:rsidP="00B34C80">
      <w:pPr>
        <w:ind w:left="6"/>
        <w:rPr>
          <w:lang w:val="pt-BR"/>
        </w:rPr>
      </w:pPr>
      <w:r>
        <w:rPr>
          <w:lang w:val="pt-BR"/>
        </w:rPr>
        <w:tab/>
      </w:r>
      <w:r w:rsidR="00817F37" w:rsidRPr="00B34C80">
        <w:rPr>
          <w:b/>
          <w:bCs/>
          <w:lang w:val="pt-BR"/>
        </w:rPr>
        <w:t>C</w:t>
      </w:r>
      <w:r w:rsidR="00817F37" w:rsidRPr="00B34C80">
        <w:rPr>
          <w:b/>
          <w:bCs/>
          <w:vertAlign w:val="subscript"/>
          <w:lang w:val="pt-BR"/>
        </w:rPr>
        <w:t>0</w:t>
      </w:r>
      <w:r w:rsidR="00817F37" w:rsidRPr="00817F37">
        <w:rPr>
          <w:lang w:val="pt-BR"/>
        </w:rPr>
        <w:t>: a carteira informada no documento CDA do fundo F</w:t>
      </w:r>
      <w:r w:rsidR="00817F37" w:rsidRPr="00817F37">
        <w:rPr>
          <w:vertAlign w:val="subscript"/>
          <w:lang w:val="pt-BR"/>
        </w:rPr>
        <w:t>0</w:t>
      </w:r>
      <w:r w:rsidR="00447ACD">
        <w:rPr>
          <w:lang w:val="pt-BR"/>
        </w:rPr>
        <w:t xml:space="preserve">, denominada </w:t>
      </w:r>
      <w:r w:rsidR="00447ACD" w:rsidRPr="00447ACD">
        <w:rPr>
          <w:b/>
          <w:bCs/>
          <w:lang w:val="pt-BR"/>
        </w:rPr>
        <w:t>carteira simples</w:t>
      </w:r>
      <w:r w:rsidR="00447ACD">
        <w:rPr>
          <w:lang w:val="pt-BR"/>
        </w:rPr>
        <w:t xml:space="preserve"> </w:t>
      </w:r>
      <w:r w:rsidR="00817F37" w:rsidRPr="00817F37">
        <w:rPr>
          <w:lang w:val="pt-BR"/>
        </w:rPr>
        <w:t>(conjunto com as aplicações em ativos e em cotas de outros fundos)</w:t>
      </w:r>
    </w:p>
    <w:p w14:paraId="77E5BB85" w14:textId="3B69017C" w:rsidR="00817F37" w:rsidRDefault="00B34C80" w:rsidP="00B34C80">
      <w:pPr>
        <w:ind w:left="6"/>
        <w:rPr>
          <w:lang w:val="pt-BR"/>
        </w:rPr>
      </w:pPr>
      <w:r>
        <w:rPr>
          <w:lang w:val="pt-BR"/>
        </w:rPr>
        <w:tab/>
      </w:r>
      <w:r w:rsidR="00817F37" w:rsidRPr="00B34C80">
        <w:rPr>
          <w:b/>
          <w:bCs/>
          <w:lang w:val="pt-BR"/>
        </w:rPr>
        <w:t>Catv</w:t>
      </w:r>
      <w:r w:rsidR="00817F37" w:rsidRPr="00B34C80">
        <w:rPr>
          <w:b/>
          <w:bCs/>
          <w:vertAlign w:val="subscript"/>
          <w:lang w:val="pt-BR"/>
        </w:rPr>
        <w:t>i</w:t>
      </w:r>
      <w:r w:rsidR="00817F37" w:rsidRPr="00817F37">
        <w:rPr>
          <w:lang w:val="pt-BR"/>
        </w:rPr>
        <w:t>: a carteira de ativos do fundo F</w:t>
      </w:r>
      <w:r w:rsidR="00817F37" w:rsidRPr="00817F37">
        <w:rPr>
          <w:vertAlign w:val="subscript"/>
          <w:lang w:val="pt-BR"/>
        </w:rPr>
        <w:t>i</w:t>
      </w:r>
      <w:r w:rsidR="00817F37" w:rsidRPr="00817F37">
        <w:rPr>
          <w:lang w:val="pt-BR"/>
        </w:rPr>
        <w:t xml:space="preserve"> (a carteira informada no documento CDA </w:t>
      </w:r>
      <w:r w:rsidR="00817F37" w:rsidRPr="00B34C80">
        <w:rPr>
          <w:lang w:val="pt-BR"/>
        </w:rPr>
        <w:t>excluindo-se do conjunto as aplicações em cotas de outros fundos</w:t>
      </w:r>
      <w:r w:rsidR="00817F37" w:rsidRPr="00817F37">
        <w:rPr>
          <w:lang w:val="pt-BR"/>
        </w:rPr>
        <w:t>)</w:t>
      </w:r>
      <w:r>
        <w:rPr>
          <w:lang w:val="pt-BR"/>
        </w:rPr>
        <w:tab/>
      </w:r>
    </w:p>
    <w:p w14:paraId="7A0494B9" w14:textId="1CCA7086" w:rsidR="00B34C80" w:rsidRPr="00B34C80" w:rsidRDefault="00B34C80" w:rsidP="00B34C80">
      <w:pPr>
        <w:rPr>
          <w:lang w:val="pt-BR"/>
        </w:rPr>
      </w:pPr>
      <w:r>
        <w:rPr>
          <w:lang w:val="pt-BR"/>
        </w:rPr>
        <w:tab/>
      </w:r>
      <w:r w:rsidRPr="00B34C80">
        <w:rPr>
          <w:lang w:val="pt-BR"/>
        </w:rPr>
        <w:t xml:space="preserve">Definimos, no escopo deste trabalho, a </w:t>
      </w:r>
      <w:r w:rsidRPr="00887C81">
        <w:rPr>
          <w:b/>
          <w:bCs/>
          <w:lang w:val="pt-BR"/>
        </w:rPr>
        <w:t>carteira expandida de nível 1</w:t>
      </w:r>
      <w:r w:rsidRPr="00B34C80">
        <w:rPr>
          <w:lang w:val="pt-BR"/>
        </w:rPr>
        <w:t xml:space="preserve"> (</w:t>
      </w:r>
      <w:r w:rsidRPr="00B34C80">
        <w:rPr>
          <w:b/>
          <w:bCs/>
          <w:lang w:val="pt-BR"/>
        </w:rPr>
        <w:t>Ce</w:t>
      </w:r>
      <w:r w:rsidRPr="00B34C80">
        <w:rPr>
          <w:b/>
          <w:bCs/>
          <w:vertAlign w:val="subscript"/>
          <w:lang w:val="pt-BR"/>
        </w:rPr>
        <w:t>0</w:t>
      </w:r>
      <w:r w:rsidRPr="00B34C80">
        <w:rPr>
          <w:b/>
          <w:bCs/>
          <w:vertAlign w:val="superscript"/>
          <w:lang w:val="pt-BR"/>
        </w:rPr>
        <w:t>1</w:t>
      </w:r>
      <w:r w:rsidRPr="00B34C80">
        <w:rPr>
          <w:lang w:val="pt-BR"/>
        </w:rPr>
        <w:t>) do fundo F</w:t>
      </w:r>
      <w:r w:rsidRPr="00B34C80">
        <w:rPr>
          <w:vertAlign w:val="subscript"/>
          <w:lang w:val="pt-BR"/>
        </w:rPr>
        <w:t>0</w:t>
      </w:r>
      <w:r w:rsidRPr="00B34C80">
        <w:rPr>
          <w:lang w:val="pt-BR"/>
        </w:rPr>
        <w:t>:</w:t>
      </w:r>
    </w:p>
    <w:p w14:paraId="3DCD1797" w14:textId="0B486796" w:rsidR="00817F37" w:rsidRDefault="00C64978" w:rsidP="00817F37">
      <w:pPr>
        <w:rPr>
          <w:lang w:val="pt-BR"/>
        </w:rPr>
      </w:pPr>
      <w:r>
        <w:rPr>
          <w:lang w:val="pt-BR"/>
        </w:rPr>
        <w:tab/>
      </w:r>
      <w:r w:rsidR="00B34C80" w:rsidRPr="00887C81">
        <w:rPr>
          <w:b/>
          <w:bCs/>
          <w:lang w:val="pt-BR"/>
        </w:rPr>
        <w:t>Ce</w:t>
      </w:r>
      <w:r w:rsidR="00B34C80" w:rsidRPr="00887C81">
        <w:rPr>
          <w:b/>
          <w:bCs/>
          <w:vertAlign w:val="subscript"/>
          <w:lang w:val="pt-BR"/>
        </w:rPr>
        <w:t>0</w:t>
      </w:r>
      <w:r w:rsidR="00B34C80" w:rsidRPr="00887C81">
        <w:rPr>
          <w:b/>
          <w:bCs/>
          <w:vertAlign w:val="superscript"/>
          <w:lang w:val="pt-BR"/>
        </w:rPr>
        <w:t>1</w:t>
      </w:r>
      <w:r w:rsidR="00B34C80" w:rsidRPr="00B34C80">
        <w:rPr>
          <w:lang w:val="pt-BR"/>
        </w:rPr>
        <w:t xml:space="preserve"> = C</w:t>
      </w:r>
      <w:r w:rsidR="00B34C80" w:rsidRPr="00C64978">
        <w:rPr>
          <w:vertAlign w:val="subscript"/>
          <w:lang w:val="pt-BR"/>
        </w:rPr>
        <w:t>0</w:t>
      </w:r>
      <w:r w:rsidR="00B34C80" w:rsidRPr="00B34C80">
        <w:rPr>
          <w:lang w:val="pt-BR"/>
        </w:rPr>
        <w:t xml:space="preserve"> + </w:t>
      </w:r>
      <m:oMath>
        <m:sSubSup>
          <m:sSubSupPr>
            <m:ctrlPr>
              <w:rPr>
                <w:rFonts w:ascii="Cambria Math" w:hAnsi="Cambria Math"/>
                <w:lang w:val="pt-BR"/>
              </w:rPr>
            </m:ctrlPr>
          </m:sSubSupPr>
          <m:e>
            <m:r>
              <w:rPr>
                <w:rFonts w:ascii="Cambria Math" w:hAnsi="Cambria Math"/>
                <w:lang w:val="pt-BR"/>
              </w:rPr>
              <m:t>⋃</m:t>
            </m:r>
          </m:e>
          <m:sub>
            <m:r>
              <w:rPr>
                <w:rFonts w:ascii="Cambria Math" w:hAnsi="Cambria Math"/>
                <w:lang w:val="pt-BR"/>
              </w:rPr>
              <m:t>i=1</m:t>
            </m:r>
          </m:sub>
          <m:sup>
            <m:r>
              <w:rPr>
                <w:rFonts w:ascii="Cambria Math" w:hAnsi="Cambria Math"/>
                <w:lang w:val="pt-BR"/>
              </w:rPr>
              <m:t>m</m:t>
            </m:r>
          </m:sup>
        </m:sSubSup>
      </m:oMath>
      <w:r w:rsidR="00B34C80" w:rsidRPr="00B34C80">
        <w:rPr>
          <w:lang w:val="pt-BR"/>
        </w:rPr>
        <w:t xml:space="preserve"> Catv</w:t>
      </w:r>
      <w:r w:rsidR="00B34C80" w:rsidRPr="00B34C80">
        <w:rPr>
          <w:vertAlign w:val="subscript"/>
          <w:lang w:val="pt-BR"/>
        </w:rPr>
        <w:t>i</w:t>
      </w:r>
      <w:r w:rsidR="00B34C80" w:rsidRPr="00B34C80">
        <w:rPr>
          <w:lang w:val="pt-BR"/>
        </w:rPr>
        <w:t>, para cada F</w:t>
      </w:r>
      <w:r w:rsidR="00B34C80" w:rsidRPr="00B34C80">
        <w:rPr>
          <w:vertAlign w:val="subscript"/>
          <w:lang w:val="pt-BR"/>
        </w:rPr>
        <w:t>i</w:t>
      </w:r>
      <w:r w:rsidR="00B34C80" w:rsidRPr="00B34C80">
        <w:rPr>
          <w:lang w:val="pt-BR"/>
        </w:rPr>
        <w:t xml:space="preserve"> que aparece em C</w:t>
      </w:r>
      <w:r w:rsidR="00B34C80" w:rsidRPr="00B34C80">
        <w:rPr>
          <w:vertAlign w:val="subscript"/>
          <w:lang w:val="pt-BR"/>
        </w:rPr>
        <w:t>0</w:t>
      </w:r>
      <w:r w:rsidR="00B34C80" w:rsidRPr="00B34C80">
        <w:rPr>
          <w:lang w:val="pt-BR"/>
        </w:rPr>
        <w:t>.</w:t>
      </w:r>
    </w:p>
    <w:p w14:paraId="6A0FD789" w14:textId="544755D8" w:rsidR="00C64978" w:rsidRPr="00C64978" w:rsidRDefault="00C64978" w:rsidP="00C64978">
      <w:pPr>
        <w:rPr>
          <w:lang w:val="pt-BR"/>
        </w:rPr>
      </w:pPr>
      <w:r>
        <w:rPr>
          <w:lang w:val="pt-BR"/>
        </w:rPr>
        <w:tab/>
      </w:r>
      <w:r w:rsidRPr="00C64978">
        <w:rPr>
          <w:lang w:val="pt-BR"/>
        </w:rPr>
        <w:t xml:space="preserve">A </w:t>
      </w:r>
      <w:r w:rsidRPr="00887C81">
        <w:rPr>
          <w:b/>
          <w:bCs/>
          <w:lang w:val="pt-BR"/>
        </w:rPr>
        <w:t>carteira expandida de nível 2</w:t>
      </w:r>
      <w:r w:rsidRPr="00C64978">
        <w:rPr>
          <w:lang w:val="pt-BR"/>
        </w:rPr>
        <w:t xml:space="preserve"> (</w:t>
      </w:r>
      <w:r w:rsidRPr="00887C81">
        <w:rPr>
          <w:b/>
          <w:bCs/>
          <w:lang w:val="pt-BR"/>
        </w:rPr>
        <w:t>Ce</w:t>
      </w:r>
      <w:r w:rsidRPr="00887C81">
        <w:rPr>
          <w:b/>
          <w:bCs/>
          <w:vertAlign w:val="subscript"/>
          <w:lang w:val="pt-BR"/>
        </w:rPr>
        <w:t>0</w:t>
      </w:r>
      <w:r w:rsidRPr="00887C81">
        <w:rPr>
          <w:b/>
          <w:bCs/>
          <w:vertAlign w:val="superscript"/>
          <w:lang w:val="pt-BR"/>
        </w:rPr>
        <w:t>2</w:t>
      </w:r>
      <w:r w:rsidRPr="00C64978">
        <w:rPr>
          <w:lang w:val="pt-BR"/>
        </w:rPr>
        <w:t>) do mesmo fundo F</w:t>
      </w:r>
      <w:r w:rsidRPr="00887C81">
        <w:rPr>
          <w:vertAlign w:val="subscript"/>
          <w:lang w:val="pt-BR"/>
        </w:rPr>
        <w:t>0</w:t>
      </w:r>
      <w:r w:rsidRPr="00C64978">
        <w:rPr>
          <w:lang w:val="pt-BR"/>
        </w:rPr>
        <w:t xml:space="preserve"> será definida como:</w:t>
      </w:r>
    </w:p>
    <w:p w14:paraId="0D299763" w14:textId="332D4B75" w:rsidR="00887C81" w:rsidRDefault="00887C81" w:rsidP="00887C81">
      <w:pPr>
        <w:rPr>
          <w:lang w:val="pt-BR"/>
        </w:rPr>
      </w:pPr>
      <w:r>
        <w:rPr>
          <w:b/>
          <w:bCs/>
          <w:lang w:val="pt-BR"/>
        </w:rPr>
        <w:tab/>
      </w:r>
      <w:r w:rsidRPr="00887C81">
        <w:rPr>
          <w:b/>
          <w:bCs/>
          <w:lang w:val="pt-BR"/>
        </w:rPr>
        <w:t>Ce</w:t>
      </w:r>
      <w:r w:rsidRPr="00887C81">
        <w:rPr>
          <w:b/>
          <w:bCs/>
          <w:vertAlign w:val="subscript"/>
          <w:lang w:val="pt-BR"/>
        </w:rPr>
        <w:t>0</w:t>
      </w:r>
      <w:r>
        <w:rPr>
          <w:b/>
          <w:bCs/>
          <w:vertAlign w:val="superscript"/>
          <w:lang w:val="pt-BR"/>
        </w:rPr>
        <w:t>2</w:t>
      </w:r>
      <w:r w:rsidRPr="00B34C80">
        <w:rPr>
          <w:lang w:val="pt-BR"/>
        </w:rPr>
        <w:t xml:space="preserve"> = C</w:t>
      </w:r>
      <w:r w:rsidRPr="00C64978">
        <w:rPr>
          <w:vertAlign w:val="subscript"/>
          <w:lang w:val="pt-BR"/>
        </w:rPr>
        <w:t>0</w:t>
      </w:r>
      <w:r w:rsidRPr="00B34C80">
        <w:rPr>
          <w:lang w:val="pt-BR"/>
        </w:rPr>
        <w:t xml:space="preserve"> + </w:t>
      </w:r>
      <m:oMath>
        <m:sSubSup>
          <m:sSubSupPr>
            <m:ctrlPr>
              <w:rPr>
                <w:rFonts w:ascii="Cambria Math" w:hAnsi="Cambria Math"/>
                <w:lang w:val="pt-BR"/>
              </w:rPr>
            </m:ctrlPr>
          </m:sSubSupPr>
          <m:e>
            <m:r>
              <w:rPr>
                <w:rFonts w:ascii="Cambria Math" w:hAnsi="Cambria Math"/>
                <w:lang w:val="pt-BR"/>
              </w:rPr>
              <m:t>⋃</m:t>
            </m:r>
          </m:e>
          <m:sub>
            <m:r>
              <w:rPr>
                <w:rFonts w:ascii="Cambria Math" w:hAnsi="Cambria Math"/>
                <w:lang w:val="pt-BR"/>
              </w:rPr>
              <m:t>i=1</m:t>
            </m:r>
          </m:sub>
          <m:sup>
            <m:r>
              <w:rPr>
                <w:rFonts w:ascii="Cambria Math" w:hAnsi="Cambria Math"/>
                <w:lang w:val="pt-BR"/>
              </w:rPr>
              <m:t>m</m:t>
            </m:r>
          </m:sup>
        </m:sSubSup>
      </m:oMath>
      <w:r w:rsidRPr="00B34C80">
        <w:rPr>
          <w:lang w:val="pt-BR"/>
        </w:rPr>
        <w:t xml:space="preserve"> C</w:t>
      </w:r>
      <w:r>
        <w:rPr>
          <w:lang w:val="pt-BR"/>
        </w:rPr>
        <w:t>e</w:t>
      </w:r>
      <w:r w:rsidRPr="00B34C80">
        <w:rPr>
          <w:vertAlign w:val="subscript"/>
          <w:lang w:val="pt-BR"/>
        </w:rPr>
        <w:t>i</w:t>
      </w:r>
      <w:r w:rsidRPr="00B34C80">
        <w:rPr>
          <w:lang w:val="pt-BR"/>
        </w:rPr>
        <w:t>, para cada F</w:t>
      </w:r>
      <w:r w:rsidRPr="00B34C80">
        <w:rPr>
          <w:vertAlign w:val="subscript"/>
          <w:lang w:val="pt-BR"/>
        </w:rPr>
        <w:t>i</w:t>
      </w:r>
      <w:r w:rsidRPr="00B34C80">
        <w:rPr>
          <w:lang w:val="pt-BR"/>
        </w:rPr>
        <w:t xml:space="preserve"> que aparece em C</w:t>
      </w:r>
      <w:r w:rsidRPr="00B34C80">
        <w:rPr>
          <w:vertAlign w:val="subscript"/>
          <w:lang w:val="pt-BR"/>
        </w:rPr>
        <w:t>0</w:t>
      </w:r>
      <w:r w:rsidRPr="00B34C80">
        <w:rPr>
          <w:lang w:val="pt-BR"/>
        </w:rPr>
        <w:t>.</w:t>
      </w:r>
    </w:p>
    <w:p w14:paraId="4FFFAE5D" w14:textId="1EC4867D" w:rsidR="00C64978" w:rsidRPr="00C64978" w:rsidRDefault="00C64978" w:rsidP="00C64978">
      <w:pPr>
        <w:rPr>
          <w:lang w:val="pt-BR"/>
        </w:rPr>
      </w:pPr>
      <w:r>
        <w:rPr>
          <w:lang w:val="pt-BR"/>
        </w:rPr>
        <w:tab/>
      </w:r>
      <w:r w:rsidRPr="00C64978">
        <w:rPr>
          <w:lang w:val="pt-BR"/>
        </w:rPr>
        <w:t xml:space="preserve">Por fim, definimos </w:t>
      </w:r>
      <w:r w:rsidRPr="00887C81">
        <w:rPr>
          <w:b/>
          <w:bCs/>
          <w:lang w:val="pt-BR"/>
        </w:rPr>
        <w:t>a carteira expandida de nível n</w:t>
      </w:r>
      <w:r w:rsidRPr="00C64978">
        <w:rPr>
          <w:lang w:val="pt-BR"/>
        </w:rPr>
        <w:t xml:space="preserve"> (</w:t>
      </w:r>
      <w:r w:rsidRPr="00887C81">
        <w:rPr>
          <w:b/>
          <w:bCs/>
          <w:lang w:val="pt-BR"/>
        </w:rPr>
        <w:t>Ce</w:t>
      </w:r>
      <w:r w:rsidRPr="00887C81">
        <w:rPr>
          <w:b/>
          <w:bCs/>
          <w:vertAlign w:val="subscript"/>
          <w:lang w:val="pt-BR"/>
        </w:rPr>
        <w:t>0</w:t>
      </w:r>
      <w:r w:rsidRPr="00887C81">
        <w:rPr>
          <w:b/>
          <w:bCs/>
          <w:vertAlign w:val="superscript"/>
          <w:lang w:val="pt-BR"/>
        </w:rPr>
        <w:t>n</w:t>
      </w:r>
      <w:r w:rsidRPr="00C64978">
        <w:rPr>
          <w:lang w:val="pt-BR"/>
        </w:rPr>
        <w:t>) do mesmo fundo F</w:t>
      </w:r>
      <w:r w:rsidRPr="00887C81">
        <w:rPr>
          <w:vertAlign w:val="subscript"/>
          <w:lang w:val="pt-BR"/>
        </w:rPr>
        <w:t>0</w:t>
      </w:r>
      <w:r w:rsidRPr="00C64978">
        <w:rPr>
          <w:lang w:val="pt-BR"/>
        </w:rPr>
        <w:t>:</w:t>
      </w:r>
    </w:p>
    <w:p w14:paraId="0AC6E858" w14:textId="77010787" w:rsidR="00887C81" w:rsidRDefault="00887C81" w:rsidP="00887C81">
      <w:pPr>
        <w:rPr>
          <w:lang w:val="pt-BR"/>
        </w:rPr>
      </w:pPr>
      <w:r>
        <w:rPr>
          <w:b/>
          <w:bCs/>
          <w:lang w:val="pt-BR"/>
        </w:rPr>
        <w:tab/>
      </w:r>
      <w:r w:rsidRPr="00887C81">
        <w:rPr>
          <w:b/>
          <w:bCs/>
          <w:lang w:val="pt-BR"/>
        </w:rPr>
        <w:t>Ce</w:t>
      </w:r>
      <w:r w:rsidRPr="00887C81">
        <w:rPr>
          <w:b/>
          <w:bCs/>
          <w:vertAlign w:val="subscript"/>
          <w:lang w:val="pt-BR"/>
        </w:rPr>
        <w:t>0</w:t>
      </w:r>
      <w:r>
        <w:rPr>
          <w:b/>
          <w:bCs/>
          <w:vertAlign w:val="superscript"/>
          <w:lang w:val="pt-BR"/>
        </w:rPr>
        <w:t>n</w:t>
      </w:r>
      <w:r w:rsidRPr="00B34C80">
        <w:rPr>
          <w:lang w:val="pt-BR"/>
        </w:rPr>
        <w:t xml:space="preserve"> = C</w:t>
      </w:r>
      <w:r w:rsidRPr="00C64978">
        <w:rPr>
          <w:vertAlign w:val="subscript"/>
          <w:lang w:val="pt-BR"/>
        </w:rPr>
        <w:t>0</w:t>
      </w:r>
      <w:r w:rsidRPr="00B34C80">
        <w:rPr>
          <w:lang w:val="pt-BR"/>
        </w:rPr>
        <w:t xml:space="preserve"> + </w:t>
      </w:r>
      <m:oMath>
        <m:sSubSup>
          <m:sSubSupPr>
            <m:ctrlPr>
              <w:rPr>
                <w:rFonts w:ascii="Cambria Math" w:hAnsi="Cambria Math"/>
                <w:lang w:val="pt-BR"/>
              </w:rPr>
            </m:ctrlPr>
          </m:sSubSupPr>
          <m:e>
            <m:r>
              <w:rPr>
                <w:rFonts w:ascii="Cambria Math" w:hAnsi="Cambria Math"/>
                <w:lang w:val="pt-BR"/>
              </w:rPr>
              <m:t>⋃</m:t>
            </m:r>
          </m:e>
          <m:sub>
            <m:r>
              <w:rPr>
                <w:rFonts w:ascii="Cambria Math" w:hAnsi="Cambria Math"/>
                <w:lang w:val="pt-BR"/>
              </w:rPr>
              <m:t>i=1</m:t>
            </m:r>
          </m:sub>
          <m:sup>
            <m:r>
              <w:rPr>
                <w:rFonts w:ascii="Cambria Math" w:hAnsi="Cambria Math"/>
                <w:lang w:val="pt-BR"/>
              </w:rPr>
              <m:t>m</m:t>
            </m:r>
          </m:sup>
        </m:sSubSup>
      </m:oMath>
      <w:r w:rsidRPr="00B34C80">
        <w:rPr>
          <w:lang w:val="pt-BR"/>
        </w:rPr>
        <w:t xml:space="preserve"> C</w:t>
      </w:r>
      <w:r>
        <w:rPr>
          <w:lang w:val="pt-BR"/>
        </w:rPr>
        <w:t>e</w:t>
      </w:r>
      <w:r w:rsidRPr="00B34C80">
        <w:rPr>
          <w:vertAlign w:val="subscript"/>
          <w:lang w:val="pt-BR"/>
        </w:rPr>
        <w:t>i</w:t>
      </w:r>
      <w:r w:rsidRPr="00887C81">
        <w:rPr>
          <w:vertAlign w:val="superscript"/>
          <w:lang w:val="pt-BR"/>
        </w:rPr>
        <w:t>n-1</w:t>
      </w:r>
      <w:r w:rsidRPr="00B34C80">
        <w:rPr>
          <w:lang w:val="pt-BR"/>
        </w:rPr>
        <w:t>, para cada F</w:t>
      </w:r>
      <w:r w:rsidRPr="00B34C80">
        <w:rPr>
          <w:vertAlign w:val="subscript"/>
          <w:lang w:val="pt-BR"/>
        </w:rPr>
        <w:t>i</w:t>
      </w:r>
      <w:r w:rsidRPr="00B34C80">
        <w:rPr>
          <w:lang w:val="pt-BR"/>
        </w:rPr>
        <w:t xml:space="preserve"> que aparece em C</w:t>
      </w:r>
      <w:r w:rsidRPr="00B34C80">
        <w:rPr>
          <w:vertAlign w:val="subscript"/>
          <w:lang w:val="pt-BR"/>
        </w:rPr>
        <w:t>0</w:t>
      </w:r>
      <w:r w:rsidR="00055259">
        <w:rPr>
          <w:lang w:val="pt-BR"/>
        </w:rPr>
        <w:t xml:space="preserve">, onde n é </w:t>
      </w:r>
      <w:r w:rsidR="00FD7B7C">
        <w:rPr>
          <w:lang w:val="pt-BR"/>
        </w:rPr>
        <w:t>a profundidade máxima da árvore de investimentos em cotas de fundos cuja raiz</w:t>
      </w:r>
      <w:r w:rsidR="00B749FB">
        <w:rPr>
          <w:lang w:val="pt-BR"/>
        </w:rPr>
        <w:t xml:space="preserve"> </w:t>
      </w:r>
      <w:r w:rsidR="00FD7B7C">
        <w:rPr>
          <w:lang w:val="pt-BR"/>
        </w:rPr>
        <w:t xml:space="preserve">é </w:t>
      </w:r>
      <w:r w:rsidR="00B749FB" w:rsidRPr="00B34C80">
        <w:rPr>
          <w:lang w:val="pt-BR"/>
        </w:rPr>
        <w:t>F</w:t>
      </w:r>
      <w:r w:rsidR="00B749FB" w:rsidRPr="00B34C80">
        <w:rPr>
          <w:vertAlign w:val="subscript"/>
          <w:lang w:val="pt-BR"/>
        </w:rPr>
        <w:t>i</w:t>
      </w:r>
      <w:r w:rsidR="00FD7B7C">
        <w:rPr>
          <w:lang w:val="pt-BR"/>
        </w:rPr>
        <w:t>.</w:t>
      </w:r>
    </w:p>
    <w:p w14:paraId="40E63CD3" w14:textId="73C94426" w:rsidR="00C64978" w:rsidRDefault="00C64978" w:rsidP="00C64978">
      <w:pPr>
        <w:rPr>
          <w:lang w:val="pt-BR"/>
        </w:rPr>
      </w:pPr>
      <w:r>
        <w:rPr>
          <w:lang w:val="pt-BR"/>
        </w:rPr>
        <w:tab/>
      </w:r>
      <w:r w:rsidRPr="00C64978">
        <w:rPr>
          <w:lang w:val="pt-BR"/>
        </w:rPr>
        <w:t>Estamos interessados em construir análises e consultas que explorem a recursividade expressa no conceito de carteira expandida.</w:t>
      </w:r>
    </w:p>
    <w:p w14:paraId="5CD55DF9" w14:textId="77777777" w:rsidR="009132AB" w:rsidRDefault="009132AB">
      <w:pPr>
        <w:tabs>
          <w:tab w:val="clear" w:pos="720"/>
        </w:tabs>
        <w:spacing w:before="0"/>
        <w:jc w:val="left"/>
        <w:rPr>
          <w:lang w:val="pt-BR"/>
        </w:rPr>
      </w:pPr>
    </w:p>
    <w:p w14:paraId="6024B62D" w14:textId="01275430" w:rsidR="009132AB" w:rsidRDefault="009132AB">
      <w:pPr>
        <w:tabs>
          <w:tab w:val="clear" w:pos="720"/>
        </w:tabs>
        <w:spacing w:before="0"/>
        <w:jc w:val="left"/>
        <w:rPr>
          <w:lang w:val="pt-BR"/>
        </w:rPr>
      </w:pPr>
      <w:r>
        <w:rPr>
          <w:lang w:val="pt-BR"/>
        </w:rPr>
        <w:br w:type="page"/>
      </w:r>
    </w:p>
    <w:p w14:paraId="0B200BDD" w14:textId="3E404857" w:rsidR="002C147F" w:rsidRPr="00A71E1F" w:rsidRDefault="002C147F" w:rsidP="002C147F">
      <w:pPr>
        <w:pStyle w:val="Ttulo1"/>
        <w:rPr>
          <w:lang w:val="pt-BR"/>
        </w:rPr>
      </w:pPr>
      <w:r>
        <w:rPr>
          <w:lang w:val="pt-BR"/>
        </w:rPr>
        <w:lastRenderedPageBreak/>
        <w:t>4</w:t>
      </w:r>
      <w:r w:rsidRPr="00A71E1F">
        <w:rPr>
          <w:lang w:val="pt-BR"/>
        </w:rPr>
        <w:t xml:space="preserve">. </w:t>
      </w:r>
      <w:r w:rsidRPr="002C147F">
        <w:rPr>
          <w:lang w:val="pt-BR"/>
        </w:rPr>
        <w:t>Objetivo e escopo da Prova de Conceito</w:t>
      </w:r>
    </w:p>
    <w:p w14:paraId="5CD33274" w14:textId="0023C9D4" w:rsidR="0074196F" w:rsidRDefault="0074196F" w:rsidP="0074196F">
      <w:pPr>
        <w:rPr>
          <w:lang w:val="pt-BR"/>
        </w:rPr>
      </w:pPr>
      <w:r w:rsidRPr="0074196F">
        <w:rPr>
          <w:lang w:val="pt-BR"/>
        </w:rPr>
        <w:t>O objetivo da prova de conceito é analisar a composição de carteira de fundos de investimento experimentando uma abordagem baseada em banco de dados de grafos.</w:t>
      </w:r>
    </w:p>
    <w:p w14:paraId="40B73B3B" w14:textId="77777777" w:rsidR="00D95F46" w:rsidRDefault="0074196F" w:rsidP="00D95F46">
      <w:pPr>
        <w:rPr>
          <w:lang w:val="pt-BR"/>
        </w:rPr>
      </w:pPr>
      <w:r>
        <w:rPr>
          <w:lang w:val="pt-BR"/>
        </w:rPr>
        <w:tab/>
      </w:r>
      <w:r w:rsidRPr="0074196F">
        <w:rPr>
          <w:lang w:val="pt-BR"/>
        </w:rPr>
        <w:t xml:space="preserve">Um </w:t>
      </w:r>
      <w:r w:rsidRPr="0074196F">
        <w:rPr>
          <w:b/>
          <w:bCs/>
          <w:lang w:val="pt-BR"/>
        </w:rPr>
        <w:t>banco de dados de grafos</w:t>
      </w:r>
      <w:r w:rsidRPr="0074196F">
        <w:rPr>
          <w:lang w:val="pt-BR"/>
        </w:rPr>
        <w:t xml:space="preserve"> é um tipo de banco NoSQL baseado na teoria dos grafos, ramo da matemática discreta. As principais definições dessa teoria estabelecem a nomenclatura utilizada nos bancos de grafos:</w:t>
      </w:r>
    </w:p>
    <w:p w14:paraId="0EBF03F7" w14:textId="77777777" w:rsidR="00D95F46" w:rsidRPr="00D95F46" w:rsidRDefault="0074196F" w:rsidP="00D95F46">
      <w:pPr>
        <w:pStyle w:val="PargrafodaLista"/>
        <w:numPr>
          <w:ilvl w:val="0"/>
          <w:numId w:val="26"/>
        </w:numPr>
        <w:rPr>
          <w:lang w:val="pt-BR"/>
        </w:rPr>
      </w:pPr>
      <w:r w:rsidRPr="00D95F46">
        <w:rPr>
          <w:lang w:val="pt-BR"/>
        </w:rPr>
        <w:t>Grafo: conjunto de vértices e arestas;</w:t>
      </w:r>
    </w:p>
    <w:p w14:paraId="4A6C29B2" w14:textId="77777777" w:rsidR="00D95F46" w:rsidRPr="00D95F46" w:rsidRDefault="0074196F" w:rsidP="00D95F46">
      <w:pPr>
        <w:pStyle w:val="PargrafodaLista"/>
        <w:numPr>
          <w:ilvl w:val="0"/>
          <w:numId w:val="26"/>
        </w:numPr>
        <w:rPr>
          <w:lang w:val="pt-BR"/>
        </w:rPr>
      </w:pPr>
      <w:r w:rsidRPr="00D95F46">
        <w:rPr>
          <w:lang w:val="pt-BR"/>
        </w:rPr>
        <w:t>Vértices: são os nós ou entidades do grafo;</w:t>
      </w:r>
    </w:p>
    <w:p w14:paraId="6946B9BC" w14:textId="419D4BA7" w:rsidR="0074196F" w:rsidRPr="00D95F46" w:rsidRDefault="0074196F" w:rsidP="00D95F46">
      <w:pPr>
        <w:pStyle w:val="PargrafodaLista"/>
        <w:numPr>
          <w:ilvl w:val="0"/>
          <w:numId w:val="26"/>
        </w:numPr>
        <w:rPr>
          <w:lang w:val="pt-BR"/>
        </w:rPr>
      </w:pPr>
      <w:r w:rsidRPr="00D95F46">
        <w:rPr>
          <w:lang w:val="pt-BR"/>
        </w:rPr>
        <w:t>Arestas: representam os relacionamentos entre as entidades (vértices) do grafo</w:t>
      </w:r>
    </w:p>
    <w:p w14:paraId="1554027B" w14:textId="40207811" w:rsidR="0074196F" w:rsidRDefault="0074196F" w:rsidP="0074196F">
      <w:pPr>
        <w:rPr>
          <w:lang w:val="pt-BR"/>
        </w:rPr>
      </w:pPr>
      <w:r>
        <w:rPr>
          <w:lang w:val="pt-BR"/>
        </w:rPr>
        <w:tab/>
      </w:r>
      <w:r w:rsidRPr="0074196F">
        <w:rPr>
          <w:lang w:val="pt-BR"/>
        </w:rPr>
        <w:t>Embora os grafos sejam uma abstração natural para um amplo leque de problemas de modelagem, a tecnologia de armazenamento e consulta de informação baseada em grafos tem um nicho de aplicação bem definido. Bancos de grafos são a escolha apropriada quando precisamos modelar dados altamente relacionados e os relacionamentos entre as entidades são tão (ou mais) importantes quanto as entidades em si.</w:t>
      </w:r>
    </w:p>
    <w:p w14:paraId="38AB09EE" w14:textId="125440A2" w:rsidR="0074196F" w:rsidRDefault="0074196F" w:rsidP="0074196F">
      <w:pPr>
        <w:rPr>
          <w:lang w:val="pt-BR"/>
        </w:rPr>
      </w:pPr>
      <w:r>
        <w:rPr>
          <w:lang w:val="pt-BR"/>
        </w:rPr>
        <w:tab/>
      </w:r>
      <w:r w:rsidR="00326DC6" w:rsidRPr="00326DC6">
        <w:rPr>
          <w:lang w:val="pt-BR"/>
        </w:rPr>
        <w:t xml:space="preserve">[Bechberger e Perryman 2020] </w:t>
      </w:r>
      <w:r w:rsidRPr="0074196F">
        <w:rPr>
          <w:lang w:val="pt-BR"/>
        </w:rPr>
        <w:t xml:space="preserve">listam </w:t>
      </w:r>
      <w:r>
        <w:rPr>
          <w:lang w:val="pt-BR"/>
        </w:rPr>
        <w:t>as c</w:t>
      </w:r>
      <w:r w:rsidRPr="0074196F">
        <w:rPr>
          <w:lang w:val="pt-BR"/>
        </w:rPr>
        <w:t>onsultas recursivas</w:t>
      </w:r>
      <w:r>
        <w:rPr>
          <w:lang w:val="pt-BR"/>
        </w:rPr>
        <w:t xml:space="preserve"> entre os </w:t>
      </w:r>
      <w:r w:rsidRPr="0074196F">
        <w:rPr>
          <w:lang w:val="pt-BR"/>
        </w:rPr>
        <w:t>tipos de problemas para os quais os bancos de grafos permitem construir soluções mais simples e eficientes, quando comparados com os bancos de dados relacionais</w:t>
      </w:r>
      <w:r>
        <w:rPr>
          <w:lang w:val="pt-BR"/>
        </w:rPr>
        <w:t>.</w:t>
      </w:r>
    </w:p>
    <w:p w14:paraId="09198662" w14:textId="65D1B102" w:rsidR="0074196F" w:rsidRDefault="0074196F" w:rsidP="0074196F">
      <w:pPr>
        <w:rPr>
          <w:lang w:val="pt-BR"/>
        </w:rPr>
      </w:pPr>
      <w:r>
        <w:rPr>
          <w:lang w:val="pt-BR"/>
        </w:rPr>
        <w:tab/>
      </w:r>
      <w:r w:rsidRPr="0074196F">
        <w:rPr>
          <w:lang w:val="pt-BR"/>
        </w:rPr>
        <w:t xml:space="preserve">Consultas recursivas são aquelas executadas múltiplas vezes em um loop, repetidamente chamando a si mesmas até que seja atingida uma condição de parada </w:t>
      </w:r>
      <w:r w:rsidR="00B925FD" w:rsidRPr="00326DC6">
        <w:rPr>
          <w:lang w:val="pt-BR"/>
        </w:rPr>
        <w:t>[Bechberger e Perryman 2020]</w:t>
      </w:r>
      <w:r w:rsidRPr="0074196F">
        <w:rPr>
          <w:lang w:val="pt-BR"/>
        </w:rPr>
        <w:t>. Consultas recursivas em um banco de dados relacional utilizando a linguagem SQL sofrem de dois problemas: ineficiência e complexidade. Por outro lado, os bancos de grafos são otimizados para responder a esse tipo de consulta de maneira mais rápida e com uma sintaxe muito mais simples.</w:t>
      </w:r>
    </w:p>
    <w:p w14:paraId="667289E5" w14:textId="77777777" w:rsidR="00D95F46" w:rsidRDefault="0074196F" w:rsidP="00D95F46">
      <w:pPr>
        <w:rPr>
          <w:lang w:val="pt-BR"/>
        </w:rPr>
      </w:pPr>
      <w:r>
        <w:rPr>
          <w:lang w:val="pt-BR"/>
        </w:rPr>
        <w:tab/>
      </w:r>
      <w:r w:rsidRPr="0074196F">
        <w:rPr>
          <w:lang w:val="pt-BR"/>
        </w:rPr>
        <w:t>O problema proposto para esse trabalho possui ao menos duas características que sugerem uma abordagem baseada em grafos:</w:t>
      </w:r>
    </w:p>
    <w:p w14:paraId="7C78BB2A" w14:textId="77777777" w:rsidR="00D95F46" w:rsidRPr="00D95F46" w:rsidRDefault="0074196F" w:rsidP="00D95F46">
      <w:pPr>
        <w:pStyle w:val="PargrafodaLista"/>
        <w:numPr>
          <w:ilvl w:val="0"/>
          <w:numId w:val="27"/>
        </w:numPr>
        <w:rPr>
          <w:lang w:val="pt-BR"/>
        </w:rPr>
      </w:pPr>
      <w:r w:rsidRPr="00D95F46">
        <w:rPr>
          <w:lang w:val="pt-BR"/>
        </w:rPr>
        <w:t>A recursividade da carteira "expandida" de aplicações de um fundo;</w:t>
      </w:r>
    </w:p>
    <w:p w14:paraId="78BDC758" w14:textId="3EB12BB3" w:rsidR="0074196F" w:rsidRPr="00D95F46" w:rsidRDefault="0074196F" w:rsidP="00D95F46">
      <w:pPr>
        <w:pStyle w:val="PargrafodaLista"/>
        <w:numPr>
          <w:ilvl w:val="0"/>
          <w:numId w:val="27"/>
        </w:numPr>
        <w:rPr>
          <w:lang w:val="pt-BR"/>
        </w:rPr>
      </w:pPr>
      <w:r w:rsidRPr="00D95F46">
        <w:rPr>
          <w:lang w:val="pt-BR"/>
        </w:rPr>
        <w:t>A hierarquia existente entre os fundos (fundos investidores e fundos investidos), implícita na recursividade da carteira "expandida"</w:t>
      </w:r>
    </w:p>
    <w:p w14:paraId="79520783" w14:textId="77777777" w:rsidR="00D95F46" w:rsidRDefault="0074196F" w:rsidP="00D95F46">
      <w:pPr>
        <w:rPr>
          <w:lang w:val="pt-BR"/>
        </w:rPr>
      </w:pPr>
      <w:r>
        <w:rPr>
          <w:lang w:val="pt-BR"/>
        </w:rPr>
        <w:tab/>
      </w:r>
      <w:r w:rsidRPr="0074196F">
        <w:rPr>
          <w:lang w:val="pt-BR"/>
        </w:rPr>
        <w:t>Dessa forma, adotaremos um banco de dados de grafos para modelar e armazenar as informações do domínio do problema. Além de consultar as carteiras simples e expandidas dos fundos, estamos interessados em descobrir:</w:t>
      </w:r>
    </w:p>
    <w:p w14:paraId="26B4E661" w14:textId="77777777" w:rsidR="00D95F46" w:rsidRPr="00D95F46" w:rsidRDefault="0074196F" w:rsidP="00D95F46">
      <w:pPr>
        <w:pStyle w:val="PargrafodaLista"/>
        <w:numPr>
          <w:ilvl w:val="0"/>
          <w:numId w:val="28"/>
        </w:numPr>
        <w:rPr>
          <w:lang w:val="pt-BR"/>
        </w:rPr>
      </w:pPr>
      <w:r w:rsidRPr="00D95F46">
        <w:rPr>
          <w:lang w:val="pt-BR"/>
        </w:rPr>
        <w:t>Fundos investidores e fundos investidos (direta ou indiretamente);</w:t>
      </w:r>
    </w:p>
    <w:p w14:paraId="614FF7D4" w14:textId="77777777" w:rsidR="00D95F46" w:rsidRPr="00D95F46" w:rsidRDefault="0074196F" w:rsidP="00D95F46">
      <w:pPr>
        <w:pStyle w:val="PargrafodaLista"/>
        <w:numPr>
          <w:ilvl w:val="0"/>
          <w:numId w:val="28"/>
        </w:numPr>
        <w:rPr>
          <w:lang w:val="pt-BR"/>
        </w:rPr>
      </w:pPr>
      <w:r w:rsidRPr="00D95F46">
        <w:rPr>
          <w:lang w:val="pt-BR"/>
        </w:rPr>
        <w:t>Se há ciclos no grafo, ou seja, se há referências circulares na hierarquia de investimento entre fundos (Exemplo: o fundo A investe no fundo B; o fundo B investe no fundo C; o fundo C investe no fundo A);</w:t>
      </w:r>
    </w:p>
    <w:p w14:paraId="2F2900A8" w14:textId="77777777" w:rsidR="00D95F46" w:rsidRPr="00D95F46" w:rsidRDefault="0074196F" w:rsidP="00D95F46">
      <w:pPr>
        <w:pStyle w:val="PargrafodaLista"/>
        <w:numPr>
          <w:ilvl w:val="0"/>
          <w:numId w:val="28"/>
        </w:numPr>
        <w:rPr>
          <w:lang w:val="pt-BR"/>
        </w:rPr>
      </w:pPr>
      <w:r w:rsidRPr="00D95F46">
        <w:rPr>
          <w:lang w:val="pt-BR"/>
        </w:rPr>
        <w:t>Quais fundos possuem maior diversidade de ativos em suas carteiras (simples ou expandidas);</w:t>
      </w:r>
    </w:p>
    <w:p w14:paraId="645005AD" w14:textId="77777777" w:rsidR="00D95F46" w:rsidRPr="00D95F46" w:rsidRDefault="0074196F" w:rsidP="00D95F46">
      <w:pPr>
        <w:pStyle w:val="PargrafodaLista"/>
        <w:numPr>
          <w:ilvl w:val="0"/>
          <w:numId w:val="28"/>
        </w:numPr>
        <w:rPr>
          <w:lang w:val="pt-BR"/>
        </w:rPr>
      </w:pPr>
      <w:r w:rsidRPr="00D95F46">
        <w:rPr>
          <w:lang w:val="pt-BR"/>
        </w:rPr>
        <w:t>Quais ativos possuem maior diversidade de fundos investidores (diretos ou indiretos);</w:t>
      </w:r>
    </w:p>
    <w:p w14:paraId="21D57118" w14:textId="02A618EA" w:rsidR="0074196F" w:rsidRPr="00D95F46" w:rsidRDefault="0074196F" w:rsidP="00D95F46">
      <w:pPr>
        <w:pStyle w:val="PargrafodaLista"/>
        <w:numPr>
          <w:ilvl w:val="0"/>
          <w:numId w:val="28"/>
        </w:numPr>
        <w:rPr>
          <w:lang w:val="pt-BR"/>
        </w:rPr>
      </w:pPr>
      <w:r w:rsidRPr="00D95F46">
        <w:rPr>
          <w:lang w:val="pt-BR"/>
        </w:rPr>
        <w:t xml:space="preserve">Quais emissores </w:t>
      </w:r>
      <w:r w:rsidR="00914309">
        <w:rPr>
          <w:lang w:val="pt-BR"/>
        </w:rPr>
        <w:t xml:space="preserve">de ativos </w:t>
      </w:r>
      <w:r w:rsidRPr="00D95F46">
        <w:rPr>
          <w:lang w:val="pt-BR"/>
        </w:rPr>
        <w:t xml:space="preserve">possuem maior diversidade de </w:t>
      </w:r>
      <w:r w:rsidR="00914309">
        <w:rPr>
          <w:lang w:val="pt-BR"/>
        </w:rPr>
        <w:t xml:space="preserve">fundos </w:t>
      </w:r>
      <w:r w:rsidRPr="00D95F46">
        <w:rPr>
          <w:lang w:val="pt-BR"/>
        </w:rPr>
        <w:t>investido</w:t>
      </w:r>
      <w:r w:rsidR="00914309">
        <w:rPr>
          <w:lang w:val="pt-BR"/>
        </w:rPr>
        <w:t>res</w:t>
      </w:r>
      <w:r w:rsidRPr="00D95F46">
        <w:rPr>
          <w:lang w:val="pt-BR"/>
        </w:rPr>
        <w:t xml:space="preserve"> (direta ou indiretamente)</w:t>
      </w:r>
      <w:r w:rsidR="00326DC6" w:rsidRPr="00D95F46">
        <w:rPr>
          <w:lang w:val="pt-BR"/>
        </w:rPr>
        <w:t>.</w:t>
      </w:r>
    </w:p>
    <w:p w14:paraId="2C1DB7C7" w14:textId="2DF3D109" w:rsidR="002C147F" w:rsidRDefault="002C147F">
      <w:pPr>
        <w:rPr>
          <w:lang w:val="pt-BR"/>
        </w:rPr>
      </w:pPr>
    </w:p>
    <w:p w14:paraId="0F2FF7CB" w14:textId="43240A78" w:rsidR="002C147F" w:rsidRPr="00A71E1F" w:rsidRDefault="005E7268" w:rsidP="002C147F">
      <w:pPr>
        <w:pStyle w:val="Ttulo1"/>
        <w:rPr>
          <w:lang w:val="pt-BR"/>
        </w:rPr>
      </w:pPr>
      <w:r>
        <w:rPr>
          <w:lang w:val="pt-BR"/>
        </w:rPr>
        <w:lastRenderedPageBreak/>
        <w:t>5</w:t>
      </w:r>
      <w:r w:rsidR="002C147F" w:rsidRPr="00A71E1F">
        <w:rPr>
          <w:lang w:val="pt-BR"/>
        </w:rPr>
        <w:t xml:space="preserve">. </w:t>
      </w:r>
      <w:r w:rsidRPr="005E7268">
        <w:rPr>
          <w:lang w:val="pt-BR"/>
        </w:rPr>
        <w:t>Modelo Conceitual de Dados</w:t>
      </w:r>
    </w:p>
    <w:p w14:paraId="2D437A10" w14:textId="5EE601E9" w:rsidR="0074196F" w:rsidRPr="00817F37" w:rsidRDefault="00B21646" w:rsidP="0074196F">
      <w:pPr>
        <w:rPr>
          <w:lang w:val="pt-BR"/>
        </w:rPr>
      </w:pPr>
      <w:r w:rsidRPr="001C3D30">
        <w:rPr>
          <w:b/>
          <w:bCs/>
          <w:lang w:val="pt-BR"/>
        </w:rPr>
        <w:t>Fundos de investimento</w:t>
      </w:r>
      <w:r w:rsidRPr="00B21646">
        <w:rPr>
          <w:lang w:val="pt-BR"/>
        </w:rPr>
        <w:t xml:space="preserve"> </w:t>
      </w:r>
      <w:r w:rsidRPr="001C3D30">
        <w:rPr>
          <w:i/>
          <w:iCs/>
          <w:lang w:val="pt-BR"/>
        </w:rPr>
        <w:t>aplicam</w:t>
      </w:r>
      <w:r w:rsidRPr="00B21646">
        <w:rPr>
          <w:lang w:val="pt-BR"/>
        </w:rPr>
        <w:t xml:space="preserve"> em </w:t>
      </w:r>
      <w:r w:rsidRPr="001C3D30">
        <w:rPr>
          <w:b/>
          <w:bCs/>
          <w:lang w:val="pt-BR"/>
        </w:rPr>
        <w:t>ativos</w:t>
      </w:r>
      <w:r w:rsidRPr="00B21646">
        <w:rPr>
          <w:lang w:val="pt-BR"/>
        </w:rPr>
        <w:t xml:space="preserve"> financeiros ou em cotas de outros fundos. Os ativos são </w:t>
      </w:r>
      <w:r w:rsidRPr="001C3D30">
        <w:rPr>
          <w:i/>
          <w:iCs/>
          <w:lang w:val="pt-BR"/>
        </w:rPr>
        <w:t>em</w:t>
      </w:r>
      <w:r w:rsidR="001C3D30" w:rsidRPr="001C3D30">
        <w:rPr>
          <w:i/>
          <w:iCs/>
          <w:lang w:val="pt-BR"/>
        </w:rPr>
        <w:t>i</w:t>
      </w:r>
      <w:r w:rsidRPr="001C3D30">
        <w:rPr>
          <w:i/>
          <w:iCs/>
          <w:lang w:val="pt-BR"/>
        </w:rPr>
        <w:t>tidos</w:t>
      </w:r>
      <w:r w:rsidRPr="00B21646">
        <w:rPr>
          <w:lang w:val="pt-BR"/>
        </w:rPr>
        <w:t xml:space="preserve"> por instituições financeiras ou empresas (</w:t>
      </w:r>
      <w:r w:rsidRPr="001C3D30">
        <w:rPr>
          <w:b/>
          <w:bCs/>
          <w:lang w:val="pt-BR"/>
        </w:rPr>
        <w:t>emissores</w:t>
      </w:r>
      <w:r w:rsidRPr="00B21646">
        <w:rPr>
          <w:lang w:val="pt-BR"/>
        </w:rPr>
        <w:t xml:space="preserve">). Fundos são </w:t>
      </w:r>
      <w:r w:rsidRPr="001C3D30">
        <w:rPr>
          <w:i/>
          <w:iCs/>
          <w:lang w:val="pt-BR"/>
        </w:rPr>
        <w:t>geridos</w:t>
      </w:r>
      <w:r w:rsidRPr="00B21646">
        <w:rPr>
          <w:lang w:val="pt-BR"/>
        </w:rPr>
        <w:t xml:space="preserve"> por pessoas físicas ou jurídicas (</w:t>
      </w:r>
      <w:r w:rsidRPr="001C3D30">
        <w:rPr>
          <w:b/>
          <w:bCs/>
          <w:lang w:val="pt-BR"/>
        </w:rPr>
        <w:t>gestores</w:t>
      </w:r>
      <w:r w:rsidRPr="00B21646">
        <w:rPr>
          <w:lang w:val="pt-BR"/>
        </w:rPr>
        <w:t xml:space="preserve">), que </w:t>
      </w:r>
      <w:r w:rsidR="001C3D30">
        <w:rPr>
          <w:lang w:val="pt-BR"/>
        </w:rPr>
        <w:t>executam</w:t>
      </w:r>
      <w:r w:rsidRPr="00B21646">
        <w:rPr>
          <w:lang w:val="pt-BR"/>
        </w:rPr>
        <w:t xml:space="preserve"> a política de investimento do fundo.</w:t>
      </w:r>
    </w:p>
    <w:p w14:paraId="1648899B" w14:textId="77777777" w:rsidR="001C3D30" w:rsidRDefault="00B21646" w:rsidP="001C3D30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7C8ADC89" wp14:editId="5A34F117">
            <wp:extent cx="3644900" cy="1734809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174" cy="177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ABF2" w14:textId="323FEBF0" w:rsidR="00B21646" w:rsidRPr="004A0AA3" w:rsidRDefault="001C3D30" w:rsidP="001C3D30">
      <w:pPr>
        <w:pStyle w:val="Legenda"/>
        <w:rPr>
          <w:lang w:val="pt-BR"/>
        </w:rPr>
      </w:pPr>
      <w:r w:rsidRPr="004A0AA3">
        <w:rPr>
          <w:lang w:val="pt-BR"/>
        </w:rPr>
        <w:t xml:space="preserve">Figura </w:t>
      </w:r>
      <w:r w:rsidRPr="004A0AA3">
        <w:rPr>
          <w:lang w:val="pt-BR"/>
        </w:rPr>
        <w:fldChar w:fldCharType="begin"/>
      </w:r>
      <w:r w:rsidRPr="004A0AA3">
        <w:rPr>
          <w:lang w:val="pt-BR"/>
        </w:rPr>
        <w:instrText xml:space="preserve"> SEQ Figura \* ARABIC </w:instrText>
      </w:r>
      <w:r w:rsidRPr="004A0AA3">
        <w:rPr>
          <w:lang w:val="pt-BR"/>
        </w:rPr>
        <w:fldChar w:fldCharType="separate"/>
      </w:r>
      <w:r w:rsidR="00245081">
        <w:rPr>
          <w:noProof/>
          <w:lang w:val="pt-BR"/>
        </w:rPr>
        <w:t>1</w:t>
      </w:r>
      <w:r w:rsidRPr="004A0AA3">
        <w:rPr>
          <w:lang w:val="pt-BR"/>
        </w:rPr>
        <w:fldChar w:fldCharType="end"/>
      </w:r>
      <w:r w:rsidRPr="004A0AA3">
        <w:rPr>
          <w:lang w:val="pt-BR"/>
        </w:rPr>
        <w:t>. Modelo Conceitual de Dados</w:t>
      </w:r>
    </w:p>
    <w:p w14:paraId="2AC7621D" w14:textId="00CB21B4" w:rsidR="005E7268" w:rsidRPr="00A71E1F" w:rsidRDefault="005E7268" w:rsidP="005E7268">
      <w:pPr>
        <w:pStyle w:val="Ttulo1"/>
        <w:rPr>
          <w:lang w:val="pt-BR"/>
        </w:rPr>
      </w:pPr>
      <w:r>
        <w:rPr>
          <w:lang w:val="pt-BR"/>
        </w:rPr>
        <w:t>6</w:t>
      </w:r>
      <w:r w:rsidRPr="00A71E1F">
        <w:rPr>
          <w:lang w:val="pt-BR"/>
        </w:rPr>
        <w:t xml:space="preserve">. </w:t>
      </w:r>
      <w:r w:rsidRPr="005E7268">
        <w:rPr>
          <w:lang w:val="pt-BR"/>
        </w:rPr>
        <w:t>Modelo Lógico de Dados (</w:t>
      </w:r>
      <w:r w:rsidRPr="009D21EA">
        <w:rPr>
          <w:i/>
          <w:iCs/>
          <w:lang w:val="pt-BR"/>
        </w:rPr>
        <w:t>Graph Schema</w:t>
      </w:r>
      <w:r w:rsidRPr="005E7268">
        <w:rPr>
          <w:lang w:val="pt-BR"/>
        </w:rPr>
        <w:t>)</w:t>
      </w:r>
    </w:p>
    <w:p w14:paraId="11BD773E" w14:textId="78027505" w:rsidR="00B21646" w:rsidRPr="00B21646" w:rsidRDefault="00B21646" w:rsidP="00B21646">
      <w:pPr>
        <w:rPr>
          <w:lang w:val="pt-BR"/>
        </w:rPr>
      </w:pPr>
      <w:r w:rsidRPr="00B21646">
        <w:rPr>
          <w:lang w:val="pt-BR"/>
        </w:rPr>
        <w:t>O modelo lógico (esquema) do banco de dados de grafos construído durante a prova de conceito é ele mesmo representado por um grafo. Aqui, os vértices correspondem aos tipos de vértice (entidades) e as arestas, aos tipos de aresta (relacionamentos).</w:t>
      </w:r>
    </w:p>
    <w:p w14:paraId="10AE7D33" w14:textId="7DAA573D" w:rsidR="0074196F" w:rsidRDefault="00B21646" w:rsidP="00B21646">
      <w:pPr>
        <w:rPr>
          <w:lang w:val="pt-BR"/>
        </w:rPr>
      </w:pPr>
      <w:r>
        <w:rPr>
          <w:lang w:val="pt-BR"/>
        </w:rPr>
        <w:tab/>
      </w:r>
      <w:r w:rsidRPr="00B21646">
        <w:rPr>
          <w:lang w:val="pt-BR"/>
        </w:rPr>
        <w:t>O esquema também exibe as propriedades de vértices e arestas. A propriedade '#' nas arestas representa a cardinalidade do relacionamento e deve ser lida na direção indicada pela seta [Ramachandran 2015].</w:t>
      </w:r>
    </w:p>
    <w:p w14:paraId="0AE1B361" w14:textId="77777777" w:rsidR="00A51832" w:rsidRDefault="00A51832" w:rsidP="00B21646">
      <w:pPr>
        <w:rPr>
          <w:lang w:val="pt-BR"/>
        </w:rPr>
      </w:pPr>
    </w:p>
    <w:p w14:paraId="43D0AC8A" w14:textId="0E184313" w:rsidR="001C3D30" w:rsidRDefault="00B21646" w:rsidP="001C3D30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368C040C" wp14:editId="2421A59C">
            <wp:extent cx="3306270" cy="3244850"/>
            <wp:effectExtent l="0" t="0" r="889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348" cy="32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79AC" w14:textId="1BBFF248" w:rsidR="00B21646" w:rsidRPr="004A0AA3" w:rsidRDefault="001C3D30" w:rsidP="001C3D30">
      <w:pPr>
        <w:pStyle w:val="Legenda"/>
        <w:rPr>
          <w:lang w:val="pt-BR"/>
        </w:rPr>
      </w:pPr>
      <w:r w:rsidRPr="004A0AA3">
        <w:rPr>
          <w:lang w:val="pt-BR"/>
        </w:rPr>
        <w:t xml:space="preserve">Figura </w:t>
      </w:r>
      <w:r w:rsidRPr="004A0AA3">
        <w:rPr>
          <w:lang w:val="pt-BR"/>
        </w:rPr>
        <w:fldChar w:fldCharType="begin"/>
      </w:r>
      <w:r w:rsidRPr="004A0AA3">
        <w:rPr>
          <w:lang w:val="pt-BR"/>
        </w:rPr>
        <w:instrText xml:space="preserve"> SEQ Figura \* ARABIC </w:instrText>
      </w:r>
      <w:r w:rsidRPr="004A0AA3">
        <w:rPr>
          <w:lang w:val="pt-BR"/>
        </w:rPr>
        <w:fldChar w:fldCharType="separate"/>
      </w:r>
      <w:r w:rsidR="00245081">
        <w:rPr>
          <w:noProof/>
          <w:lang w:val="pt-BR"/>
        </w:rPr>
        <w:t>2</w:t>
      </w:r>
      <w:r w:rsidRPr="004A0AA3">
        <w:rPr>
          <w:lang w:val="pt-BR"/>
        </w:rPr>
        <w:fldChar w:fldCharType="end"/>
      </w:r>
      <w:r w:rsidRPr="004A0AA3">
        <w:rPr>
          <w:lang w:val="pt-BR"/>
        </w:rPr>
        <w:t>. Modelo Lógico de Dados</w:t>
      </w:r>
    </w:p>
    <w:p w14:paraId="74E4526B" w14:textId="5572A5E0" w:rsidR="007C26CF" w:rsidRPr="007C26CF" w:rsidRDefault="007C26CF" w:rsidP="007C26CF">
      <w:pPr>
        <w:pStyle w:val="Ttulo1"/>
        <w:rPr>
          <w:lang w:val="pt-BR"/>
        </w:rPr>
      </w:pPr>
      <w:r w:rsidRPr="007C26CF">
        <w:rPr>
          <w:lang w:val="pt-BR"/>
        </w:rPr>
        <w:lastRenderedPageBreak/>
        <w:t>7. Coleta e preparação dos dados</w:t>
      </w:r>
    </w:p>
    <w:p w14:paraId="732BB026" w14:textId="7AA7B317" w:rsidR="00D509C0" w:rsidRDefault="007C26CF">
      <w:pPr>
        <w:rPr>
          <w:lang w:val="pt-BR"/>
        </w:rPr>
      </w:pPr>
      <w:r w:rsidRPr="007C26CF">
        <w:rPr>
          <w:lang w:val="pt-BR"/>
        </w:rPr>
        <w:t xml:space="preserve">A carteira dos fundos, a identificação de seus gestores e muitas outras informações relevantes são dados públicos que podem ser consultados, de forma centralizada, no </w:t>
      </w:r>
      <w:hyperlink r:id="rId24" w:history="1">
        <w:r w:rsidRPr="007C26CF">
          <w:rPr>
            <w:rStyle w:val="Hyperlink"/>
            <w:lang w:val="pt-BR"/>
          </w:rPr>
          <w:t>Portal de Dados Abertos da CVM</w:t>
        </w:r>
      </w:hyperlink>
      <w:r w:rsidRPr="007C26CF">
        <w:rPr>
          <w:lang w:val="pt-BR"/>
        </w:rPr>
        <w:t xml:space="preserve">. </w:t>
      </w:r>
      <w:r w:rsidR="004A0AA3">
        <w:rPr>
          <w:lang w:val="pt-BR"/>
        </w:rPr>
        <w:t>E</w:t>
      </w:r>
      <w:r w:rsidRPr="007C26CF">
        <w:rPr>
          <w:lang w:val="pt-BR"/>
        </w:rPr>
        <w:t xml:space="preserve">ssa </w:t>
      </w:r>
      <w:r w:rsidR="00D83645">
        <w:rPr>
          <w:lang w:val="pt-BR"/>
        </w:rPr>
        <w:t>é</w:t>
      </w:r>
      <w:r w:rsidRPr="007C26CF">
        <w:rPr>
          <w:lang w:val="pt-BR"/>
        </w:rPr>
        <w:t xml:space="preserve"> a fonte principal </w:t>
      </w:r>
      <w:r w:rsidR="004A0AA3">
        <w:rPr>
          <w:lang w:val="pt-BR"/>
        </w:rPr>
        <w:t>das</w:t>
      </w:r>
      <w:r w:rsidRPr="007C26CF">
        <w:rPr>
          <w:lang w:val="pt-BR"/>
        </w:rPr>
        <w:t xml:space="preserve"> informações</w:t>
      </w:r>
      <w:r w:rsidR="00D509C0">
        <w:rPr>
          <w:lang w:val="pt-BR"/>
        </w:rPr>
        <w:t xml:space="preserve"> </w:t>
      </w:r>
      <w:r w:rsidR="00D83645">
        <w:rPr>
          <w:lang w:val="pt-BR"/>
        </w:rPr>
        <w:t xml:space="preserve">utilizadas </w:t>
      </w:r>
      <w:r w:rsidR="00D509C0">
        <w:rPr>
          <w:lang w:val="pt-BR"/>
        </w:rPr>
        <w:t xml:space="preserve">para </w:t>
      </w:r>
      <w:r w:rsidR="00BB1EDC">
        <w:rPr>
          <w:lang w:val="pt-BR"/>
        </w:rPr>
        <w:t>a análise das carteiras</w:t>
      </w:r>
      <w:r w:rsidR="004A0AA3">
        <w:rPr>
          <w:lang w:val="pt-BR"/>
        </w:rPr>
        <w:t xml:space="preserve">. </w:t>
      </w:r>
      <w:r w:rsidR="00BB1EDC">
        <w:rPr>
          <w:lang w:val="pt-BR"/>
        </w:rPr>
        <w:t xml:space="preserve">As informações de emissores de ativos, porém, </w:t>
      </w:r>
      <w:r w:rsidR="00D83645">
        <w:rPr>
          <w:lang w:val="pt-BR"/>
        </w:rPr>
        <w:t xml:space="preserve">foram </w:t>
      </w:r>
      <w:r w:rsidR="00BB1EDC">
        <w:rPr>
          <w:lang w:val="pt-BR"/>
        </w:rPr>
        <w:t xml:space="preserve">complementadas com dados obtidos no site da </w:t>
      </w:r>
      <w:r w:rsidR="00113103">
        <w:rPr>
          <w:lang w:val="pt-BR"/>
        </w:rPr>
        <w:t>[</w:t>
      </w:r>
      <w:r w:rsidR="00BB1EDC">
        <w:rPr>
          <w:lang w:val="pt-BR"/>
        </w:rPr>
        <w:t>B</w:t>
      </w:r>
      <w:r w:rsidR="00113103">
        <w:rPr>
          <w:lang w:val="pt-BR"/>
        </w:rPr>
        <w:t>]</w:t>
      </w:r>
      <w:r w:rsidR="00BB1EDC" w:rsidRPr="00113103">
        <w:rPr>
          <w:vertAlign w:val="superscript"/>
          <w:lang w:val="pt-BR"/>
        </w:rPr>
        <w:t>3</w:t>
      </w:r>
      <w:r w:rsidR="00BB1EDC">
        <w:rPr>
          <w:lang w:val="pt-BR"/>
        </w:rPr>
        <w:t>.</w:t>
      </w:r>
    </w:p>
    <w:p w14:paraId="6536D960" w14:textId="4F803522" w:rsidR="00D83645" w:rsidRDefault="00D83645">
      <w:pPr>
        <w:rPr>
          <w:lang w:val="pt-BR"/>
        </w:rPr>
      </w:pPr>
      <w:r>
        <w:rPr>
          <w:lang w:val="pt-BR"/>
        </w:rPr>
        <w:tab/>
        <w:t xml:space="preserve">Utilizamos a linguagem Python e o ambiente do Google Colab para coletar e preparar os dados para carga no banco de dados de grafos. Para cada tipo de vértice e cada tipo de aresta definidos no esquema lógico do banco, foi construído um processo de geração de </w:t>
      </w:r>
      <w:r w:rsidR="00BB6BA7">
        <w:rPr>
          <w:lang w:val="pt-BR"/>
        </w:rPr>
        <w:t>arquivo de dados no formato csv</w:t>
      </w:r>
      <w:r w:rsidR="00195DD6">
        <w:rPr>
          <w:lang w:val="pt-BR"/>
        </w:rPr>
        <w:t>,</w:t>
      </w:r>
      <w:r w:rsidR="00BB6BA7">
        <w:rPr>
          <w:lang w:val="pt-BR"/>
        </w:rPr>
        <w:t xml:space="preserve"> para importação no banco de </w:t>
      </w:r>
      <w:r w:rsidR="00195DD6">
        <w:rPr>
          <w:lang w:val="pt-BR"/>
        </w:rPr>
        <w:t>grafos</w:t>
      </w:r>
      <w:r w:rsidR="00BB6BA7">
        <w:rPr>
          <w:lang w:val="pt-BR"/>
        </w:rPr>
        <w:t>.</w:t>
      </w:r>
    </w:p>
    <w:p w14:paraId="4038ACA9" w14:textId="77777777" w:rsidR="00D95F46" w:rsidRDefault="00BB6BA7" w:rsidP="00D95F46">
      <w:pPr>
        <w:rPr>
          <w:lang w:val="pt-BR"/>
        </w:rPr>
      </w:pPr>
      <w:r>
        <w:rPr>
          <w:lang w:val="pt-BR"/>
        </w:rPr>
        <w:tab/>
        <w:t>Fontes de dados utilizadas:</w:t>
      </w:r>
    </w:p>
    <w:p w14:paraId="1FBD240F" w14:textId="77777777" w:rsidR="00D95F46" w:rsidRPr="00D95F46" w:rsidRDefault="000544F6" w:rsidP="00D95F46">
      <w:pPr>
        <w:pStyle w:val="PargrafodaLista"/>
        <w:numPr>
          <w:ilvl w:val="0"/>
          <w:numId w:val="29"/>
        </w:numPr>
        <w:rPr>
          <w:lang w:val="pt-BR"/>
        </w:rPr>
      </w:pPr>
      <w:hyperlink r:id="rId25" w:history="1">
        <w:r w:rsidR="00BB6BA7" w:rsidRPr="00D95F46">
          <w:rPr>
            <w:rStyle w:val="Hyperlink"/>
            <w:lang w:val="pt-BR"/>
          </w:rPr>
          <w:t>Fundos de Investimento: Informação Cadastral</w:t>
        </w:r>
      </w:hyperlink>
      <w:r w:rsidR="00BB6BA7" w:rsidRPr="00D95F46">
        <w:rPr>
          <w:lang w:val="pt-BR"/>
        </w:rPr>
        <w:t xml:space="preserve">: informações básicas sobre os fundos, por exemplo: CNPJ, </w:t>
      </w:r>
      <w:r w:rsidR="00BB6BA7" w:rsidRPr="00D95F46">
        <w:rPr>
          <w:lang w:val="pt-BR"/>
        </w:rPr>
        <w:tab/>
        <w:t>nome, tipo, situação atual do registro na CVM, quem são seus gestores, etc...</w:t>
      </w:r>
    </w:p>
    <w:p w14:paraId="4D5F1145" w14:textId="77777777" w:rsidR="00D95F46" w:rsidRPr="00D95F46" w:rsidRDefault="000544F6" w:rsidP="00D95F46">
      <w:pPr>
        <w:pStyle w:val="PargrafodaLista"/>
        <w:numPr>
          <w:ilvl w:val="0"/>
          <w:numId w:val="29"/>
        </w:numPr>
        <w:rPr>
          <w:lang w:val="pt-BR"/>
        </w:rPr>
      </w:pPr>
      <w:hyperlink r:id="rId26" w:history="1">
        <w:r w:rsidR="00BB6BA7" w:rsidRPr="00D95F46">
          <w:rPr>
            <w:rStyle w:val="Hyperlink"/>
            <w:lang w:val="pt-BR"/>
          </w:rPr>
          <w:t>Fundos de Investimento: Documentos: Composição e Diversificação das Aplicações</w:t>
        </w:r>
      </w:hyperlink>
      <w:r w:rsidR="00BB6BA7" w:rsidRPr="00D95F46">
        <w:rPr>
          <w:lang w:val="pt-BR"/>
        </w:rPr>
        <w:t>: o conteúdo do documento CDA, ou seja, a carteira mensal de aplicações do fundo, descrevendo o valor financeiro aplicado e o tipo do ativo</w:t>
      </w:r>
    </w:p>
    <w:p w14:paraId="605E430C" w14:textId="17EBD535" w:rsidR="00BB6BA7" w:rsidRPr="00D95F46" w:rsidRDefault="000544F6" w:rsidP="00D95F46">
      <w:pPr>
        <w:pStyle w:val="PargrafodaLista"/>
        <w:numPr>
          <w:ilvl w:val="0"/>
          <w:numId w:val="29"/>
        </w:numPr>
        <w:rPr>
          <w:lang w:val="pt-BR"/>
        </w:rPr>
      </w:pPr>
      <w:hyperlink r:id="rId27" w:history="1">
        <w:r w:rsidR="00BB6BA7" w:rsidRPr="00D95F46">
          <w:rPr>
            <w:rStyle w:val="Hyperlink"/>
            <w:lang w:val="pt-BR"/>
          </w:rPr>
          <w:t>Cadastro ISIN de ativos</w:t>
        </w:r>
      </w:hyperlink>
      <w:r w:rsidR="00BB6BA7" w:rsidRPr="00D95F46">
        <w:rPr>
          <w:lang w:val="pt-BR"/>
        </w:rPr>
        <w:t>: base de dados que atribui a cada ativo um código único de identificação conhecido como ISIN (</w:t>
      </w:r>
      <w:r w:rsidR="00BB6BA7" w:rsidRPr="00D95F46">
        <w:rPr>
          <w:i/>
          <w:iCs/>
          <w:lang w:val="pt-BR"/>
        </w:rPr>
        <w:t>International Securities Identification Number</w:t>
      </w:r>
      <w:r w:rsidR="00BB6BA7" w:rsidRPr="00D95F46">
        <w:rPr>
          <w:lang w:val="pt-BR"/>
        </w:rPr>
        <w:t>). Além do código ISIN do ativo, a base informa também a sua descrição e o seu emissor. Esses dados são complementares ao conteúdo do documento CDA, que não traz o emissor de todos os ativos.</w:t>
      </w:r>
    </w:p>
    <w:p w14:paraId="60C38647" w14:textId="78B38AB4" w:rsidR="00D83645" w:rsidRDefault="00D83645">
      <w:pPr>
        <w:rPr>
          <w:lang w:val="pt-BR"/>
        </w:rPr>
      </w:pPr>
    </w:p>
    <w:p w14:paraId="2EC90FEE" w14:textId="334C4096" w:rsidR="007B3D1A" w:rsidRPr="007C26CF" w:rsidRDefault="007B3D1A" w:rsidP="007B3D1A">
      <w:pPr>
        <w:pStyle w:val="Ttulo1"/>
        <w:rPr>
          <w:lang w:val="pt-BR"/>
        </w:rPr>
      </w:pPr>
      <w:r>
        <w:rPr>
          <w:lang w:val="pt-BR"/>
        </w:rPr>
        <w:t>8</w:t>
      </w:r>
      <w:r w:rsidRPr="007C26CF">
        <w:rPr>
          <w:lang w:val="pt-BR"/>
        </w:rPr>
        <w:t xml:space="preserve">. </w:t>
      </w:r>
      <w:r w:rsidR="00290C51">
        <w:rPr>
          <w:lang w:val="pt-BR"/>
        </w:rPr>
        <w:t>Mecanismo de b</w:t>
      </w:r>
      <w:r w:rsidR="00195DD6">
        <w:rPr>
          <w:lang w:val="pt-BR"/>
        </w:rPr>
        <w:t>anco de grafos</w:t>
      </w:r>
      <w:r>
        <w:rPr>
          <w:lang w:val="pt-BR"/>
        </w:rPr>
        <w:t xml:space="preserve"> </w:t>
      </w:r>
    </w:p>
    <w:p w14:paraId="35E14C33" w14:textId="40CA72C2" w:rsidR="00F024F1" w:rsidRDefault="00F024F1" w:rsidP="00601EB2">
      <w:pPr>
        <w:rPr>
          <w:lang w:val="pt-BR"/>
        </w:rPr>
      </w:pPr>
      <w:r>
        <w:rPr>
          <w:lang w:val="pt-BR"/>
        </w:rPr>
        <w:t>Um b</w:t>
      </w:r>
      <w:r w:rsidR="009D21EA">
        <w:rPr>
          <w:lang w:val="pt-BR"/>
        </w:rPr>
        <w:t xml:space="preserve">anco de dados de grafos </w:t>
      </w:r>
      <w:r>
        <w:rPr>
          <w:lang w:val="pt-BR"/>
        </w:rPr>
        <w:t>combina tecnologia de persistência e uma linguagem de consulta basead</w:t>
      </w:r>
      <w:r w:rsidR="00601EB2">
        <w:rPr>
          <w:lang w:val="pt-BR"/>
        </w:rPr>
        <w:t xml:space="preserve">os </w:t>
      </w:r>
      <w:r>
        <w:rPr>
          <w:lang w:val="pt-BR"/>
        </w:rPr>
        <w:t xml:space="preserve">em </w:t>
      </w:r>
      <w:r w:rsidR="00601EB2">
        <w:rPr>
          <w:lang w:val="pt-BR"/>
        </w:rPr>
        <w:t xml:space="preserve">estruturas de vértices e arestas para entregar um sistema otimizado para o armazenamento e a </w:t>
      </w:r>
      <w:r>
        <w:rPr>
          <w:lang w:val="pt-BR"/>
        </w:rPr>
        <w:t xml:space="preserve">recuperação rápida de dados altamente conectados </w:t>
      </w:r>
      <w:r w:rsidRPr="00326DC6">
        <w:rPr>
          <w:lang w:val="pt-BR"/>
        </w:rPr>
        <w:t>[Bechberger e Perryman 2020]</w:t>
      </w:r>
      <w:r>
        <w:rPr>
          <w:lang w:val="pt-BR"/>
        </w:rPr>
        <w:t>.</w:t>
      </w:r>
    </w:p>
    <w:p w14:paraId="320EC346" w14:textId="77777777" w:rsidR="00D95F46" w:rsidRDefault="00601EB2" w:rsidP="00D95F46">
      <w:pPr>
        <w:rPr>
          <w:lang w:val="pt-BR"/>
        </w:rPr>
      </w:pPr>
      <w:r>
        <w:rPr>
          <w:lang w:val="pt-BR"/>
        </w:rPr>
        <w:tab/>
      </w:r>
      <w:r w:rsidRPr="00097DE6">
        <w:rPr>
          <w:lang w:val="pt-BR"/>
        </w:rPr>
        <w:t xml:space="preserve">A </w:t>
      </w:r>
      <w:r w:rsidR="00097DE6" w:rsidRPr="00097DE6">
        <w:rPr>
          <w:lang w:val="pt-BR"/>
        </w:rPr>
        <w:t>página</w:t>
      </w:r>
      <w:r w:rsidRPr="00097DE6">
        <w:rPr>
          <w:lang w:val="pt-BR"/>
        </w:rPr>
        <w:t xml:space="preserve"> </w:t>
      </w:r>
      <w:hyperlink r:id="rId28" w:history="1">
        <w:r w:rsidRPr="00097DE6">
          <w:rPr>
            <w:rStyle w:val="Hyperlink"/>
            <w:lang w:val="pt-BR"/>
          </w:rPr>
          <w:t>Best Graph Databases in 202</w:t>
        </w:r>
        <w:r w:rsidR="00FF36C1">
          <w:rPr>
            <w:rStyle w:val="Hyperlink"/>
            <w:lang w:val="pt-BR"/>
          </w:rPr>
          <w:t>1</w:t>
        </w:r>
      </w:hyperlink>
      <w:r w:rsidR="00097DE6" w:rsidRPr="00097DE6">
        <w:rPr>
          <w:lang w:val="pt-BR"/>
        </w:rPr>
        <w:t xml:space="preserve"> apresenta </w:t>
      </w:r>
      <w:r w:rsidR="00097DE6">
        <w:rPr>
          <w:lang w:val="pt-BR"/>
        </w:rPr>
        <w:t xml:space="preserve">uma lista de sistemas de gerenciamento de bancos de dados orientados a grafos, tanto comerciais quanto </w:t>
      </w:r>
      <w:r w:rsidR="00097DE6" w:rsidRPr="00097DE6">
        <w:rPr>
          <w:i/>
          <w:iCs/>
          <w:lang w:val="pt-BR"/>
        </w:rPr>
        <w:t>open source</w:t>
      </w:r>
      <w:r w:rsidR="00097DE6">
        <w:rPr>
          <w:lang w:val="pt-BR"/>
        </w:rPr>
        <w:t xml:space="preserve">, com destaque para o </w:t>
      </w:r>
      <w:r w:rsidR="00097DE6" w:rsidRPr="00CC18A2">
        <w:rPr>
          <w:lang w:val="pt-BR"/>
        </w:rPr>
        <w:t>Neo4j</w:t>
      </w:r>
      <w:r w:rsidR="00097DE6">
        <w:rPr>
          <w:lang w:val="pt-BR"/>
        </w:rPr>
        <w:t xml:space="preserve">, </w:t>
      </w:r>
      <w:r w:rsidR="00097DE6" w:rsidRPr="00CC18A2">
        <w:rPr>
          <w:lang w:val="pt-BR"/>
        </w:rPr>
        <w:t>Amazon Neptune</w:t>
      </w:r>
      <w:r w:rsidR="00097DE6">
        <w:rPr>
          <w:lang w:val="pt-BR"/>
        </w:rPr>
        <w:t xml:space="preserve">, </w:t>
      </w:r>
      <w:r w:rsidR="00097DE6" w:rsidRPr="00CC18A2">
        <w:rPr>
          <w:lang w:val="pt-BR"/>
        </w:rPr>
        <w:t>Azure Cosmos DB</w:t>
      </w:r>
      <w:r w:rsidR="00097DE6">
        <w:rPr>
          <w:lang w:val="pt-BR"/>
        </w:rPr>
        <w:t xml:space="preserve"> e </w:t>
      </w:r>
      <w:r w:rsidR="00097DE6" w:rsidRPr="00CC18A2">
        <w:rPr>
          <w:lang w:val="pt-BR"/>
        </w:rPr>
        <w:t>DataStax</w:t>
      </w:r>
      <w:r w:rsidR="00097DE6">
        <w:rPr>
          <w:lang w:val="pt-BR"/>
        </w:rPr>
        <w:t>.</w:t>
      </w:r>
      <w:r w:rsidR="00FF36C1">
        <w:rPr>
          <w:lang w:val="pt-BR"/>
        </w:rPr>
        <w:t xml:space="preserve"> </w:t>
      </w:r>
      <w:r w:rsidR="00CC18A2">
        <w:rPr>
          <w:lang w:val="pt-BR"/>
        </w:rPr>
        <w:t xml:space="preserve">Nessa classificação, </w:t>
      </w:r>
      <w:r w:rsidR="00FF36C1">
        <w:rPr>
          <w:lang w:val="pt-BR"/>
        </w:rPr>
        <w:t>Neo4j e Amazon Neptune estão posicionados como líderes de mercado</w:t>
      </w:r>
      <w:r w:rsidR="00CC18A2">
        <w:rPr>
          <w:lang w:val="pt-BR"/>
        </w:rPr>
        <w:t xml:space="preserve">, entretanto, </w:t>
      </w:r>
      <w:r w:rsidR="00D9467E">
        <w:rPr>
          <w:lang w:val="pt-BR"/>
        </w:rPr>
        <w:t>seleciona</w:t>
      </w:r>
      <w:r w:rsidR="00CC18A2">
        <w:rPr>
          <w:lang w:val="pt-BR"/>
        </w:rPr>
        <w:t xml:space="preserve">mos o </w:t>
      </w:r>
      <w:hyperlink r:id="rId29" w:history="1">
        <w:r w:rsidR="00CC18A2" w:rsidRPr="00CC18A2">
          <w:rPr>
            <w:rStyle w:val="Hyperlink"/>
            <w:lang w:val="pt-BR"/>
          </w:rPr>
          <w:t>Datastax Enterprise Graph</w:t>
        </w:r>
      </w:hyperlink>
      <w:r w:rsidR="00CC18A2">
        <w:rPr>
          <w:lang w:val="pt-BR"/>
        </w:rPr>
        <w:t xml:space="preserve"> p</w:t>
      </w:r>
      <w:r w:rsidR="00D9467E">
        <w:rPr>
          <w:lang w:val="pt-BR"/>
        </w:rPr>
        <w:t xml:space="preserve">ara </w:t>
      </w:r>
      <w:r w:rsidR="00CC18A2">
        <w:rPr>
          <w:lang w:val="pt-BR"/>
        </w:rPr>
        <w:t xml:space="preserve">implementar a </w:t>
      </w:r>
      <w:r w:rsidR="00D9467E">
        <w:rPr>
          <w:lang w:val="pt-BR"/>
        </w:rPr>
        <w:t>prova de conceito</w:t>
      </w:r>
      <w:r w:rsidR="00CC18A2">
        <w:rPr>
          <w:lang w:val="pt-BR"/>
        </w:rPr>
        <w:t xml:space="preserve"> por causa </w:t>
      </w:r>
      <w:r w:rsidR="00D9467E">
        <w:rPr>
          <w:lang w:val="pt-BR"/>
        </w:rPr>
        <w:t xml:space="preserve">das </w:t>
      </w:r>
      <w:r w:rsidR="00CC18A2">
        <w:rPr>
          <w:lang w:val="pt-BR"/>
        </w:rPr>
        <w:t xml:space="preserve">seguintes </w:t>
      </w:r>
      <w:r w:rsidR="00D9467E">
        <w:rPr>
          <w:lang w:val="pt-BR"/>
        </w:rPr>
        <w:t>características:</w:t>
      </w:r>
    </w:p>
    <w:p w14:paraId="24DB40B0" w14:textId="77777777" w:rsidR="00D95F46" w:rsidRPr="00D95F46" w:rsidRDefault="00D9467E" w:rsidP="00D95F46">
      <w:pPr>
        <w:pStyle w:val="PargrafodaLista"/>
        <w:numPr>
          <w:ilvl w:val="0"/>
          <w:numId w:val="30"/>
        </w:numPr>
        <w:rPr>
          <w:i/>
          <w:iCs/>
          <w:lang w:val="pt-BR"/>
        </w:rPr>
      </w:pPr>
      <w:r w:rsidRPr="00D95F46">
        <w:rPr>
          <w:lang w:val="pt-BR"/>
        </w:rPr>
        <w:t xml:space="preserve">Baseado no </w:t>
      </w:r>
      <w:hyperlink r:id="rId30" w:history="1">
        <w:r w:rsidRPr="00D95F46">
          <w:rPr>
            <w:rStyle w:val="Hyperlink"/>
            <w:lang w:val="pt-BR"/>
          </w:rPr>
          <w:t>Apache Cassandra</w:t>
        </w:r>
      </w:hyperlink>
      <w:r w:rsidRPr="00D95F46">
        <w:rPr>
          <w:lang w:val="pt-BR"/>
        </w:rPr>
        <w:t xml:space="preserve">, banco NoSQL </w:t>
      </w:r>
      <w:r w:rsidRPr="00D95F46">
        <w:rPr>
          <w:i/>
          <w:iCs/>
          <w:lang w:val="pt-BR"/>
        </w:rPr>
        <w:t>open source</w:t>
      </w:r>
      <w:r w:rsidR="00D95F46" w:rsidRPr="00D95F46">
        <w:rPr>
          <w:i/>
          <w:iCs/>
          <w:lang w:val="pt-BR"/>
        </w:rPr>
        <w:t>;</w:t>
      </w:r>
    </w:p>
    <w:p w14:paraId="13E861E0" w14:textId="08F1F830" w:rsidR="00D95F46" w:rsidRPr="00D95F46" w:rsidRDefault="00D9467E" w:rsidP="00D95F46">
      <w:pPr>
        <w:pStyle w:val="PargrafodaLista"/>
        <w:numPr>
          <w:ilvl w:val="0"/>
          <w:numId w:val="30"/>
        </w:numPr>
        <w:rPr>
          <w:lang w:val="pt-BR"/>
        </w:rPr>
      </w:pPr>
      <w:r w:rsidRPr="00D95F46">
        <w:rPr>
          <w:lang w:val="pt-BR"/>
        </w:rPr>
        <w:t xml:space="preserve">Suporte nativo </w:t>
      </w:r>
      <w:r w:rsidR="00CA169F" w:rsidRPr="00D95F46">
        <w:rPr>
          <w:lang w:val="pt-BR"/>
        </w:rPr>
        <w:t xml:space="preserve">ao </w:t>
      </w:r>
      <w:hyperlink r:id="rId31" w:history="1">
        <w:r w:rsidR="00CA169F" w:rsidRPr="00D95F46">
          <w:rPr>
            <w:rStyle w:val="Hyperlink"/>
            <w:lang w:val="pt-BR"/>
          </w:rPr>
          <w:t>Apache TinkerPop</w:t>
        </w:r>
      </w:hyperlink>
      <w:r w:rsidR="00CA169F" w:rsidRPr="00D95F46">
        <w:rPr>
          <w:lang w:val="pt-BR"/>
        </w:rPr>
        <w:t xml:space="preserve">, mecanismo de grafo </w:t>
      </w:r>
      <w:r w:rsidR="00CA169F" w:rsidRPr="00D95F46">
        <w:rPr>
          <w:i/>
          <w:iCs/>
          <w:lang w:val="pt-BR"/>
        </w:rPr>
        <w:t>open source</w:t>
      </w:r>
      <w:r w:rsidR="00CA169F" w:rsidRPr="00D95F46">
        <w:rPr>
          <w:lang w:val="pt-BR"/>
        </w:rPr>
        <w:t xml:space="preserve">, e à linguagem de travessia de grafo </w:t>
      </w:r>
      <w:hyperlink r:id="rId32" w:history="1">
        <w:r w:rsidR="00CA169F" w:rsidRPr="00D95F46">
          <w:rPr>
            <w:rStyle w:val="Hyperlink"/>
            <w:lang w:val="pt-BR"/>
          </w:rPr>
          <w:t>Gremlin</w:t>
        </w:r>
      </w:hyperlink>
      <w:r w:rsidR="00D95F46" w:rsidRPr="00D95F46">
        <w:rPr>
          <w:lang w:val="pt-BR"/>
        </w:rPr>
        <w:t>;</w:t>
      </w:r>
    </w:p>
    <w:p w14:paraId="3FA2A4EE" w14:textId="4433D7BE" w:rsidR="00D95F46" w:rsidRPr="00D95F46" w:rsidRDefault="006D220A" w:rsidP="00D95F46">
      <w:pPr>
        <w:pStyle w:val="PargrafodaLista"/>
        <w:numPr>
          <w:ilvl w:val="0"/>
          <w:numId w:val="30"/>
        </w:numPr>
        <w:rPr>
          <w:lang w:val="pt-BR"/>
        </w:rPr>
      </w:pPr>
      <w:r w:rsidRPr="00D95F46">
        <w:rPr>
          <w:lang w:val="pt-BR"/>
        </w:rPr>
        <w:t xml:space="preserve">Integrado ao DSE Search, mecanismo de indexação e busca de texto baseado nas plataformas </w:t>
      </w:r>
      <w:r w:rsidRPr="00D95F46">
        <w:rPr>
          <w:i/>
          <w:iCs/>
          <w:lang w:val="pt-BR"/>
        </w:rPr>
        <w:t>open source</w:t>
      </w:r>
      <w:r w:rsidRPr="00D95F46">
        <w:rPr>
          <w:lang w:val="pt-BR"/>
        </w:rPr>
        <w:t xml:space="preserve"> </w:t>
      </w:r>
      <w:hyperlink r:id="rId33" w:history="1">
        <w:r w:rsidRPr="00D95F46">
          <w:rPr>
            <w:rStyle w:val="Hyperlink"/>
            <w:lang w:val="pt-BR"/>
          </w:rPr>
          <w:t>Apache Solr</w:t>
        </w:r>
      </w:hyperlink>
      <w:r w:rsidRPr="00D95F46">
        <w:rPr>
          <w:lang w:val="pt-BR"/>
        </w:rPr>
        <w:t xml:space="preserve"> e </w:t>
      </w:r>
      <w:hyperlink r:id="rId34" w:history="1">
        <w:r w:rsidRPr="00D95F46">
          <w:rPr>
            <w:rStyle w:val="Hyperlink"/>
            <w:lang w:val="pt-BR"/>
          </w:rPr>
          <w:t>Apache Lucene</w:t>
        </w:r>
      </w:hyperlink>
      <w:r w:rsidR="00D95F46" w:rsidRPr="00D95F46">
        <w:rPr>
          <w:lang w:val="pt-BR"/>
        </w:rPr>
        <w:t>;</w:t>
      </w:r>
    </w:p>
    <w:p w14:paraId="214A0A74" w14:textId="77777777" w:rsidR="00D95F46" w:rsidRPr="00D95F46" w:rsidRDefault="00F4084D" w:rsidP="00D95F46">
      <w:pPr>
        <w:pStyle w:val="PargrafodaLista"/>
        <w:numPr>
          <w:ilvl w:val="0"/>
          <w:numId w:val="30"/>
        </w:numPr>
        <w:rPr>
          <w:lang w:val="pt-BR"/>
        </w:rPr>
      </w:pPr>
      <w:r w:rsidRPr="00D95F46">
        <w:rPr>
          <w:lang w:val="pt-BR"/>
        </w:rPr>
        <w:t xml:space="preserve">Inclui o </w:t>
      </w:r>
      <w:r w:rsidR="00DD04E9" w:rsidRPr="00D95F46">
        <w:rPr>
          <w:lang w:val="pt-BR"/>
        </w:rPr>
        <w:t xml:space="preserve">Datastax Studio, </w:t>
      </w:r>
      <w:r w:rsidR="006D7A71" w:rsidRPr="00D95F46">
        <w:rPr>
          <w:lang w:val="pt-BR"/>
        </w:rPr>
        <w:t xml:space="preserve">ferramenta de </w:t>
      </w:r>
      <w:r w:rsidR="00DD04E9" w:rsidRPr="00D95F46">
        <w:rPr>
          <w:lang w:val="pt-BR"/>
        </w:rPr>
        <w:t xml:space="preserve">desenvolvimento </w:t>
      </w:r>
      <w:r w:rsidR="006D7A71" w:rsidRPr="00D95F46">
        <w:rPr>
          <w:lang w:val="pt-BR"/>
        </w:rPr>
        <w:t xml:space="preserve">e teste </w:t>
      </w:r>
      <w:r w:rsidR="00DD04E9" w:rsidRPr="00D95F46">
        <w:rPr>
          <w:lang w:val="pt-BR"/>
        </w:rPr>
        <w:t>de consultas na</w:t>
      </w:r>
      <w:r w:rsidR="006D7A71" w:rsidRPr="00D95F46">
        <w:rPr>
          <w:lang w:val="pt-BR"/>
        </w:rPr>
        <w:t>s</w:t>
      </w:r>
      <w:r w:rsidR="00DD04E9" w:rsidRPr="00D95F46">
        <w:rPr>
          <w:lang w:val="pt-BR"/>
        </w:rPr>
        <w:t xml:space="preserve"> linguagens CQL (Cassandra Query Language) e Gremlin, visualização e exploração de dados</w:t>
      </w:r>
      <w:r w:rsidR="006D7A71" w:rsidRPr="00D95F46">
        <w:rPr>
          <w:lang w:val="pt-BR"/>
        </w:rPr>
        <w:t xml:space="preserve">, em um ambiente interativo </w:t>
      </w:r>
      <w:r w:rsidR="00CC18A2" w:rsidRPr="00D95F46">
        <w:rPr>
          <w:lang w:val="pt-BR"/>
        </w:rPr>
        <w:t>baseado em</w:t>
      </w:r>
      <w:r w:rsidR="006D7A71" w:rsidRPr="00D95F46">
        <w:rPr>
          <w:lang w:val="pt-BR"/>
        </w:rPr>
        <w:t xml:space="preserve"> notebooks</w:t>
      </w:r>
      <w:r w:rsidR="00D95F46" w:rsidRPr="00D95F46">
        <w:rPr>
          <w:lang w:val="pt-BR"/>
        </w:rPr>
        <w:t>;</w:t>
      </w:r>
    </w:p>
    <w:p w14:paraId="375B6F73" w14:textId="77777777" w:rsidR="00D95F46" w:rsidRPr="00D95F46" w:rsidRDefault="00F4084D" w:rsidP="00D95F46">
      <w:pPr>
        <w:pStyle w:val="PargrafodaLista"/>
        <w:numPr>
          <w:ilvl w:val="0"/>
          <w:numId w:val="30"/>
        </w:numPr>
        <w:rPr>
          <w:lang w:val="pt-BR"/>
        </w:rPr>
      </w:pPr>
      <w:r w:rsidRPr="00D95F46">
        <w:rPr>
          <w:lang w:val="pt-BR"/>
        </w:rPr>
        <w:lastRenderedPageBreak/>
        <w:t xml:space="preserve">Inclui o </w:t>
      </w:r>
      <w:r w:rsidR="00CC18A2" w:rsidRPr="00D95F46">
        <w:rPr>
          <w:lang w:val="pt-BR"/>
        </w:rPr>
        <w:t>DataStax Bulk Loader, ferramenta de linha de comando para carga de dados, com suporte a arquivos no formato csv</w:t>
      </w:r>
      <w:r w:rsidR="00D95F46" w:rsidRPr="00D95F46">
        <w:rPr>
          <w:lang w:val="pt-BR"/>
        </w:rPr>
        <w:t>;</w:t>
      </w:r>
    </w:p>
    <w:p w14:paraId="290BBE11" w14:textId="77777777" w:rsidR="00D95F46" w:rsidRPr="00D95F46" w:rsidRDefault="00CA169F" w:rsidP="00D95F46">
      <w:pPr>
        <w:pStyle w:val="PargrafodaLista"/>
        <w:numPr>
          <w:ilvl w:val="0"/>
          <w:numId w:val="30"/>
        </w:numPr>
        <w:rPr>
          <w:lang w:val="pt-BR"/>
        </w:rPr>
      </w:pPr>
      <w:r w:rsidRPr="00D95F46">
        <w:rPr>
          <w:lang w:val="pt-BR"/>
        </w:rPr>
        <w:t>Licenciado sem custo para u</w:t>
      </w:r>
      <w:r w:rsidR="00DD04E9" w:rsidRPr="00D95F46">
        <w:rPr>
          <w:lang w:val="pt-BR"/>
        </w:rPr>
        <w:t>tilização</w:t>
      </w:r>
      <w:r w:rsidRPr="00D95F46">
        <w:rPr>
          <w:lang w:val="pt-BR"/>
        </w:rPr>
        <w:t xml:space="preserve"> </w:t>
      </w:r>
      <w:r w:rsidR="00DD04E9" w:rsidRPr="00D95F46">
        <w:rPr>
          <w:lang w:val="pt-BR"/>
        </w:rPr>
        <w:t>por</w:t>
      </w:r>
      <w:r w:rsidR="00CC18A2" w:rsidRPr="00D95F46">
        <w:rPr>
          <w:lang w:val="pt-BR"/>
        </w:rPr>
        <w:t xml:space="preserve"> até</w:t>
      </w:r>
      <w:r w:rsidR="00DD04E9" w:rsidRPr="00D95F46">
        <w:rPr>
          <w:lang w:val="pt-BR"/>
        </w:rPr>
        <w:t xml:space="preserve"> 90 dias em sistemas não</w:t>
      </w:r>
      <w:r w:rsidR="00F4084D" w:rsidRPr="00D95F46">
        <w:rPr>
          <w:lang w:val="pt-BR"/>
        </w:rPr>
        <w:t xml:space="preserve"> produtivos</w:t>
      </w:r>
      <w:r w:rsidR="00F4084D">
        <w:rPr>
          <w:rStyle w:val="Refdenotaderodap"/>
          <w:lang w:val="pt-BR"/>
        </w:rPr>
        <w:footnoteReference w:id="1"/>
      </w:r>
      <w:r w:rsidR="00D95F46" w:rsidRPr="00D95F46">
        <w:rPr>
          <w:lang w:val="pt-BR"/>
        </w:rPr>
        <w:t>;</w:t>
      </w:r>
    </w:p>
    <w:p w14:paraId="776F899A" w14:textId="7AFF23C2" w:rsidR="00DD04E9" w:rsidRPr="00D95F46" w:rsidRDefault="00D544A9" w:rsidP="00D95F46">
      <w:pPr>
        <w:pStyle w:val="PargrafodaLista"/>
        <w:numPr>
          <w:ilvl w:val="0"/>
          <w:numId w:val="30"/>
        </w:numPr>
        <w:rPr>
          <w:lang w:val="pt-BR"/>
        </w:rPr>
      </w:pPr>
      <w:r w:rsidRPr="00D95F46">
        <w:rPr>
          <w:lang w:val="pt-BR"/>
        </w:rPr>
        <w:t>Extensa d</w:t>
      </w:r>
      <w:r w:rsidR="00DD04E9" w:rsidRPr="00D95F46">
        <w:rPr>
          <w:lang w:val="pt-BR"/>
        </w:rPr>
        <w:t>ocumentação</w:t>
      </w:r>
      <w:r w:rsidR="00F4084D">
        <w:rPr>
          <w:rStyle w:val="Refdenotaderodap"/>
          <w:lang w:val="pt-BR"/>
        </w:rPr>
        <w:footnoteReference w:id="2"/>
      </w:r>
      <w:r w:rsidR="00F4084D" w:rsidRPr="00D95F46">
        <w:rPr>
          <w:lang w:val="pt-BR"/>
        </w:rPr>
        <w:t xml:space="preserve"> e </w:t>
      </w:r>
      <w:r w:rsidRPr="00D95F46">
        <w:rPr>
          <w:lang w:val="pt-BR"/>
        </w:rPr>
        <w:t xml:space="preserve">material de </w:t>
      </w:r>
      <w:r w:rsidR="00F4084D" w:rsidRPr="00D95F46">
        <w:rPr>
          <w:lang w:val="pt-BR"/>
        </w:rPr>
        <w:t>treinamento</w:t>
      </w:r>
      <w:r w:rsidR="00F4084D">
        <w:rPr>
          <w:rStyle w:val="Refdenotaderodap"/>
          <w:lang w:val="pt-BR"/>
        </w:rPr>
        <w:footnoteReference w:id="3"/>
      </w:r>
      <w:r w:rsidR="00F4084D" w:rsidRPr="00D95F46">
        <w:rPr>
          <w:lang w:val="pt-BR"/>
        </w:rPr>
        <w:t xml:space="preserve"> </w:t>
      </w:r>
      <w:r w:rsidR="00F4084D" w:rsidRPr="00D95F46">
        <w:rPr>
          <w:i/>
          <w:iCs/>
          <w:lang w:val="pt-BR"/>
        </w:rPr>
        <w:t>online</w:t>
      </w:r>
    </w:p>
    <w:p w14:paraId="1ADD1706" w14:textId="1A887E91" w:rsidR="007B3D1A" w:rsidRDefault="007B3D1A">
      <w:pPr>
        <w:rPr>
          <w:lang w:val="pt-BR"/>
        </w:rPr>
      </w:pPr>
    </w:p>
    <w:p w14:paraId="33AB7935" w14:textId="6B0EAE0F" w:rsidR="00D544A9" w:rsidRPr="00A51832" w:rsidRDefault="00D544A9" w:rsidP="00D544A9">
      <w:pPr>
        <w:pStyle w:val="Ttulo1"/>
        <w:rPr>
          <w:lang w:val="pt-BR"/>
        </w:rPr>
      </w:pPr>
      <w:r w:rsidRPr="00A51832">
        <w:rPr>
          <w:lang w:val="pt-BR"/>
        </w:rPr>
        <w:t xml:space="preserve">9. </w:t>
      </w:r>
      <w:r w:rsidR="00290C51">
        <w:rPr>
          <w:lang w:val="pt-BR"/>
        </w:rPr>
        <w:t>G</w:t>
      </w:r>
      <w:r w:rsidRPr="00A51832">
        <w:rPr>
          <w:lang w:val="pt-BR"/>
        </w:rPr>
        <w:t>rafo de carteiras de fundos</w:t>
      </w:r>
    </w:p>
    <w:p w14:paraId="59B8FDF2" w14:textId="6C282602" w:rsidR="00A51832" w:rsidRDefault="00290C51" w:rsidP="00A51832">
      <w:pPr>
        <w:rPr>
          <w:lang w:val="pt-BR"/>
        </w:rPr>
      </w:pPr>
      <w:r>
        <w:rPr>
          <w:lang w:val="pt-BR"/>
        </w:rPr>
        <w:t>O esquema do grafo carregado no banco DSE Graph está representado a seguir</w:t>
      </w:r>
      <w:r w:rsidR="00A51832">
        <w:rPr>
          <w:lang w:val="pt-BR"/>
        </w:rPr>
        <w:t>.</w:t>
      </w:r>
      <w:r>
        <w:rPr>
          <w:lang w:val="pt-BR"/>
        </w:rPr>
        <w:t xml:space="preserve"> </w:t>
      </w:r>
      <w:r w:rsidR="000B687F">
        <w:rPr>
          <w:lang w:val="pt-BR"/>
        </w:rPr>
        <w:t>A definição do esquema bem como t</w:t>
      </w:r>
      <w:r w:rsidR="00D63E30">
        <w:rPr>
          <w:lang w:val="pt-BR"/>
        </w:rPr>
        <w:t xml:space="preserve">odas as travessias e consultas ao grafo foram escritas na linguagem Gremlin, </w:t>
      </w:r>
      <w:r w:rsidR="000B687F">
        <w:rPr>
          <w:lang w:val="pt-BR"/>
        </w:rPr>
        <w:t xml:space="preserve">dentro do ambiente </w:t>
      </w:r>
      <w:r w:rsidR="000B687F" w:rsidRPr="000B687F">
        <w:rPr>
          <w:lang w:val="pt-BR"/>
        </w:rPr>
        <w:t>Datastax Studio</w:t>
      </w:r>
      <w:r w:rsidR="000B687F">
        <w:rPr>
          <w:lang w:val="pt-BR"/>
        </w:rPr>
        <w:t xml:space="preserve">. </w:t>
      </w:r>
      <w:r w:rsidR="00D63E30">
        <w:rPr>
          <w:lang w:val="pt-BR"/>
        </w:rPr>
        <w:t>Os vértices e arestas foram criados a partir dos arquivos csv gerados na etapa de coleta e preparação</w:t>
      </w:r>
      <w:r w:rsidR="000B687F">
        <w:rPr>
          <w:lang w:val="pt-BR"/>
        </w:rPr>
        <w:t xml:space="preserve">, </w:t>
      </w:r>
      <w:r w:rsidR="00A65021">
        <w:rPr>
          <w:lang w:val="pt-BR"/>
        </w:rPr>
        <w:t xml:space="preserve">importados </w:t>
      </w:r>
      <w:r w:rsidR="000B687F">
        <w:rPr>
          <w:lang w:val="pt-BR"/>
        </w:rPr>
        <w:t xml:space="preserve">através da ferramenta </w:t>
      </w:r>
      <w:r w:rsidR="000B687F" w:rsidRPr="00CC18A2">
        <w:rPr>
          <w:lang w:val="pt-BR"/>
        </w:rPr>
        <w:t>DataStax Bulk Loader</w:t>
      </w:r>
      <w:r w:rsidR="000B687F">
        <w:rPr>
          <w:lang w:val="pt-BR"/>
        </w:rPr>
        <w:t>.</w:t>
      </w:r>
    </w:p>
    <w:p w14:paraId="129ECAC5" w14:textId="36B8E1BA" w:rsidR="007F6743" w:rsidRPr="007F6743" w:rsidRDefault="007F6743" w:rsidP="00F0747C">
      <w:pPr>
        <w:rPr>
          <w:lang w:val="pt-BR"/>
        </w:rPr>
      </w:pPr>
      <w:r>
        <w:rPr>
          <w:lang w:val="pt-BR"/>
        </w:rPr>
        <w:tab/>
        <w:t xml:space="preserve">O grafo foi carregado </w:t>
      </w:r>
      <w:r w:rsidR="00F0747C">
        <w:rPr>
          <w:lang w:val="pt-BR"/>
        </w:rPr>
        <w:t xml:space="preserve">com os dados obtidos </w:t>
      </w:r>
      <w:r w:rsidR="00F0747C" w:rsidRPr="007F6743">
        <w:rPr>
          <w:lang w:val="pt-BR"/>
        </w:rPr>
        <w:t xml:space="preserve">em 31/03/2021 (posição da carteira dos fundos: </w:t>
      </w:r>
      <w:r w:rsidR="00F0747C">
        <w:rPr>
          <w:lang w:val="pt-BR"/>
        </w:rPr>
        <w:t>novembro</w:t>
      </w:r>
      <w:r w:rsidR="00F0747C" w:rsidRPr="007F6743">
        <w:rPr>
          <w:lang w:val="pt-BR"/>
        </w:rPr>
        <w:t>/2020)</w:t>
      </w:r>
      <w:r w:rsidR="00F0747C">
        <w:rPr>
          <w:lang w:val="pt-BR"/>
        </w:rPr>
        <w:t>.</w:t>
      </w:r>
    </w:p>
    <w:p w14:paraId="5746C658" w14:textId="6DB85C08" w:rsidR="00D63E30" w:rsidRDefault="00D63E30" w:rsidP="00A51832">
      <w:pPr>
        <w:rPr>
          <w:lang w:val="pt-BR"/>
        </w:rPr>
      </w:pPr>
    </w:p>
    <w:p w14:paraId="1BBAA6BC" w14:textId="77777777" w:rsidR="00A51832" w:rsidRDefault="00A51832" w:rsidP="00A51832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6014C7F0" wp14:editId="336DCFBA">
            <wp:extent cx="2438400" cy="2527325"/>
            <wp:effectExtent l="0" t="0" r="0" b="635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47" cy="25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FA63" w14:textId="2252D2AC" w:rsidR="00A51832" w:rsidRPr="00A51832" w:rsidRDefault="00A51832" w:rsidP="00A51832">
      <w:pPr>
        <w:pStyle w:val="Legenda"/>
        <w:rPr>
          <w:lang w:val="pt-BR"/>
        </w:rPr>
      </w:pPr>
      <w:r w:rsidRPr="00A51832">
        <w:rPr>
          <w:lang w:val="pt-BR"/>
        </w:rPr>
        <w:t xml:space="preserve">Figura </w:t>
      </w:r>
      <w:r>
        <w:fldChar w:fldCharType="begin"/>
      </w:r>
      <w:r w:rsidRPr="00A51832">
        <w:rPr>
          <w:lang w:val="pt-BR"/>
        </w:rPr>
        <w:instrText xml:space="preserve"> SEQ Figura \* ARABIC </w:instrText>
      </w:r>
      <w:r>
        <w:fldChar w:fldCharType="separate"/>
      </w:r>
      <w:r w:rsidR="00245081">
        <w:rPr>
          <w:noProof/>
          <w:lang w:val="pt-BR"/>
        </w:rPr>
        <w:t>3</w:t>
      </w:r>
      <w:r>
        <w:fldChar w:fldCharType="end"/>
      </w:r>
      <w:r w:rsidRPr="00A51832">
        <w:rPr>
          <w:lang w:val="pt-BR"/>
        </w:rPr>
        <w:t>. Esquema do Grafo de Carteiras de Fundos (DSE Graph)</w:t>
      </w:r>
    </w:p>
    <w:p w14:paraId="2E018B4D" w14:textId="77777777" w:rsidR="007F6743" w:rsidRPr="00D11063" w:rsidRDefault="007F6743" w:rsidP="00A51832">
      <w:pPr>
        <w:rPr>
          <w:lang w:val="pt-BR"/>
        </w:rPr>
      </w:pPr>
    </w:p>
    <w:p w14:paraId="5FA4BF4D" w14:textId="57F65285" w:rsidR="00804401" w:rsidRPr="004A0AA3" w:rsidRDefault="00804401" w:rsidP="00804401">
      <w:pPr>
        <w:pStyle w:val="Ttulo2"/>
        <w:rPr>
          <w:u w:val="single"/>
          <w:lang w:val="pt-BR"/>
        </w:rPr>
      </w:pPr>
      <w:r>
        <w:rPr>
          <w:lang w:val="pt-BR"/>
        </w:rPr>
        <w:t>9</w:t>
      </w:r>
      <w:r w:rsidRPr="004A0AA3">
        <w:rPr>
          <w:lang w:val="pt-BR"/>
        </w:rPr>
        <w:t>.</w:t>
      </w:r>
      <w:r>
        <w:rPr>
          <w:lang w:val="pt-BR"/>
        </w:rPr>
        <w:t>1</w:t>
      </w:r>
      <w:r w:rsidRPr="004A0AA3">
        <w:rPr>
          <w:lang w:val="pt-BR"/>
        </w:rPr>
        <w:t xml:space="preserve">. </w:t>
      </w:r>
      <w:r>
        <w:rPr>
          <w:lang w:val="pt-BR"/>
        </w:rPr>
        <w:t>Cardinalidade</w:t>
      </w:r>
    </w:p>
    <w:p w14:paraId="2DBE9DB7" w14:textId="09080B48" w:rsidR="004B1021" w:rsidRDefault="00F0747C" w:rsidP="00541359">
      <w:pPr>
        <w:rPr>
          <w:lang w:val="pt-BR"/>
        </w:rPr>
      </w:pPr>
      <w:r>
        <w:rPr>
          <w:lang w:val="pt-BR"/>
        </w:rPr>
        <w:t>O grafo analisado possui</w:t>
      </w:r>
      <w:r w:rsidR="00CB0368">
        <w:rPr>
          <w:lang w:val="pt-BR"/>
        </w:rPr>
        <w:t xml:space="preserve"> um total de </w:t>
      </w:r>
      <w:r w:rsidR="004B1021" w:rsidRPr="004B1021">
        <w:rPr>
          <w:lang w:val="pt-BR"/>
        </w:rPr>
        <w:t>92</w:t>
      </w:r>
      <w:r w:rsidR="004B1021">
        <w:rPr>
          <w:lang w:val="pt-BR"/>
        </w:rPr>
        <w:t>.</w:t>
      </w:r>
      <w:r w:rsidR="004B1021" w:rsidRPr="004B1021">
        <w:rPr>
          <w:lang w:val="pt-BR"/>
        </w:rPr>
        <w:t>932</w:t>
      </w:r>
      <w:r w:rsidR="00CB0368">
        <w:rPr>
          <w:lang w:val="pt-BR"/>
        </w:rPr>
        <w:t xml:space="preserve"> vértices e </w:t>
      </w:r>
      <w:r w:rsidR="004B1021" w:rsidRPr="004B1021">
        <w:rPr>
          <w:lang w:val="pt-BR"/>
        </w:rPr>
        <w:t>548</w:t>
      </w:r>
      <w:r w:rsidR="004B1021">
        <w:rPr>
          <w:lang w:val="pt-BR"/>
        </w:rPr>
        <w:t>.</w:t>
      </w:r>
      <w:r w:rsidR="004B1021" w:rsidRPr="004B1021">
        <w:rPr>
          <w:lang w:val="pt-BR"/>
        </w:rPr>
        <w:t>095</w:t>
      </w:r>
      <w:r w:rsidR="00CB0368">
        <w:rPr>
          <w:lang w:val="pt-BR"/>
        </w:rPr>
        <w:t xml:space="preserve"> arestas</w:t>
      </w:r>
      <w:r w:rsidR="004B1021">
        <w:rPr>
          <w:lang w:val="pt-BR"/>
        </w:rPr>
        <w:t xml:space="preserve">. </w:t>
      </w:r>
      <w:r w:rsidR="00541359">
        <w:rPr>
          <w:lang w:val="pt-BR"/>
        </w:rPr>
        <w:t xml:space="preserve">Os principais números são: </w:t>
      </w:r>
      <w:r w:rsidR="004B1021">
        <w:rPr>
          <w:lang w:val="pt-BR"/>
        </w:rPr>
        <w:t>20.564 fundos</w:t>
      </w:r>
      <w:r w:rsidR="00541359">
        <w:rPr>
          <w:lang w:val="pt-BR"/>
        </w:rPr>
        <w:t>, 343.747 aplicações em ativos e 140.427 aplicações em cotas de fundos.</w:t>
      </w:r>
      <w:r w:rsidR="004B1021">
        <w:rPr>
          <w:lang w:val="pt-BR"/>
        </w:rPr>
        <w:t xml:space="preserve"> </w:t>
      </w:r>
    </w:p>
    <w:p w14:paraId="72F06344" w14:textId="77777777" w:rsidR="00CB0368" w:rsidRPr="00CB0368" w:rsidRDefault="00CB0368" w:rsidP="00CB0368">
      <w:pPr>
        <w:rPr>
          <w:lang w:val="pt-BR"/>
        </w:rPr>
      </w:pPr>
    </w:p>
    <w:p w14:paraId="04FC89B1" w14:textId="77777777" w:rsidR="00541359" w:rsidRDefault="00807EBA" w:rsidP="009132AB">
      <w:pPr>
        <w:keepNext/>
        <w:jc w:val="center"/>
      </w:pPr>
      <w:r>
        <w:rPr>
          <w:noProof/>
          <w:lang w:val="pt-BR"/>
        </w:rPr>
        <w:lastRenderedPageBreak/>
        <w:drawing>
          <wp:inline distT="0" distB="0" distL="0" distR="0" wp14:anchorId="6CB3DE22" wp14:editId="76BB7023">
            <wp:extent cx="4102100" cy="2004506"/>
            <wp:effectExtent l="0" t="0" r="0" b="0"/>
            <wp:docPr id="7" name="Imagem 7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cascata&#10;&#10;Descrição gerada automaticament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744" cy="202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ABC6" w14:textId="573BB739" w:rsidR="00807EBA" w:rsidRPr="00541359" w:rsidRDefault="00541359" w:rsidP="00541359">
      <w:pPr>
        <w:pStyle w:val="Legenda"/>
        <w:rPr>
          <w:lang w:val="pt-BR"/>
        </w:rPr>
      </w:pPr>
      <w:r w:rsidRPr="00541359">
        <w:rPr>
          <w:lang w:val="pt-BR"/>
        </w:rPr>
        <w:t xml:space="preserve">Figura </w:t>
      </w:r>
      <w:r>
        <w:fldChar w:fldCharType="begin"/>
      </w:r>
      <w:r w:rsidRPr="00541359">
        <w:rPr>
          <w:lang w:val="pt-BR"/>
        </w:rPr>
        <w:instrText xml:space="preserve"> SEQ Figura \* ARABIC </w:instrText>
      </w:r>
      <w:r>
        <w:fldChar w:fldCharType="separate"/>
      </w:r>
      <w:r w:rsidR="00245081">
        <w:rPr>
          <w:noProof/>
          <w:lang w:val="pt-BR"/>
        </w:rPr>
        <w:t>4</w:t>
      </w:r>
      <w:r>
        <w:fldChar w:fldCharType="end"/>
      </w:r>
      <w:r w:rsidRPr="00541359">
        <w:rPr>
          <w:lang w:val="pt-BR"/>
        </w:rPr>
        <w:t>. Número de v</w:t>
      </w:r>
      <w:r>
        <w:rPr>
          <w:lang w:val="pt-BR"/>
        </w:rPr>
        <w:t>é</w:t>
      </w:r>
      <w:r w:rsidRPr="00541359">
        <w:rPr>
          <w:lang w:val="pt-BR"/>
        </w:rPr>
        <w:t>rtices p</w:t>
      </w:r>
      <w:r>
        <w:rPr>
          <w:lang w:val="pt-BR"/>
        </w:rPr>
        <w:t>or tipo</w:t>
      </w:r>
    </w:p>
    <w:p w14:paraId="05F0B68D" w14:textId="108E9C03" w:rsidR="00807EBA" w:rsidRDefault="00807EBA" w:rsidP="00804401">
      <w:pPr>
        <w:rPr>
          <w:lang w:val="pt-BR"/>
        </w:rPr>
      </w:pPr>
    </w:p>
    <w:p w14:paraId="38AC1EF6" w14:textId="77777777" w:rsidR="00541359" w:rsidRDefault="007F6743" w:rsidP="009132AB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791CE4E4" wp14:editId="2DA280CD">
            <wp:extent cx="4102100" cy="2047431"/>
            <wp:effectExtent l="0" t="0" r="0" b="0"/>
            <wp:docPr id="9" name="Imagem 9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barras&#10;&#10;Descrição gerada automaticamente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808" cy="20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D111" w14:textId="228B313F" w:rsidR="007F6743" w:rsidRPr="00541359" w:rsidRDefault="00541359" w:rsidP="00541359">
      <w:pPr>
        <w:pStyle w:val="Legenda"/>
        <w:rPr>
          <w:lang w:val="pt-BR"/>
        </w:rPr>
      </w:pPr>
      <w:r w:rsidRPr="00541359">
        <w:rPr>
          <w:lang w:val="pt-BR"/>
        </w:rPr>
        <w:t xml:space="preserve">Figura </w:t>
      </w:r>
      <w:r>
        <w:fldChar w:fldCharType="begin"/>
      </w:r>
      <w:r w:rsidRPr="00541359">
        <w:rPr>
          <w:lang w:val="pt-BR"/>
        </w:rPr>
        <w:instrText xml:space="preserve"> SEQ Figura \* ARABIC </w:instrText>
      </w:r>
      <w:r>
        <w:fldChar w:fldCharType="separate"/>
      </w:r>
      <w:r w:rsidR="00245081">
        <w:rPr>
          <w:noProof/>
          <w:lang w:val="pt-BR"/>
        </w:rPr>
        <w:t>5</w:t>
      </w:r>
      <w:r>
        <w:fldChar w:fldCharType="end"/>
      </w:r>
      <w:r w:rsidRPr="00541359">
        <w:rPr>
          <w:lang w:val="pt-BR"/>
        </w:rPr>
        <w:t>. Número de arestas p</w:t>
      </w:r>
      <w:r>
        <w:rPr>
          <w:lang w:val="pt-BR"/>
        </w:rPr>
        <w:t>or tipo</w:t>
      </w:r>
    </w:p>
    <w:p w14:paraId="453ABAB2" w14:textId="1B2DF0E8" w:rsidR="007F6743" w:rsidRDefault="007F6743" w:rsidP="00804401">
      <w:pPr>
        <w:rPr>
          <w:lang w:val="pt-BR"/>
        </w:rPr>
      </w:pPr>
    </w:p>
    <w:p w14:paraId="695A265D" w14:textId="1FC88BDD" w:rsidR="004A0AA3" w:rsidRPr="004A0AA3" w:rsidRDefault="00804401" w:rsidP="004A0AA3">
      <w:pPr>
        <w:pStyle w:val="Ttulo2"/>
        <w:rPr>
          <w:u w:val="single"/>
          <w:lang w:val="pt-BR"/>
        </w:rPr>
      </w:pPr>
      <w:r>
        <w:rPr>
          <w:lang w:val="pt-BR"/>
        </w:rPr>
        <w:t>9</w:t>
      </w:r>
      <w:r w:rsidR="004A0AA3" w:rsidRPr="004A0AA3">
        <w:rPr>
          <w:lang w:val="pt-BR"/>
        </w:rPr>
        <w:t>.</w:t>
      </w:r>
      <w:r w:rsidR="00894993">
        <w:rPr>
          <w:lang w:val="pt-BR"/>
        </w:rPr>
        <w:t>2</w:t>
      </w:r>
      <w:r w:rsidR="004A0AA3" w:rsidRPr="004A0AA3">
        <w:rPr>
          <w:lang w:val="pt-BR"/>
        </w:rPr>
        <w:t xml:space="preserve">. </w:t>
      </w:r>
      <w:r>
        <w:rPr>
          <w:lang w:val="pt-BR"/>
        </w:rPr>
        <w:t>Grau dos Vértices</w:t>
      </w:r>
    </w:p>
    <w:p w14:paraId="504765F1" w14:textId="5ADE2C73" w:rsidR="00A659C0" w:rsidRDefault="00D61360" w:rsidP="00F25D0C">
      <w:pPr>
        <w:rPr>
          <w:lang w:val="pt-BR"/>
        </w:rPr>
      </w:pPr>
      <w:r>
        <w:rPr>
          <w:lang w:val="pt-BR"/>
        </w:rPr>
        <w:t>A classificação dos vértices pelo número de arestas incidentes</w:t>
      </w:r>
      <w:r w:rsidR="00A659C0">
        <w:rPr>
          <w:lang w:val="pt-BR"/>
        </w:rPr>
        <w:t xml:space="preserve"> permite </w:t>
      </w:r>
      <w:r w:rsidR="00D80D8E">
        <w:rPr>
          <w:lang w:val="pt-BR"/>
        </w:rPr>
        <w:t>descobrir</w:t>
      </w:r>
      <w:r w:rsidR="002C3EEE">
        <w:rPr>
          <w:lang w:val="pt-BR"/>
        </w:rPr>
        <w:t>, por exemplo,</w:t>
      </w:r>
      <w:r w:rsidR="00A659C0">
        <w:rPr>
          <w:lang w:val="pt-BR"/>
        </w:rPr>
        <w:t xml:space="preserve"> quais fundos possuem maior diversidade de ativos em sua carteira (simples ou expandida)</w:t>
      </w:r>
      <w:r w:rsidR="002C3EEE">
        <w:rPr>
          <w:lang w:val="pt-BR"/>
        </w:rPr>
        <w:t>.</w:t>
      </w:r>
    </w:p>
    <w:p w14:paraId="2BC0A55D" w14:textId="3B9DE912" w:rsidR="00D95F46" w:rsidRDefault="00D95F46" w:rsidP="00D95F46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lang w:val="pt-BR"/>
        </w:rPr>
        <w:t xml:space="preserve">Fundos com maior diversidade de ativos na carteira simples: </w:t>
      </w:r>
    </w:p>
    <w:p w14:paraId="5E2E5A85" w14:textId="26E445A0" w:rsidR="002C3EEE" w:rsidRDefault="00245081" w:rsidP="00D95F46">
      <w:pPr>
        <w:pStyle w:val="PargrafodaLista"/>
        <w:numPr>
          <w:ilvl w:val="1"/>
          <w:numId w:val="31"/>
        </w:numPr>
        <w:rPr>
          <w:lang w:val="pt-BR"/>
        </w:rPr>
      </w:pPr>
      <w:r w:rsidRPr="00245081">
        <w:rPr>
          <w:lang w:val="pt-BR"/>
        </w:rPr>
        <w:t>C</w:t>
      </w:r>
      <w:r>
        <w:rPr>
          <w:lang w:val="pt-BR"/>
        </w:rPr>
        <w:t>aieiras</w:t>
      </w:r>
      <w:r w:rsidRPr="00245081">
        <w:rPr>
          <w:lang w:val="pt-BR"/>
        </w:rPr>
        <w:t xml:space="preserve"> FIM IE</w:t>
      </w:r>
      <w:r w:rsidR="00E400A0">
        <w:rPr>
          <w:rStyle w:val="Refdenotaderodap"/>
          <w:lang w:val="pt-BR"/>
        </w:rPr>
        <w:footnoteReference w:id="4"/>
      </w:r>
      <w:r w:rsidR="00D95F46">
        <w:rPr>
          <w:lang w:val="pt-BR"/>
        </w:rPr>
        <w:t>:</w:t>
      </w:r>
      <w:r w:rsidR="004F1158">
        <w:rPr>
          <w:lang w:val="pt-BR"/>
        </w:rPr>
        <w:t xml:space="preserve"> </w:t>
      </w:r>
      <w:r w:rsidR="00E400A0">
        <w:rPr>
          <w:lang w:val="pt-BR"/>
        </w:rPr>
        <w:tab/>
        <w:t xml:space="preserve">                   </w:t>
      </w:r>
      <w:r w:rsidR="00D95F46">
        <w:rPr>
          <w:lang w:val="pt-BR"/>
        </w:rPr>
        <w:t>1</w:t>
      </w:r>
      <w:r w:rsidR="00E400A0">
        <w:rPr>
          <w:lang w:val="pt-BR"/>
        </w:rPr>
        <w:tab/>
      </w:r>
      <w:r w:rsidR="00D95F46">
        <w:rPr>
          <w:lang w:val="pt-BR"/>
        </w:rPr>
        <w:t>0</w:t>
      </w:r>
      <w:r w:rsidR="00E400A0">
        <w:rPr>
          <w:lang w:val="pt-BR"/>
        </w:rPr>
        <w:t>.</w:t>
      </w:r>
      <w:r w:rsidR="00D95F46">
        <w:rPr>
          <w:lang w:val="pt-BR"/>
        </w:rPr>
        <w:t>175 aplicações em ativos</w:t>
      </w:r>
      <w:r w:rsidR="00526435">
        <w:rPr>
          <w:lang w:val="pt-BR"/>
        </w:rPr>
        <w:t>;</w:t>
      </w:r>
    </w:p>
    <w:p w14:paraId="6DE07E60" w14:textId="74D145CB" w:rsidR="00526435" w:rsidRDefault="00526435" w:rsidP="00D95F46">
      <w:pPr>
        <w:pStyle w:val="PargrafodaLista"/>
        <w:numPr>
          <w:ilvl w:val="1"/>
          <w:numId w:val="31"/>
        </w:numPr>
        <w:rPr>
          <w:lang w:val="pt-BR"/>
        </w:rPr>
      </w:pPr>
      <w:r w:rsidRPr="00526435">
        <w:rPr>
          <w:lang w:val="pt-BR"/>
        </w:rPr>
        <w:t xml:space="preserve">FALX </w:t>
      </w:r>
      <w:r w:rsidR="00245081">
        <w:rPr>
          <w:lang w:val="pt-BR"/>
        </w:rPr>
        <w:t>FIM CP IE</w:t>
      </w:r>
      <w:r w:rsidR="00E400A0">
        <w:rPr>
          <w:rStyle w:val="Refdenotaderodap"/>
          <w:lang w:val="pt-BR"/>
        </w:rPr>
        <w:footnoteReference w:id="5"/>
      </w:r>
      <w:r>
        <w:rPr>
          <w:lang w:val="pt-BR"/>
        </w:rPr>
        <w:t xml:space="preserve">: </w:t>
      </w:r>
      <w:r w:rsidR="00E400A0">
        <w:rPr>
          <w:lang w:val="pt-BR"/>
        </w:rPr>
        <w:t xml:space="preserve">                  </w:t>
      </w:r>
      <w:r w:rsidRPr="00526435">
        <w:rPr>
          <w:lang w:val="pt-BR"/>
        </w:rPr>
        <w:t>8</w:t>
      </w:r>
      <w:r w:rsidR="00E400A0">
        <w:rPr>
          <w:lang w:val="pt-BR"/>
        </w:rPr>
        <w:t>.</w:t>
      </w:r>
      <w:r w:rsidRPr="00526435">
        <w:rPr>
          <w:lang w:val="pt-BR"/>
        </w:rPr>
        <w:t>852</w:t>
      </w:r>
      <w:r>
        <w:rPr>
          <w:lang w:val="pt-BR"/>
        </w:rPr>
        <w:t xml:space="preserve"> aplicações em ativos</w:t>
      </w:r>
      <w:r w:rsidR="00341744">
        <w:rPr>
          <w:lang w:val="pt-BR"/>
        </w:rPr>
        <w:t>;</w:t>
      </w:r>
    </w:p>
    <w:p w14:paraId="5B4E48AF" w14:textId="1FFC5DE2" w:rsidR="00526435" w:rsidRPr="00526435" w:rsidRDefault="00526435" w:rsidP="00526435">
      <w:pPr>
        <w:pStyle w:val="PargrafodaLista"/>
        <w:numPr>
          <w:ilvl w:val="1"/>
          <w:numId w:val="31"/>
        </w:numPr>
        <w:rPr>
          <w:lang w:val="pt-BR"/>
        </w:rPr>
      </w:pPr>
      <w:r w:rsidRPr="00526435">
        <w:rPr>
          <w:lang w:val="pt-BR"/>
        </w:rPr>
        <w:t xml:space="preserve">Gladius </w:t>
      </w:r>
      <w:r w:rsidR="00245081">
        <w:rPr>
          <w:lang w:val="pt-BR"/>
        </w:rPr>
        <w:t>FIM CP IE</w:t>
      </w:r>
      <w:r w:rsidR="00E400A0">
        <w:rPr>
          <w:rStyle w:val="Refdenotaderodap"/>
          <w:lang w:val="pt-BR"/>
        </w:rPr>
        <w:footnoteReference w:id="6"/>
      </w:r>
      <w:r>
        <w:rPr>
          <w:lang w:val="pt-BR"/>
        </w:rPr>
        <w:t xml:space="preserve">: </w:t>
      </w:r>
      <w:r w:rsidR="00E400A0">
        <w:rPr>
          <w:lang w:val="pt-BR"/>
        </w:rPr>
        <w:t xml:space="preserve">                </w:t>
      </w:r>
      <w:r w:rsidR="00EE3BAF" w:rsidRPr="00EE3BAF">
        <w:rPr>
          <w:lang w:val="pt-BR"/>
        </w:rPr>
        <w:t>5</w:t>
      </w:r>
      <w:r w:rsidR="00E400A0">
        <w:rPr>
          <w:lang w:val="pt-BR"/>
        </w:rPr>
        <w:t>.</w:t>
      </w:r>
      <w:r w:rsidR="00EE3BAF" w:rsidRPr="00EE3BAF">
        <w:rPr>
          <w:lang w:val="pt-BR"/>
        </w:rPr>
        <w:t>043</w:t>
      </w:r>
      <w:r>
        <w:rPr>
          <w:lang w:val="pt-BR"/>
        </w:rPr>
        <w:t xml:space="preserve"> aplicações em ativos</w:t>
      </w:r>
      <w:r w:rsidR="00341744">
        <w:rPr>
          <w:lang w:val="pt-BR"/>
        </w:rPr>
        <w:t>;</w:t>
      </w:r>
    </w:p>
    <w:p w14:paraId="6547544A" w14:textId="53BA2CA4" w:rsidR="00526435" w:rsidRPr="00526435" w:rsidRDefault="00245081" w:rsidP="00526435">
      <w:pPr>
        <w:pStyle w:val="PargrafodaLista"/>
        <w:numPr>
          <w:ilvl w:val="1"/>
          <w:numId w:val="31"/>
        </w:numPr>
        <w:rPr>
          <w:lang w:val="pt-BR"/>
        </w:rPr>
      </w:pPr>
      <w:r>
        <w:rPr>
          <w:lang w:val="pt-BR"/>
        </w:rPr>
        <w:t>FIM CP</w:t>
      </w:r>
      <w:r w:rsidR="00526435" w:rsidRPr="00526435">
        <w:rPr>
          <w:lang w:val="pt-BR"/>
        </w:rPr>
        <w:t xml:space="preserve"> L</w:t>
      </w:r>
      <w:r w:rsidR="00D80D8E">
        <w:rPr>
          <w:lang w:val="pt-BR"/>
        </w:rPr>
        <w:t>S</w:t>
      </w:r>
      <w:r w:rsidR="00526435" w:rsidRPr="00526435">
        <w:rPr>
          <w:lang w:val="pt-BR"/>
        </w:rPr>
        <w:t xml:space="preserve"> </w:t>
      </w:r>
      <w:r>
        <w:rPr>
          <w:lang w:val="pt-BR"/>
        </w:rPr>
        <w:t>IE</w:t>
      </w:r>
      <w:r w:rsidR="00E400A0">
        <w:rPr>
          <w:rStyle w:val="Refdenotaderodap"/>
          <w:lang w:val="pt-BR"/>
        </w:rPr>
        <w:footnoteReference w:id="7"/>
      </w:r>
      <w:r w:rsidR="00526435">
        <w:rPr>
          <w:lang w:val="pt-BR"/>
        </w:rPr>
        <w:t xml:space="preserve">: </w:t>
      </w:r>
      <w:r w:rsidR="00E400A0">
        <w:rPr>
          <w:lang w:val="pt-BR"/>
        </w:rPr>
        <w:t xml:space="preserve">                        </w:t>
      </w:r>
      <w:r w:rsidR="00EE3BAF" w:rsidRPr="00EE3BAF">
        <w:rPr>
          <w:lang w:val="pt-BR"/>
        </w:rPr>
        <w:t>4</w:t>
      </w:r>
      <w:r w:rsidR="00E400A0">
        <w:rPr>
          <w:lang w:val="pt-BR"/>
        </w:rPr>
        <w:t>.</w:t>
      </w:r>
      <w:r w:rsidR="00EE3BAF" w:rsidRPr="00EE3BAF">
        <w:rPr>
          <w:lang w:val="pt-BR"/>
        </w:rPr>
        <w:t>598</w:t>
      </w:r>
      <w:r w:rsidR="00526435">
        <w:rPr>
          <w:lang w:val="pt-BR"/>
        </w:rPr>
        <w:t xml:space="preserve"> aplicações em ativos</w:t>
      </w:r>
      <w:r w:rsidR="00341744">
        <w:rPr>
          <w:lang w:val="pt-BR"/>
        </w:rPr>
        <w:t>;</w:t>
      </w:r>
    </w:p>
    <w:p w14:paraId="0D8FB49A" w14:textId="284F6A51" w:rsidR="00526435" w:rsidRDefault="00526435" w:rsidP="00526435">
      <w:pPr>
        <w:pStyle w:val="PargrafodaLista"/>
        <w:numPr>
          <w:ilvl w:val="1"/>
          <w:numId w:val="31"/>
        </w:numPr>
        <w:rPr>
          <w:lang w:val="pt-BR"/>
        </w:rPr>
      </w:pPr>
      <w:r w:rsidRPr="00526435">
        <w:rPr>
          <w:lang w:val="pt-BR"/>
        </w:rPr>
        <w:t xml:space="preserve">Legacy Capital Master </w:t>
      </w:r>
      <w:r w:rsidR="00245081">
        <w:rPr>
          <w:lang w:val="pt-BR"/>
        </w:rPr>
        <w:t>FIM</w:t>
      </w:r>
      <w:r w:rsidR="00E400A0">
        <w:rPr>
          <w:rStyle w:val="Refdenotaderodap"/>
          <w:lang w:val="pt-BR"/>
        </w:rPr>
        <w:footnoteReference w:id="8"/>
      </w:r>
      <w:r>
        <w:rPr>
          <w:lang w:val="pt-BR"/>
        </w:rPr>
        <w:t xml:space="preserve">: </w:t>
      </w:r>
      <w:r w:rsidR="00E400A0">
        <w:rPr>
          <w:lang w:val="pt-BR"/>
        </w:rPr>
        <w:t xml:space="preserve">   </w:t>
      </w:r>
      <w:r w:rsidR="00EE3BAF" w:rsidRPr="00EE3BAF">
        <w:rPr>
          <w:lang w:val="pt-BR"/>
        </w:rPr>
        <w:t>3</w:t>
      </w:r>
      <w:r w:rsidR="00E400A0">
        <w:rPr>
          <w:lang w:val="pt-BR"/>
        </w:rPr>
        <w:t>.</w:t>
      </w:r>
      <w:r w:rsidR="00EE3BAF" w:rsidRPr="00EE3BAF">
        <w:rPr>
          <w:lang w:val="pt-BR"/>
        </w:rPr>
        <w:t>228</w:t>
      </w:r>
      <w:r>
        <w:rPr>
          <w:lang w:val="pt-BR"/>
        </w:rPr>
        <w:t xml:space="preserve"> aplicações em ativos</w:t>
      </w:r>
    </w:p>
    <w:p w14:paraId="53B6FB78" w14:textId="4A821CF5" w:rsidR="00EE3BAF" w:rsidRDefault="003D42A3" w:rsidP="00EE3BAF">
      <w:pPr>
        <w:rPr>
          <w:lang w:val="pt-BR"/>
        </w:rPr>
      </w:pPr>
      <w:r>
        <w:rPr>
          <w:lang w:val="pt-BR"/>
        </w:rPr>
        <w:lastRenderedPageBreak/>
        <w:tab/>
      </w:r>
      <w:r w:rsidR="00D80D8E">
        <w:rPr>
          <w:lang w:val="pt-BR"/>
        </w:rPr>
        <w:t xml:space="preserve">Os resultados acima contam apenas os ativos investidos de forma direta, ou seja, a </w:t>
      </w:r>
      <w:r>
        <w:rPr>
          <w:lang w:val="pt-BR"/>
        </w:rPr>
        <w:t>busca no grafo não atravess</w:t>
      </w:r>
      <w:r w:rsidR="00D80D8E">
        <w:rPr>
          <w:lang w:val="pt-BR"/>
        </w:rPr>
        <w:t>ou</w:t>
      </w:r>
      <w:r>
        <w:rPr>
          <w:lang w:val="pt-BR"/>
        </w:rPr>
        <w:t xml:space="preserve"> nenhuma aresta </w:t>
      </w:r>
      <w:r w:rsidRPr="00D80D8E">
        <w:rPr>
          <w:i/>
          <w:iCs/>
          <w:lang w:val="pt-BR"/>
        </w:rPr>
        <w:t>aplicacao_fundo</w:t>
      </w:r>
      <w:r w:rsidR="00D80D8E">
        <w:rPr>
          <w:lang w:val="pt-BR"/>
        </w:rPr>
        <w:t>.</w:t>
      </w:r>
    </w:p>
    <w:p w14:paraId="7C9DCB3A" w14:textId="77777777" w:rsidR="00E400A0" w:rsidRPr="00E400A0" w:rsidRDefault="00E400A0" w:rsidP="00EE3BAF">
      <w:pPr>
        <w:rPr>
          <w:szCs w:val="24"/>
          <w:lang w:val="pt-BR"/>
        </w:rPr>
      </w:pPr>
    </w:p>
    <w:p w14:paraId="7BEA9CAE" w14:textId="77777777" w:rsidR="00EE3BAF" w:rsidRDefault="00D95F46" w:rsidP="00EE3BAF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0456022" wp14:editId="18B20142">
            <wp:extent cx="4267200" cy="202096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94994" cy="203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8A47" w14:textId="2C120FE5" w:rsidR="00D95F46" w:rsidRPr="00EE3BAF" w:rsidRDefault="00EE3BAF" w:rsidP="00EE3BAF">
      <w:pPr>
        <w:pStyle w:val="Legenda"/>
        <w:rPr>
          <w:lang w:val="pt-BR"/>
        </w:rPr>
      </w:pPr>
      <w:r w:rsidRPr="00EE3BAF">
        <w:rPr>
          <w:lang w:val="pt-BR"/>
        </w:rPr>
        <w:t xml:space="preserve">Figura </w:t>
      </w:r>
      <w:r>
        <w:fldChar w:fldCharType="begin"/>
      </w:r>
      <w:r w:rsidRPr="00EE3BAF">
        <w:rPr>
          <w:lang w:val="pt-BR"/>
        </w:rPr>
        <w:instrText xml:space="preserve"> SEQ Figura \* ARABIC </w:instrText>
      </w:r>
      <w:r>
        <w:fldChar w:fldCharType="separate"/>
      </w:r>
      <w:r w:rsidR="00245081">
        <w:rPr>
          <w:noProof/>
          <w:lang w:val="pt-BR"/>
        </w:rPr>
        <w:t>6</w:t>
      </w:r>
      <w:r>
        <w:fldChar w:fldCharType="end"/>
      </w:r>
      <w:r w:rsidRPr="00EE3BAF">
        <w:rPr>
          <w:lang w:val="pt-BR"/>
        </w:rPr>
        <w:t xml:space="preserve">. </w:t>
      </w:r>
      <w:r w:rsidR="00691F5A">
        <w:rPr>
          <w:lang w:val="pt-BR"/>
        </w:rPr>
        <w:t>F</w:t>
      </w:r>
      <w:r w:rsidRPr="00EE3BAF">
        <w:rPr>
          <w:lang w:val="pt-BR"/>
        </w:rPr>
        <w:t>undos com m</w:t>
      </w:r>
      <w:r>
        <w:rPr>
          <w:lang w:val="pt-BR"/>
        </w:rPr>
        <w:t>aior diversidade de ativos (carteira simples)</w:t>
      </w:r>
    </w:p>
    <w:p w14:paraId="0689A6CD" w14:textId="7B5598A2" w:rsidR="00D95F46" w:rsidRDefault="00D95F46" w:rsidP="00D95F46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lang w:val="pt-BR"/>
        </w:rPr>
        <w:t xml:space="preserve">Fundos com maior diversidade de ativos na carteira expandida </w:t>
      </w:r>
      <w:r w:rsidR="00D80D8E">
        <w:rPr>
          <w:lang w:val="pt-BR"/>
        </w:rPr>
        <w:t>(</w:t>
      </w:r>
      <w:r w:rsidR="003D42A3">
        <w:rPr>
          <w:lang w:val="pt-BR"/>
        </w:rPr>
        <w:t>nível n</w:t>
      </w:r>
      <w:r w:rsidR="00D80D8E">
        <w:rPr>
          <w:lang w:val="pt-BR"/>
        </w:rPr>
        <w:t>)</w:t>
      </w:r>
      <w:r w:rsidR="00341744">
        <w:rPr>
          <w:lang w:val="pt-BR"/>
        </w:rPr>
        <w:t>:</w:t>
      </w:r>
    </w:p>
    <w:p w14:paraId="4F1450CC" w14:textId="052639D2" w:rsidR="00341744" w:rsidRPr="00341744" w:rsidRDefault="00341744" w:rsidP="00341744">
      <w:pPr>
        <w:pStyle w:val="PargrafodaLista"/>
        <w:numPr>
          <w:ilvl w:val="1"/>
          <w:numId w:val="31"/>
        </w:numPr>
        <w:rPr>
          <w:lang w:val="pt-BR"/>
        </w:rPr>
      </w:pPr>
      <w:r w:rsidRPr="00341744">
        <w:rPr>
          <w:lang w:val="pt-BR"/>
        </w:rPr>
        <w:t xml:space="preserve">Bradesco </w:t>
      </w:r>
      <w:r w:rsidR="00245081">
        <w:rPr>
          <w:lang w:val="pt-BR"/>
        </w:rPr>
        <w:t>FIM CP IE</w:t>
      </w:r>
      <w:r w:rsidRPr="00341744">
        <w:rPr>
          <w:lang w:val="pt-BR"/>
        </w:rPr>
        <w:t xml:space="preserve"> Andrômeda</w:t>
      </w:r>
      <w:r w:rsidR="00E400A0">
        <w:rPr>
          <w:rStyle w:val="Refdenotaderodap"/>
          <w:lang w:val="pt-BR"/>
        </w:rPr>
        <w:footnoteReference w:id="9"/>
      </w:r>
      <w:r>
        <w:rPr>
          <w:lang w:val="pt-BR"/>
        </w:rPr>
        <w:t xml:space="preserve">: </w:t>
      </w:r>
      <w:r w:rsidR="00E400A0">
        <w:rPr>
          <w:lang w:val="pt-BR"/>
        </w:rPr>
        <w:t xml:space="preserve">               </w:t>
      </w:r>
      <w:r w:rsidR="00055259" w:rsidRPr="00055259">
        <w:rPr>
          <w:lang w:val="pt-BR"/>
        </w:rPr>
        <w:t>24</w:t>
      </w:r>
      <w:r w:rsidR="00055259">
        <w:rPr>
          <w:lang w:val="pt-BR"/>
        </w:rPr>
        <w:t>.</w:t>
      </w:r>
      <w:r w:rsidR="00055259" w:rsidRPr="00055259">
        <w:rPr>
          <w:lang w:val="pt-BR"/>
        </w:rPr>
        <w:t>636</w:t>
      </w:r>
      <w:r w:rsidR="00055259">
        <w:rPr>
          <w:lang w:val="pt-BR"/>
        </w:rPr>
        <w:t xml:space="preserve"> </w:t>
      </w:r>
      <w:r>
        <w:rPr>
          <w:lang w:val="pt-BR"/>
        </w:rPr>
        <w:t>aplicações em ativos;</w:t>
      </w:r>
    </w:p>
    <w:p w14:paraId="596C732E" w14:textId="38DAA520" w:rsidR="00341744" w:rsidRPr="00341744" w:rsidRDefault="00341744" w:rsidP="00341744">
      <w:pPr>
        <w:pStyle w:val="PargrafodaLista"/>
        <w:numPr>
          <w:ilvl w:val="1"/>
          <w:numId w:val="31"/>
        </w:numPr>
        <w:rPr>
          <w:lang w:val="pt-BR"/>
        </w:rPr>
      </w:pPr>
      <w:r w:rsidRPr="00341744">
        <w:rPr>
          <w:lang w:val="pt-BR"/>
        </w:rPr>
        <w:t xml:space="preserve">Bradesco </w:t>
      </w:r>
      <w:r w:rsidR="00245081">
        <w:rPr>
          <w:lang w:val="pt-BR"/>
        </w:rPr>
        <w:t>FIM CP IE</w:t>
      </w:r>
      <w:r w:rsidRPr="00341744">
        <w:rPr>
          <w:lang w:val="pt-BR"/>
        </w:rPr>
        <w:t xml:space="preserve"> CDI Mais</w:t>
      </w:r>
      <w:r w:rsidR="00E400A0">
        <w:rPr>
          <w:rStyle w:val="Refdenotaderodap"/>
          <w:lang w:val="pt-BR"/>
        </w:rPr>
        <w:footnoteReference w:id="10"/>
      </w:r>
      <w:r>
        <w:rPr>
          <w:lang w:val="pt-BR"/>
        </w:rPr>
        <w:t xml:space="preserve">: </w:t>
      </w:r>
      <w:r w:rsidR="00E400A0">
        <w:rPr>
          <w:lang w:val="pt-BR"/>
        </w:rPr>
        <w:t xml:space="preserve">                </w:t>
      </w:r>
      <w:r w:rsidR="00055259" w:rsidRPr="00055259">
        <w:rPr>
          <w:lang w:val="pt-BR"/>
        </w:rPr>
        <w:t>20</w:t>
      </w:r>
      <w:r w:rsidR="00055259">
        <w:rPr>
          <w:lang w:val="pt-BR"/>
        </w:rPr>
        <w:t>.</w:t>
      </w:r>
      <w:r w:rsidR="00055259" w:rsidRPr="00055259">
        <w:rPr>
          <w:lang w:val="pt-BR"/>
        </w:rPr>
        <w:t>458</w:t>
      </w:r>
      <w:r w:rsidR="00055259">
        <w:rPr>
          <w:lang w:val="pt-BR"/>
        </w:rPr>
        <w:t xml:space="preserve"> </w:t>
      </w:r>
      <w:r>
        <w:rPr>
          <w:lang w:val="pt-BR"/>
        </w:rPr>
        <w:t>aplicações em ativos;</w:t>
      </w:r>
    </w:p>
    <w:p w14:paraId="308B9A15" w14:textId="0FB600F1" w:rsidR="00341744" w:rsidRPr="00341744" w:rsidRDefault="00341744" w:rsidP="00341744">
      <w:pPr>
        <w:pStyle w:val="PargrafodaLista"/>
        <w:numPr>
          <w:ilvl w:val="1"/>
          <w:numId w:val="31"/>
        </w:numPr>
        <w:rPr>
          <w:lang w:val="pt-BR"/>
        </w:rPr>
      </w:pPr>
      <w:r w:rsidRPr="00341744">
        <w:rPr>
          <w:lang w:val="pt-BR"/>
        </w:rPr>
        <w:t xml:space="preserve">Bradesco </w:t>
      </w:r>
      <w:r w:rsidR="00245081" w:rsidRPr="00341744">
        <w:rPr>
          <w:lang w:val="pt-BR"/>
        </w:rPr>
        <w:t xml:space="preserve">FIC </w:t>
      </w:r>
      <w:r w:rsidR="00245081">
        <w:rPr>
          <w:lang w:val="pt-BR"/>
        </w:rPr>
        <w:t>FI MULT CP IE</w:t>
      </w:r>
      <w:r w:rsidR="00245081" w:rsidRPr="00341744">
        <w:rPr>
          <w:lang w:val="pt-BR"/>
        </w:rPr>
        <w:t xml:space="preserve"> </w:t>
      </w:r>
      <w:r w:rsidRPr="00341744">
        <w:rPr>
          <w:lang w:val="pt-BR"/>
        </w:rPr>
        <w:t xml:space="preserve">Riviera </w:t>
      </w:r>
      <w:r>
        <w:rPr>
          <w:lang w:val="pt-BR"/>
        </w:rPr>
        <w:t>I</w:t>
      </w:r>
      <w:r w:rsidRPr="00341744">
        <w:rPr>
          <w:lang w:val="pt-BR"/>
        </w:rPr>
        <w:t>I</w:t>
      </w:r>
      <w:r w:rsidR="00E400A0">
        <w:rPr>
          <w:rStyle w:val="Refdenotaderodap"/>
          <w:lang w:val="pt-BR"/>
        </w:rPr>
        <w:footnoteReference w:id="11"/>
      </w:r>
      <w:r>
        <w:rPr>
          <w:lang w:val="pt-BR"/>
        </w:rPr>
        <w:t xml:space="preserve">: </w:t>
      </w:r>
      <w:r w:rsidR="00055259" w:rsidRPr="00055259">
        <w:rPr>
          <w:lang w:val="pt-BR"/>
        </w:rPr>
        <w:t>18</w:t>
      </w:r>
      <w:r w:rsidR="00055259">
        <w:rPr>
          <w:lang w:val="pt-BR"/>
        </w:rPr>
        <w:t>.</w:t>
      </w:r>
      <w:r w:rsidR="00055259" w:rsidRPr="00055259">
        <w:rPr>
          <w:lang w:val="pt-BR"/>
        </w:rPr>
        <w:t>050</w:t>
      </w:r>
      <w:r w:rsidR="00055259">
        <w:rPr>
          <w:lang w:val="pt-BR"/>
        </w:rPr>
        <w:t xml:space="preserve"> </w:t>
      </w:r>
      <w:r>
        <w:rPr>
          <w:lang w:val="pt-BR"/>
        </w:rPr>
        <w:t>aplicações em ativos;</w:t>
      </w:r>
    </w:p>
    <w:p w14:paraId="76A2E075" w14:textId="09AE7DFF" w:rsidR="00341744" w:rsidRPr="00341744" w:rsidRDefault="00341744" w:rsidP="00341744">
      <w:pPr>
        <w:pStyle w:val="PargrafodaLista"/>
        <w:numPr>
          <w:ilvl w:val="1"/>
          <w:numId w:val="31"/>
        </w:numPr>
        <w:rPr>
          <w:lang w:val="pt-BR"/>
        </w:rPr>
      </w:pPr>
      <w:r w:rsidRPr="00341744">
        <w:rPr>
          <w:lang w:val="pt-BR"/>
        </w:rPr>
        <w:t xml:space="preserve">Bradesco </w:t>
      </w:r>
      <w:r w:rsidR="00245081" w:rsidRPr="00341744">
        <w:rPr>
          <w:lang w:val="pt-BR"/>
        </w:rPr>
        <w:t xml:space="preserve">FIC </w:t>
      </w:r>
      <w:r w:rsidR="00245081">
        <w:rPr>
          <w:lang w:val="pt-BR"/>
        </w:rPr>
        <w:t>FIM CP IE</w:t>
      </w:r>
      <w:r w:rsidR="00245081" w:rsidRPr="00341744">
        <w:rPr>
          <w:lang w:val="pt-BR"/>
        </w:rPr>
        <w:t xml:space="preserve"> </w:t>
      </w:r>
      <w:r w:rsidRPr="00341744">
        <w:rPr>
          <w:lang w:val="pt-BR"/>
        </w:rPr>
        <w:t>Darach</w:t>
      </w:r>
      <w:r w:rsidR="00E400A0">
        <w:rPr>
          <w:rStyle w:val="Refdenotaderodap"/>
          <w:lang w:val="pt-BR"/>
        </w:rPr>
        <w:footnoteReference w:id="12"/>
      </w:r>
      <w:r>
        <w:rPr>
          <w:lang w:val="pt-BR"/>
        </w:rPr>
        <w:t xml:space="preserve">: </w:t>
      </w:r>
      <w:r w:rsidR="00E400A0">
        <w:rPr>
          <w:lang w:val="pt-BR"/>
        </w:rPr>
        <w:t xml:space="preserve">             </w:t>
      </w:r>
      <w:r w:rsidR="00055259" w:rsidRPr="00055259">
        <w:rPr>
          <w:lang w:val="pt-BR"/>
        </w:rPr>
        <w:t>17</w:t>
      </w:r>
      <w:r w:rsidR="00055259">
        <w:rPr>
          <w:lang w:val="pt-BR"/>
        </w:rPr>
        <w:t>.</w:t>
      </w:r>
      <w:r w:rsidR="00055259" w:rsidRPr="00055259">
        <w:rPr>
          <w:lang w:val="pt-BR"/>
        </w:rPr>
        <w:t>677</w:t>
      </w:r>
      <w:r w:rsidR="00055259">
        <w:rPr>
          <w:lang w:val="pt-BR"/>
        </w:rPr>
        <w:t xml:space="preserve"> </w:t>
      </w:r>
      <w:r>
        <w:rPr>
          <w:lang w:val="pt-BR"/>
        </w:rPr>
        <w:t>aplicações em ativos;</w:t>
      </w:r>
    </w:p>
    <w:p w14:paraId="45237A95" w14:textId="06244794" w:rsidR="00341744" w:rsidRPr="00D95F46" w:rsidRDefault="00341744" w:rsidP="00341744">
      <w:pPr>
        <w:pStyle w:val="PargrafodaLista"/>
        <w:numPr>
          <w:ilvl w:val="1"/>
          <w:numId w:val="31"/>
        </w:numPr>
        <w:rPr>
          <w:lang w:val="pt-BR"/>
        </w:rPr>
      </w:pPr>
      <w:r w:rsidRPr="00341744">
        <w:rPr>
          <w:lang w:val="pt-BR"/>
        </w:rPr>
        <w:t>Bradesco FIC F</w:t>
      </w:r>
      <w:r w:rsidR="004F1158">
        <w:rPr>
          <w:lang w:val="pt-BR"/>
        </w:rPr>
        <w:t>IM</w:t>
      </w:r>
      <w:r w:rsidRPr="00341744">
        <w:rPr>
          <w:lang w:val="pt-BR"/>
        </w:rPr>
        <w:t xml:space="preserve"> </w:t>
      </w:r>
      <w:r w:rsidR="00245081">
        <w:rPr>
          <w:lang w:val="pt-BR"/>
        </w:rPr>
        <w:t xml:space="preserve">CP IE </w:t>
      </w:r>
      <w:r w:rsidRPr="00341744">
        <w:rPr>
          <w:lang w:val="pt-BR"/>
        </w:rPr>
        <w:t>Gomez Kawall</w:t>
      </w:r>
      <w:r w:rsidR="00E400A0">
        <w:rPr>
          <w:rStyle w:val="Refdenotaderodap"/>
          <w:lang w:val="pt-BR"/>
        </w:rPr>
        <w:footnoteReference w:id="13"/>
      </w:r>
      <w:r>
        <w:rPr>
          <w:lang w:val="pt-BR"/>
        </w:rPr>
        <w:t>:</w:t>
      </w:r>
      <w:r w:rsidR="00E400A0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055259" w:rsidRPr="00055259">
        <w:rPr>
          <w:lang w:val="pt-BR"/>
        </w:rPr>
        <w:t>17</w:t>
      </w:r>
      <w:r w:rsidR="00055259">
        <w:rPr>
          <w:lang w:val="pt-BR"/>
        </w:rPr>
        <w:t>.</w:t>
      </w:r>
      <w:r w:rsidR="00055259" w:rsidRPr="00055259">
        <w:rPr>
          <w:lang w:val="pt-BR"/>
        </w:rPr>
        <w:t>561</w:t>
      </w:r>
      <w:r w:rsidR="00055259">
        <w:rPr>
          <w:lang w:val="pt-BR"/>
        </w:rPr>
        <w:t xml:space="preserve"> </w:t>
      </w:r>
      <w:r>
        <w:rPr>
          <w:lang w:val="pt-BR"/>
        </w:rPr>
        <w:t>aplicações em ativos;</w:t>
      </w:r>
    </w:p>
    <w:p w14:paraId="2E226F63" w14:textId="03AF675A" w:rsidR="00FD7B7C" w:rsidRPr="00055259" w:rsidRDefault="00055259" w:rsidP="00055259">
      <w:pPr>
        <w:rPr>
          <w:lang w:val="pt-BR"/>
        </w:rPr>
      </w:pPr>
      <w:r>
        <w:rPr>
          <w:lang w:val="pt-BR"/>
        </w:rPr>
        <w:tab/>
      </w:r>
      <w:r w:rsidRPr="00055259">
        <w:rPr>
          <w:lang w:val="pt-BR"/>
        </w:rPr>
        <w:t xml:space="preserve">Os resultados acima contam </w:t>
      </w:r>
      <w:r>
        <w:rPr>
          <w:lang w:val="pt-BR"/>
        </w:rPr>
        <w:t xml:space="preserve">todos </w:t>
      </w:r>
      <w:r w:rsidRPr="00055259">
        <w:rPr>
          <w:lang w:val="pt-BR"/>
        </w:rPr>
        <w:t xml:space="preserve">os ativos investidos </w:t>
      </w:r>
      <w:r>
        <w:rPr>
          <w:lang w:val="pt-BR"/>
        </w:rPr>
        <w:t xml:space="preserve">pelo fundo </w:t>
      </w:r>
      <w:r w:rsidRPr="00055259">
        <w:rPr>
          <w:lang w:val="pt-BR"/>
        </w:rPr>
        <w:t>de forma direta</w:t>
      </w:r>
      <w:r>
        <w:rPr>
          <w:lang w:val="pt-BR"/>
        </w:rPr>
        <w:t xml:space="preserve"> ou indireta. Para isso, a </w:t>
      </w:r>
      <w:r w:rsidRPr="00055259">
        <w:rPr>
          <w:lang w:val="pt-BR"/>
        </w:rPr>
        <w:t>busca no grafo atravessou</w:t>
      </w:r>
      <w:r w:rsidR="00FD7B7C">
        <w:rPr>
          <w:lang w:val="pt-BR"/>
        </w:rPr>
        <w:t>,</w:t>
      </w:r>
      <w:r w:rsidRPr="00055259">
        <w:rPr>
          <w:lang w:val="pt-BR"/>
        </w:rPr>
        <w:t xml:space="preserve"> </w:t>
      </w:r>
      <w:r w:rsidR="00FD7B7C">
        <w:rPr>
          <w:lang w:val="pt-BR"/>
        </w:rPr>
        <w:t xml:space="preserve">a partir de cada fundo, </w:t>
      </w:r>
      <w:r>
        <w:rPr>
          <w:lang w:val="pt-BR"/>
        </w:rPr>
        <w:t xml:space="preserve">todas as </w:t>
      </w:r>
      <w:r w:rsidRPr="00055259">
        <w:rPr>
          <w:lang w:val="pt-BR"/>
        </w:rPr>
        <w:t>aresta</w:t>
      </w:r>
      <w:r>
        <w:rPr>
          <w:lang w:val="pt-BR"/>
        </w:rPr>
        <w:t>s</w:t>
      </w:r>
      <w:r w:rsidRPr="00055259">
        <w:rPr>
          <w:lang w:val="pt-BR"/>
        </w:rPr>
        <w:t xml:space="preserve"> </w:t>
      </w:r>
      <w:r w:rsidRPr="00055259">
        <w:rPr>
          <w:i/>
          <w:iCs/>
          <w:lang w:val="pt-BR"/>
        </w:rPr>
        <w:t>aplicacao_fundo</w:t>
      </w:r>
      <w:r>
        <w:rPr>
          <w:lang w:val="pt-BR"/>
        </w:rPr>
        <w:t xml:space="preserve">, </w:t>
      </w:r>
      <w:r w:rsidR="00FD7B7C">
        <w:rPr>
          <w:lang w:val="pt-BR"/>
        </w:rPr>
        <w:t xml:space="preserve">de forma recursiva, </w:t>
      </w:r>
      <w:r>
        <w:rPr>
          <w:lang w:val="pt-BR"/>
        </w:rPr>
        <w:t>tantas vezes quanto possível.</w:t>
      </w:r>
      <w:r w:rsidR="00FD7B7C">
        <w:rPr>
          <w:lang w:val="pt-BR"/>
        </w:rPr>
        <w:tab/>
      </w:r>
    </w:p>
    <w:p w14:paraId="737D8CB2" w14:textId="3A8AA5E3" w:rsidR="002C3EEE" w:rsidRPr="00E400A0" w:rsidRDefault="002C3EEE" w:rsidP="002C3EEE">
      <w:pPr>
        <w:rPr>
          <w:szCs w:val="24"/>
          <w:lang w:val="pt-BR"/>
        </w:rPr>
      </w:pPr>
    </w:p>
    <w:p w14:paraId="6A4A76B0" w14:textId="77777777" w:rsidR="00341744" w:rsidRDefault="00341744" w:rsidP="00E400A0">
      <w:pPr>
        <w:keepNext/>
        <w:jc w:val="center"/>
      </w:pPr>
      <w:r>
        <w:rPr>
          <w:noProof/>
        </w:rPr>
        <w:drawing>
          <wp:inline distT="0" distB="0" distL="0" distR="0" wp14:anchorId="1C174317" wp14:editId="2CA1FEBB">
            <wp:extent cx="4260850" cy="2021461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91788" cy="203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D406" w14:textId="1A02E9F6" w:rsidR="00341744" w:rsidRDefault="00341744" w:rsidP="00341744">
      <w:pPr>
        <w:pStyle w:val="Legenda"/>
        <w:rPr>
          <w:lang w:val="pt-BR"/>
        </w:rPr>
      </w:pPr>
      <w:r w:rsidRPr="00341744">
        <w:rPr>
          <w:lang w:val="pt-BR"/>
        </w:rPr>
        <w:t xml:space="preserve">Figura </w:t>
      </w:r>
      <w:r>
        <w:fldChar w:fldCharType="begin"/>
      </w:r>
      <w:r w:rsidRPr="00341744">
        <w:rPr>
          <w:lang w:val="pt-BR"/>
        </w:rPr>
        <w:instrText xml:space="preserve"> SEQ Figura \* ARABIC </w:instrText>
      </w:r>
      <w:r>
        <w:fldChar w:fldCharType="separate"/>
      </w:r>
      <w:r w:rsidR="00245081">
        <w:rPr>
          <w:noProof/>
          <w:lang w:val="pt-BR"/>
        </w:rPr>
        <w:t>7</w:t>
      </w:r>
      <w:r>
        <w:fldChar w:fldCharType="end"/>
      </w:r>
      <w:r w:rsidRPr="00341744">
        <w:rPr>
          <w:lang w:val="pt-BR"/>
        </w:rPr>
        <w:t xml:space="preserve">. </w:t>
      </w:r>
      <w:r w:rsidR="00691F5A">
        <w:rPr>
          <w:lang w:val="pt-BR"/>
        </w:rPr>
        <w:t>F</w:t>
      </w:r>
      <w:r w:rsidRPr="00EE3BAF">
        <w:rPr>
          <w:lang w:val="pt-BR"/>
        </w:rPr>
        <w:t>undos com m</w:t>
      </w:r>
      <w:r>
        <w:rPr>
          <w:lang w:val="pt-BR"/>
        </w:rPr>
        <w:t>aior diversidade de ativos (carteira expandida)</w:t>
      </w:r>
    </w:p>
    <w:p w14:paraId="41E3F64E" w14:textId="77777777" w:rsidR="00341744" w:rsidRDefault="00341744" w:rsidP="002C3EEE">
      <w:pPr>
        <w:rPr>
          <w:lang w:val="pt-BR"/>
        </w:rPr>
      </w:pPr>
    </w:p>
    <w:p w14:paraId="39DFD4A0" w14:textId="07007A84" w:rsidR="00A659C0" w:rsidRDefault="00FD7B7C" w:rsidP="00F25D0C">
      <w:pPr>
        <w:rPr>
          <w:lang w:val="pt-BR"/>
        </w:rPr>
      </w:pPr>
      <w:r>
        <w:rPr>
          <w:lang w:val="pt-BR"/>
        </w:rPr>
        <w:tab/>
      </w:r>
      <w:r w:rsidR="00914309">
        <w:rPr>
          <w:lang w:val="pt-BR"/>
        </w:rPr>
        <w:t>C</w:t>
      </w:r>
      <w:r>
        <w:rPr>
          <w:lang w:val="pt-BR"/>
        </w:rPr>
        <w:t xml:space="preserve">onsultas de natureza recursiva </w:t>
      </w:r>
      <w:r w:rsidR="00914309">
        <w:rPr>
          <w:lang w:val="pt-BR"/>
        </w:rPr>
        <w:t xml:space="preserve">também </w:t>
      </w:r>
      <w:r>
        <w:rPr>
          <w:lang w:val="pt-BR"/>
        </w:rPr>
        <w:t xml:space="preserve">foram </w:t>
      </w:r>
      <w:r w:rsidR="00914309">
        <w:rPr>
          <w:lang w:val="pt-BR"/>
        </w:rPr>
        <w:t xml:space="preserve">utilizadas para </w:t>
      </w:r>
      <w:r>
        <w:rPr>
          <w:lang w:val="pt-BR"/>
        </w:rPr>
        <w:t xml:space="preserve">determinar </w:t>
      </w:r>
      <w:r w:rsidR="00914309">
        <w:rPr>
          <w:lang w:val="pt-BR"/>
        </w:rPr>
        <w:t xml:space="preserve">os fundos </w:t>
      </w:r>
      <w:r w:rsidR="00A659C0">
        <w:rPr>
          <w:lang w:val="pt-BR"/>
        </w:rPr>
        <w:t>com maior diversidade de fundos investidos</w:t>
      </w:r>
      <w:r w:rsidR="00914309">
        <w:rPr>
          <w:lang w:val="pt-BR"/>
        </w:rPr>
        <w:t>, os f</w:t>
      </w:r>
      <w:r w:rsidR="00A659C0">
        <w:rPr>
          <w:lang w:val="pt-BR"/>
        </w:rPr>
        <w:t>undos com maior diversidade de fundos investidores</w:t>
      </w:r>
      <w:r w:rsidR="00914309">
        <w:rPr>
          <w:lang w:val="pt-BR"/>
        </w:rPr>
        <w:t xml:space="preserve"> e os a</w:t>
      </w:r>
      <w:r w:rsidR="00A659C0">
        <w:rPr>
          <w:lang w:val="pt-BR"/>
        </w:rPr>
        <w:t>tivos com maior diversidade de fundos investidores</w:t>
      </w:r>
      <w:r w:rsidR="00914309">
        <w:rPr>
          <w:lang w:val="pt-BR"/>
        </w:rPr>
        <w:t>, para citar apenas alguns exemplos.</w:t>
      </w:r>
    </w:p>
    <w:p w14:paraId="72B68B0C" w14:textId="77777777" w:rsidR="007F6743" w:rsidRDefault="007F6743" w:rsidP="00F25D0C">
      <w:pPr>
        <w:rPr>
          <w:lang w:val="pt-BR"/>
        </w:rPr>
      </w:pPr>
    </w:p>
    <w:p w14:paraId="10BC1E08" w14:textId="6BAA6510" w:rsidR="00804401" w:rsidRPr="004A0AA3" w:rsidRDefault="00804401" w:rsidP="00804401">
      <w:pPr>
        <w:pStyle w:val="Ttulo2"/>
        <w:rPr>
          <w:u w:val="single"/>
          <w:lang w:val="pt-BR"/>
        </w:rPr>
      </w:pPr>
      <w:r>
        <w:rPr>
          <w:lang w:val="pt-BR"/>
        </w:rPr>
        <w:t>9</w:t>
      </w:r>
      <w:r w:rsidRPr="004A0AA3">
        <w:rPr>
          <w:lang w:val="pt-BR"/>
        </w:rPr>
        <w:t>.</w:t>
      </w:r>
      <w:r w:rsidR="00894993">
        <w:rPr>
          <w:lang w:val="pt-BR"/>
        </w:rPr>
        <w:t>3</w:t>
      </w:r>
      <w:r w:rsidRPr="004A0AA3">
        <w:rPr>
          <w:lang w:val="pt-BR"/>
        </w:rPr>
        <w:t xml:space="preserve">. </w:t>
      </w:r>
      <w:r>
        <w:rPr>
          <w:lang w:val="pt-BR"/>
        </w:rPr>
        <w:t>Detecção de Ciclos</w:t>
      </w:r>
    </w:p>
    <w:p w14:paraId="5F85B07B" w14:textId="6F6F4281" w:rsidR="00C23E2D" w:rsidRDefault="00C23E2D" w:rsidP="00914309">
      <w:pPr>
        <w:rPr>
          <w:lang w:val="pt-BR"/>
        </w:rPr>
      </w:pPr>
      <w:r>
        <w:rPr>
          <w:lang w:val="pt-BR"/>
        </w:rPr>
        <w:tab/>
        <w:t xml:space="preserve">Seja o </w:t>
      </w:r>
      <w:r w:rsidR="00914309" w:rsidRPr="00914309">
        <w:rPr>
          <w:lang w:val="pt-BR"/>
        </w:rPr>
        <w:t>subgrafo G</w:t>
      </w:r>
      <w:r w:rsidR="00914309" w:rsidRPr="00C23E2D">
        <w:rPr>
          <w:vertAlign w:val="subscript"/>
          <w:lang w:val="pt-BR"/>
        </w:rPr>
        <w:t>s</w:t>
      </w:r>
      <w:r w:rsidR="00914309" w:rsidRPr="00914309">
        <w:rPr>
          <w:lang w:val="pt-BR"/>
        </w:rPr>
        <w:t>(V</w:t>
      </w:r>
      <w:r w:rsidR="00914309" w:rsidRPr="00C23E2D">
        <w:rPr>
          <w:vertAlign w:val="subscript"/>
          <w:lang w:val="pt-BR"/>
        </w:rPr>
        <w:t>s</w:t>
      </w:r>
      <w:r w:rsidR="00914309" w:rsidRPr="00914309">
        <w:rPr>
          <w:lang w:val="pt-BR"/>
        </w:rPr>
        <w:t>, A</w:t>
      </w:r>
      <w:r w:rsidR="00914309" w:rsidRPr="00C23E2D">
        <w:rPr>
          <w:vertAlign w:val="subscript"/>
          <w:lang w:val="pt-BR"/>
        </w:rPr>
        <w:t>s</w:t>
      </w:r>
      <w:r w:rsidR="00914309" w:rsidRPr="00914309">
        <w:rPr>
          <w:lang w:val="pt-BR"/>
        </w:rPr>
        <w:t>)</w:t>
      </w:r>
      <w:r>
        <w:rPr>
          <w:lang w:val="pt-BR"/>
        </w:rPr>
        <w:t xml:space="preserve">, onde </w:t>
      </w:r>
      <w:r w:rsidRPr="00914309">
        <w:rPr>
          <w:lang w:val="pt-BR"/>
        </w:rPr>
        <w:t>V</w:t>
      </w:r>
      <w:r w:rsidRPr="00C23E2D">
        <w:rPr>
          <w:vertAlign w:val="subscript"/>
          <w:lang w:val="pt-BR"/>
        </w:rPr>
        <w:t>s</w:t>
      </w:r>
      <w:r w:rsidRPr="00914309">
        <w:rPr>
          <w:lang w:val="pt-BR"/>
        </w:rPr>
        <w:t xml:space="preserve"> </w:t>
      </w:r>
      <w:r>
        <w:rPr>
          <w:lang w:val="pt-BR"/>
        </w:rPr>
        <w:t>é o</w:t>
      </w:r>
      <w:r w:rsidRPr="00914309">
        <w:rPr>
          <w:lang w:val="pt-BR"/>
        </w:rPr>
        <w:t xml:space="preserve"> conjunto dos vértices do tipo fundo</w:t>
      </w:r>
      <w:r>
        <w:rPr>
          <w:lang w:val="pt-BR"/>
        </w:rPr>
        <w:t xml:space="preserve"> e </w:t>
      </w:r>
      <w:r w:rsidRPr="00914309">
        <w:rPr>
          <w:lang w:val="pt-BR"/>
        </w:rPr>
        <w:t>A</w:t>
      </w:r>
      <w:r w:rsidRPr="00C23E2D">
        <w:rPr>
          <w:vertAlign w:val="subscript"/>
          <w:lang w:val="pt-BR"/>
        </w:rPr>
        <w:t>s</w:t>
      </w:r>
      <w:r w:rsidRPr="00914309">
        <w:rPr>
          <w:lang w:val="pt-BR"/>
        </w:rPr>
        <w:t xml:space="preserve"> </w:t>
      </w:r>
      <w:r>
        <w:rPr>
          <w:lang w:val="pt-BR"/>
        </w:rPr>
        <w:t>é o</w:t>
      </w:r>
      <w:r w:rsidRPr="00914309">
        <w:rPr>
          <w:lang w:val="pt-BR"/>
        </w:rPr>
        <w:t xml:space="preserve"> conjunto das arestas do tipo </w:t>
      </w:r>
      <w:r w:rsidRPr="00C23E2D">
        <w:rPr>
          <w:i/>
          <w:iCs/>
          <w:lang w:val="pt-BR"/>
        </w:rPr>
        <w:t>aplicacao_fundo</w:t>
      </w:r>
      <w:r>
        <w:rPr>
          <w:lang w:val="pt-BR"/>
        </w:rPr>
        <w:t>.</w:t>
      </w:r>
    </w:p>
    <w:p w14:paraId="7C173ADE" w14:textId="5E75A0AC" w:rsidR="00691F5A" w:rsidRDefault="00C23E2D" w:rsidP="00914309">
      <w:pPr>
        <w:rPr>
          <w:lang w:val="pt-BR"/>
        </w:rPr>
      </w:pPr>
      <w:r>
        <w:rPr>
          <w:lang w:val="pt-BR"/>
        </w:rPr>
        <w:tab/>
        <w:t xml:space="preserve">A travessia no subgrafo </w:t>
      </w:r>
      <w:r w:rsidRPr="00914309">
        <w:rPr>
          <w:lang w:val="pt-BR"/>
        </w:rPr>
        <w:t>G</w:t>
      </w:r>
      <w:r w:rsidRPr="00C23E2D">
        <w:rPr>
          <w:vertAlign w:val="subscript"/>
          <w:lang w:val="pt-BR"/>
        </w:rPr>
        <w:t>s</w:t>
      </w:r>
      <w:r>
        <w:rPr>
          <w:lang w:val="pt-BR"/>
        </w:rPr>
        <w:t xml:space="preserve"> com o objetivo de </w:t>
      </w:r>
      <w:r w:rsidR="00914309" w:rsidRPr="00914309">
        <w:rPr>
          <w:lang w:val="pt-BR"/>
        </w:rPr>
        <w:t>verificar a existência de ciclos (caminhos fechados, onde os vértices de origem e destino coincidem)</w:t>
      </w:r>
      <w:r>
        <w:rPr>
          <w:lang w:val="pt-BR"/>
        </w:rPr>
        <w:t xml:space="preserve"> não retornou nenhum resultado</w:t>
      </w:r>
      <w:r w:rsidR="00691F5A">
        <w:rPr>
          <w:lang w:val="pt-BR"/>
        </w:rPr>
        <w:t>.</w:t>
      </w:r>
    </w:p>
    <w:p w14:paraId="0E524B09" w14:textId="18FCB01F" w:rsidR="00914309" w:rsidRDefault="00691F5A" w:rsidP="00914309">
      <w:pPr>
        <w:rPr>
          <w:lang w:val="pt-BR"/>
        </w:rPr>
      </w:pPr>
      <w:r>
        <w:rPr>
          <w:lang w:val="pt-BR"/>
        </w:rPr>
        <w:tab/>
        <w:t xml:space="preserve">Assim, </w:t>
      </w:r>
      <w:r w:rsidR="00FA6206">
        <w:rPr>
          <w:lang w:val="pt-BR"/>
        </w:rPr>
        <w:t xml:space="preserve">nas carteiras analisadas, não foram encontradas </w:t>
      </w:r>
      <w:r w:rsidRPr="00D95F46">
        <w:rPr>
          <w:lang w:val="pt-BR"/>
        </w:rPr>
        <w:t>referências circulares na hierarquia de investimento entre fundos</w:t>
      </w:r>
      <w:r w:rsidR="00FA6206">
        <w:rPr>
          <w:lang w:val="pt-BR"/>
        </w:rPr>
        <w:t>.</w:t>
      </w:r>
    </w:p>
    <w:p w14:paraId="30FD5D92" w14:textId="77777777" w:rsidR="00FA6206" w:rsidRPr="00914309" w:rsidRDefault="00FA6206" w:rsidP="00914309">
      <w:pPr>
        <w:rPr>
          <w:lang w:val="pt-BR"/>
        </w:rPr>
      </w:pPr>
    </w:p>
    <w:p w14:paraId="3B75B4E2" w14:textId="77777777" w:rsidR="00691F5A" w:rsidRDefault="00691F5A" w:rsidP="00691F5A">
      <w:pPr>
        <w:keepNext/>
      </w:pPr>
      <w:r>
        <w:rPr>
          <w:noProof/>
        </w:rPr>
        <w:drawing>
          <wp:inline distT="0" distB="0" distL="0" distR="0" wp14:anchorId="577ACE96" wp14:editId="055CDA99">
            <wp:extent cx="5400675" cy="1829435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5E1B" w14:textId="2499003B" w:rsidR="00914309" w:rsidRPr="00691F5A" w:rsidRDefault="00691F5A" w:rsidP="00691F5A">
      <w:pPr>
        <w:pStyle w:val="Legenda"/>
        <w:rPr>
          <w:lang w:val="pt-BR"/>
        </w:rPr>
      </w:pPr>
      <w:r w:rsidRPr="00691F5A">
        <w:rPr>
          <w:lang w:val="pt-BR"/>
        </w:rPr>
        <w:t xml:space="preserve">Figura </w:t>
      </w:r>
      <w:r>
        <w:fldChar w:fldCharType="begin"/>
      </w:r>
      <w:r w:rsidRPr="00691F5A">
        <w:rPr>
          <w:lang w:val="pt-BR"/>
        </w:rPr>
        <w:instrText xml:space="preserve"> SEQ Figura \* ARABIC </w:instrText>
      </w:r>
      <w:r>
        <w:fldChar w:fldCharType="separate"/>
      </w:r>
      <w:r w:rsidR="00245081">
        <w:rPr>
          <w:noProof/>
          <w:lang w:val="pt-BR"/>
        </w:rPr>
        <w:t>8</w:t>
      </w:r>
      <w:r>
        <w:fldChar w:fldCharType="end"/>
      </w:r>
      <w:r w:rsidRPr="00691F5A">
        <w:rPr>
          <w:lang w:val="pt-BR"/>
        </w:rPr>
        <w:t>. Busca d</w:t>
      </w:r>
      <w:r>
        <w:rPr>
          <w:lang w:val="pt-BR"/>
        </w:rPr>
        <w:t>e ciclos</w:t>
      </w:r>
    </w:p>
    <w:p w14:paraId="15F22202" w14:textId="03535A62" w:rsidR="00894993" w:rsidRPr="004A0AA3" w:rsidRDefault="00894993" w:rsidP="00894993">
      <w:pPr>
        <w:pStyle w:val="Ttulo2"/>
        <w:rPr>
          <w:u w:val="single"/>
          <w:lang w:val="pt-BR"/>
        </w:rPr>
      </w:pPr>
      <w:r>
        <w:rPr>
          <w:lang w:val="pt-BR"/>
        </w:rPr>
        <w:t>9</w:t>
      </w:r>
      <w:r w:rsidRPr="004A0AA3">
        <w:rPr>
          <w:lang w:val="pt-BR"/>
        </w:rPr>
        <w:t>.</w:t>
      </w:r>
      <w:r w:rsidR="00FA6206">
        <w:rPr>
          <w:lang w:val="pt-BR"/>
        </w:rPr>
        <w:t>4</w:t>
      </w:r>
      <w:r w:rsidRPr="004A0AA3">
        <w:rPr>
          <w:lang w:val="pt-BR"/>
        </w:rPr>
        <w:t xml:space="preserve">. </w:t>
      </w:r>
      <w:r w:rsidR="00AD6F8E">
        <w:rPr>
          <w:lang w:val="pt-BR"/>
        </w:rPr>
        <w:t>Composição da carteira</w:t>
      </w:r>
    </w:p>
    <w:p w14:paraId="4C209C44" w14:textId="51AD0EF3" w:rsidR="00E12E73" w:rsidRDefault="00B925FD" w:rsidP="00B925FD">
      <w:pPr>
        <w:tabs>
          <w:tab w:val="center" w:pos="4252"/>
        </w:tabs>
        <w:rPr>
          <w:lang w:val="pt-BR"/>
        </w:rPr>
      </w:pPr>
      <w:r>
        <w:rPr>
          <w:lang w:val="pt-BR"/>
        </w:rPr>
        <w:t>Na seção 2 deste artigo, definimos subconjuntos e superconjuntos da carteira de investimentos dos fundos</w:t>
      </w:r>
      <w:r w:rsidR="00447ACD">
        <w:rPr>
          <w:lang w:val="pt-BR"/>
        </w:rPr>
        <w:t xml:space="preserve">. </w:t>
      </w:r>
      <w:r w:rsidR="00AF6271">
        <w:rPr>
          <w:lang w:val="pt-BR"/>
        </w:rPr>
        <w:t>A</w:t>
      </w:r>
      <w:r w:rsidR="008B779F">
        <w:rPr>
          <w:lang w:val="pt-BR"/>
        </w:rPr>
        <w:t xml:space="preserve"> expressividade da linguagem </w:t>
      </w:r>
      <w:r w:rsidR="00AF6271">
        <w:rPr>
          <w:lang w:val="pt-BR"/>
        </w:rPr>
        <w:t xml:space="preserve">Gremlin </w:t>
      </w:r>
      <w:r w:rsidR="008B779F">
        <w:rPr>
          <w:lang w:val="pt-BR"/>
        </w:rPr>
        <w:t xml:space="preserve">nos </w:t>
      </w:r>
      <w:r w:rsidR="00245081">
        <w:rPr>
          <w:lang w:val="pt-BR"/>
        </w:rPr>
        <w:t>permite navegar através</w:t>
      </w:r>
      <w:r w:rsidR="00CA633A">
        <w:rPr>
          <w:lang w:val="pt-BR"/>
        </w:rPr>
        <w:t xml:space="preserve"> do grafo</w:t>
      </w:r>
      <w:r w:rsidR="00245081">
        <w:rPr>
          <w:lang w:val="pt-BR"/>
        </w:rPr>
        <w:t>, especificando uma sequência de passos conhecida como travessia.</w:t>
      </w:r>
      <w:r w:rsidR="00CA633A">
        <w:rPr>
          <w:lang w:val="pt-BR"/>
        </w:rPr>
        <w:t xml:space="preserve"> </w:t>
      </w:r>
      <w:r w:rsidR="004655F3">
        <w:rPr>
          <w:lang w:val="pt-BR"/>
        </w:rPr>
        <w:t>Se o</w:t>
      </w:r>
      <w:r w:rsidR="00CA633A">
        <w:rPr>
          <w:lang w:val="pt-BR"/>
        </w:rPr>
        <w:t xml:space="preserve"> resultado </w:t>
      </w:r>
      <w:r w:rsidR="004655F3">
        <w:rPr>
          <w:lang w:val="pt-BR"/>
        </w:rPr>
        <w:t xml:space="preserve">obtido com essa travessia são as aplicações em ativos e em outros fundos, então </w:t>
      </w:r>
      <w:r w:rsidR="00E12E73">
        <w:rPr>
          <w:lang w:val="pt-BR"/>
        </w:rPr>
        <w:t xml:space="preserve">temos a </w:t>
      </w:r>
      <w:r w:rsidR="004655F3">
        <w:rPr>
          <w:lang w:val="pt-BR"/>
        </w:rPr>
        <w:t xml:space="preserve">versão </w:t>
      </w:r>
      <w:r w:rsidR="00E12E73">
        <w:rPr>
          <w:lang w:val="pt-BR"/>
        </w:rPr>
        <w:t xml:space="preserve">simples </w:t>
      </w:r>
      <w:r w:rsidR="004655F3">
        <w:rPr>
          <w:lang w:val="pt-BR"/>
        </w:rPr>
        <w:t>da carteira</w:t>
      </w:r>
      <w:r w:rsidR="00E12E73">
        <w:rPr>
          <w:lang w:val="pt-BR"/>
        </w:rPr>
        <w:t>. Suprimir itens da carteira é uma questão de remover passos da travessia; incluir em um único resultado a carteira de todos os fundo</w:t>
      </w:r>
      <w:r w:rsidR="00DD6C26">
        <w:rPr>
          <w:lang w:val="pt-BR"/>
        </w:rPr>
        <w:t>s</w:t>
      </w:r>
      <w:r w:rsidR="00E12E73">
        <w:rPr>
          <w:lang w:val="pt-BR"/>
        </w:rPr>
        <w:t xml:space="preserve"> relacionados por meio do investimento em cotas é uma questão de </w:t>
      </w:r>
      <w:r w:rsidR="00DD6C26">
        <w:rPr>
          <w:lang w:val="pt-BR"/>
        </w:rPr>
        <w:t xml:space="preserve">adicionar estruturas de repetição à sequência original de passos. </w:t>
      </w:r>
    </w:p>
    <w:p w14:paraId="68B98767" w14:textId="116A6E5E" w:rsidR="008B779F" w:rsidRDefault="008B779F" w:rsidP="00B925FD">
      <w:pPr>
        <w:tabs>
          <w:tab w:val="center" w:pos="4252"/>
        </w:tabs>
        <w:rPr>
          <w:lang w:val="pt-BR"/>
        </w:rPr>
      </w:pPr>
    </w:p>
    <w:p w14:paraId="3B18B596" w14:textId="3DFB0021" w:rsidR="00E400A0" w:rsidRDefault="00E400A0">
      <w:pPr>
        <w:tabs>
          <w:tab w:val="clear" w:pos="720"/>
        </w:tabs>
        <w:spacing w:before="0"/>
        <w:jc w:val="left"/>
        <w:rPr>
          <w:lang w:val="pt-BR"/>
        </w:rPr>
      </w:pPr>
      <w:r>
        <w:rPr>
          <w:lang w:val="pt-BR"/>
        </w:rPr>
        <w:br w:type="page"/>
      </w:r>
    </w:p>
    <w:p w14:paraId="4DA19415" w14:textId="50EC720E" w:rsidR="00AD6F8E" w:rsidRPr="004A0AA3" w:rsidRDefault="00AD6F8E" w:rsidP="00AD6F8E">
      <w:pPr>
        <w:pStyle w:val="Ttulo2"/>
        <w:rPr>
          <w:u w:val="single"/>
          <w:lang w:val="pt-BR"/>
        </w:rPr>
      </w:pPr>
      <w:r>
        <w:rPr>
          <w:lang w:val="pt-BR"/>
        </w:rPr>
        <w:lastRenderedPageBreak/>
        <w:t>9</w:t>
      </w:r>
      <w:r w:rsidRPr="004A0AA3">
        <w:rPr>
          <w:lang w:val="pt-BR"/>
        </w:rPr>
        <w:t>.</w:t>
      </w:r>
      <w:r>
        <w:rPr>
          <w:lang w:val="pt-BR"/>
        </w:rPr>
        <w:t>4</w:t>
      </w:r>
      <w:r w:rsidRPr="004A0AA3">
        <w:rPr>
          <w:lang w:val="pt-BR"/>
        </w:rPr>
        <w:t>.</w:t>
      </w:r>
      <w:r>
        <w:rPr>
          <w:lang w:val="pt-BR"/>
        </w:rPr>
        <w:t>1.</w:t>
      </w:r>
      <w:r w:rsidRPr="004A0AA3">
        <w:rPr>
          <w:lang w:val="pt-BR"/>
        </w:rPr>
        <w:t xml:space="preserve"> </w:t>
      </w:r>
      <w:r w:rsidR="00E85D83">
        <w:rPr>
          <w:lang w:val="pt-BR"/>
        </w:rPr>
        <w:t>C</w:t>
      </w:r>
      <w:r>
        <w:rPr>
          <w:lang w:val="pt-BR"/>
        </w:rPr>
        <w:t>arteira de ativos</w:t>
      </w:r>
    </w:p>
    <w:p w14:paraId="1A93F4CE" w14:textId="73039950" w:rsidR="00E85D83" w:rsidRDefault="00AF6271" w:rsidP="00E85D83">
      <w:pPr>
        <w:ind w:left="6"/>
        <w:rPr>
          <w:lang w:val="pt-BR"/>
        </w:rPr>
      </w:pPr>
      <w:r>
        <w:rPr>
          <w:lang w:val="pt-BR"/>
        </w:rPr>
        <w:t>Consulta à</w:t>
      </w:r>
      <w:r w:rsidR="00E85D83">
        <w:rPr>
          <w:lang w:val="pt-BR"/>
        </w:rPr>
        <w:t xml:space="preserve"> </w:t>
      </w:r>
      <w:r w:rsidR="00E85D83" w:rsidRPr="00817F37">
        <w:rPr>
          <w:lang w:val="pt-BR"/>
        </w:rPr>
        <w:t>carteira de ativos d</w:t>
      </w:r>
      <w:r w:rsidR="00447ACD">
        <w:rPr>
          <w:lang w:val="pt-BR"/>
        </w:rPr>
        <w:t xml:space="preserve">e um </w:t>
      </w:r>
      <w:r w:rsidR="00E85D83" w:rsidRPr="00817F37">
        <w:rPr>
          <w:lang w:val="pt-BR"/>
        </w:rPr>
        <w:t>fundo F</w:t>
      </w:r>
      <w:r w:rsidR="00447ACD">
        <w:rPr>
          <w:vertAlign w:val="subscript"/>
          <w:lang w:val="pt-BR"/>
        </w:rPr>
        <w:t>0</w:t>
      </w:r>
      <w:r w:rsidR="00E85D83" w:rsidRPr="00817F37">
        <w:rPr>
          <w:lang w:val="pt-BR"/>
        </w:rPr>
        <w:t xml:space="preserve"> (</w:t>
      </w:r>
      <w:r w:rsidR="00E85D83" w:rsidRPr="00B34C80">
        <w:rPr>
          <w:b/>
          <w:bCs/>
          <w:lang w:val="pt-BR"/>
        </w:rPr>
        <w:t>Catv</w:t>
      </w:r>
      <w:r w:rsidR="00447ACD">
        <w:rPr>
          <w:b/>
          <w:bCs/>
          <w:vertAlign w:val="subscript"/>
          <w:lang w:val="pt-BR"/>
        </w:rPr>
        <w:t>0</w:t>
      </w:r>
      <w:r w:rsidR="00E85D83">
        <w:rPr>
          <w:lang w:val="pt-BR"/>
        </w:rPr>
        <w:t>)</w:t>
      </w:r>
      <w:r>
        <w:rPr>
          <w:lang w:val="pt-BR"/>
        </w:rPr>
        <w:t>:</w:t>
      </w:r>
    </w:p>
    <w:p w14:paraId="6C1D96AF" w14:textId="77777777" w:rsidR="009132AB" w:rsidRDefault="009132AB" w:rsidP="00E85D83">
      <w:pPr>
        <w:ind w:left="6"/>
        <w:rPr>
          <w:lang w:val="pt-BR"/>
        </w:rPr>
      </w:pPr>
    </w:p>
    <w:p w14:paraId="04EDA174" w14:textId="7ED305D8" w:rsidR="008B779F" w:rsidRDefault="008B779F" w:rsidP="00E85D83">
      <w:pPr>
        <w:ind w:left="6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05BD1B2" wp14:editId="12F5E807">
            <wp:extent cx="5397500" cy="424180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9A0F" w14:textId="2B773B0A" w:rsidR="00260C9F" w:rsidRPr="00447ACD" w:rsidRDefault="00447ACD" w:rsidP="00C66230">
      <w:pPr>
        <w:pStyle w:val="Legenda"/>
        <w:jc w:val="both"/>
        <w:rPr>
          <w:lang w:val="pt-BR"/>
        </w:rPr>
      </w:pPr>
      <w:r w:rsidRPr="00447ACD">
        <w:rPr>
          <w:lang w:val="pt-BR"/>
        </w:rPr>
        <w:t xml:space="preserve">Figura </w:t>
      </w:r>
      <w:r>
        <w:fldChar w:fldCharType="begin"/>
      </w:r>
      <w:r w:rsidRPr="00447ACD">
        <w:rPr>
          <w:lang w:val="pt-BR"/>
        </w:rPr>
        <w:instrText xml:space="preserve"> SEQ Figura \* ARABIC </w:instrText>
      </w:r>
      <w:r>
        <w:fldChar w:fldCharType="separate"/>
      </w:r>
      <w:r w:rsidR="00245081">
        <w:rPr>
          <w:noProof/>
          <w:lang w:val="pt-BR"/>
        </w:rPr>
        <w:t>9</w:t>
      </w:r>
      <w:r>
        <w:fldChar w:fldCharType="end"/>
      </w:r>
      <w:r w:rsidRPr="00447ACD">
        <w:rPr>
          <w:lang w:val="pt-BR"/>
        </w:rPr>
        <w:t>. Carteira de a</w:t>
      </w:r>
      <w:r>
        <w:rPr>
          <w:lang w:val="pt-BR"/>
        </w:rPr>
        <w:t>tivos</w:t>
      </w:r>
      <w:r w:rsidR="00C66230">
        <w:rPr>
          <w:lang w:val="pt-BR"/>
        </w:rPr>
        <w:t xml:space="preserve"> do fundo VITREO FOF Melhores Fundos FIC Multimercado CP (CNPJ: </w:t>
      </w:r>
      <w:r w:rsidR="00C66230" w:rsidRPr="00C66230">
        <w:rPr>
          <w:lang w:val="pt-BR"/>
        </w:rPr>
        <w:t>30.509.286/0001-04</w:t>
      </w:r>
      <w:r w:rsidR="00C66230">
        <w:rPr>
          <w:lang w:val="pt-BR"/>
        </w:rPr>
        <w:t>)</w:t>
      </w:r>
    </w:p>
    <w:p w14:paraId="3A07DB53" w14:textId="462AA4E5" w:rsidR="00AD6F8E" w:rsidRDefault="00AD6F8E" w:rsidP="00AD6F8E">
      <w:pPr>
        <w:rPr>
          <w:lang w:val="pt-BR"/>
        </w:rPr>
      </w:pPr>
    </w:p>
    <w:p w14:paraId="6D04BFA1" w14:textId="6A38668B" w:rsidR="009132AB" w:rsidRDefault="009132AB">
      <w:pPr>
        <w:tabs>
          <w:tab w:val="clear" w:pos="720"/>
        </w:tabs>
        <w:spacing w:before="0"/>
        <w:jc w:val="left"/>
        <w:rPr>
          <w:lang w:val="pt-BR"/>
        </w:rPr>
      </w:pPr>
      <w:r>
        <w:rPr>
          <w:lang w:val="pt-BR"/>
        </w:rPr>
        <w:br w:type="page"/>
      </w:r>
    </w:p>
    <w:p w14:paraId="6463BB6C" w14:textId="26A9E902" w:rsidR="00447ACD" w:rsidRPr="004A0AA3" w:rsidRDefault="00447ACD" w:rsidP="00447ACD">
      <w:pPr>
        <w:pStyle w:val="Ttulo2"/>
        <w:rPr>
          <w:u w:val="single"/>
          <w:lang w:val="pt-BR"/>
        </w:rPr>
      </w:pPr>
      <w:r>
        <w:rPr>
          <w:lang w:val="pt-BR"/>
        </w:rPr>
        <w:lastRenderedPageBreak/>
        <w:t>9</w:t>
      </w:r>
      <w:r w:rsidRPr="004A0AA3">
        <w:rPr>
          <w:lang w:val="pt-BR"/>
        </w:rPr>
        <w:t>.</w:t>
      </w:r>
      <w:r>
        <w:rPr>
          <w:lang w:val="pt-BR"/>
        </w:rPr>
        <w:t>4</w:t>
      </w:r>
      <w:r w:rsidRPr="004A0AA3">
        <w:rPr>
          <w:lang w:val="pt-BR"/>
        </w:rPr>
        <w:t>.</w:t>
      </w:r>
      <w:r w:rsidR="00AF6271">
        <w:rPr>
          <w:lang w:val="pt-BR"/>
        </w:rPr>
        <w:t>2</w:t>
      </w:r>
      <w:r>
        <w:rPr>
          <w:lang w:val="pt-BR"/>
        </w:rPr>
        <w:t>.</w:t>
      </w:r>
      <w:r w:rsidRPr="004A0AA3">
        <w:rPr>
          <w:lang w:val="pt-BR"/>
        </w:rPr>
        <w:t xml:space="preserve"> </w:t>
      </w:r>
      <w:r>
        <w:rPr>
          <w:lang w:val="pt-BR"/>
        </w:rPr>
        <w:t>Carteira simples</w:t>
      </w:r>
    </w:p>
    <w:p w14:paraId="4EB08178" w14:textId="0CF7D948" w:rsidR="00447ACD" w:rsidRDefault="00447ACD" w:rsidP="00AD6F8E">
      <w:pPr>
        <w:rPr>
          <w:lang w:val="pt-BR"/>
        </w:rPr>
      </w:pPr>
      <w:r>
        <w:rPr>
          <w:lang w:val="pt-BR"/>
        </w:rPr>
        <w:t xml:space="preserve">Consulta à carteira simples de um fundo </w:t>
      </w:r>
      <w:r w:rsidRPr="00817F37">
        <w:rPr>
          <w:lang w:val="pt-BR"/>
        </w:rPr>
        <w:t>F</w:t>
      </w:r>
      <w:r>
        <w:rPr>
          <w:vertAlign w:val="subscript"/>
          <w:lang w:val="pt-BR"/>
        </w:rPr>
        <w:t>0</w:t>
      </w:r>
      <w:r w:rsidRPr="00817F37">
        <w:rPr>
          <w:lang w:val="pt-BR"/>
        </w:rPr>
        <w:t xml:space="preserve"> (</w:t>
      </w:r>
      <w:r w:rsidRPr="00B34C80">
        <w:rPr>
          <w:b/>
          <w:bCs/>
          <w:lang w:val="pt-BR"/>
        </w:rPr>
        <w:t>C</w:t>
      </w:r>
      <w:r>
        <w:rPr>
          <w:b/>
          <w:bCs/>
          <w:vertAlign w:val="subscript"/>
          <w:lang w:val="pt-BR"/>
        </w:rPr>
        <w:t>0</w:t>
      </w:r>
      <w:r>
        <w:rPr>
          <w:lang w:val="pt-BR"/>
        </w:rPr>
        <w:t>):</w:t>
      </w:r>
    </w:p>
    <w:p w14:paraId="1B575A6D" w14:textId="331883B1" w:rsidR="00447ACD" w:rsidRDefault="00447ACD" w:rsidP="00AD6F8E">
      <w:pPr>
        <w:rPr>
          <w:lang w:val="pt-BR"/>
        </w:rPr>
      </w:pPr>
    </w:p>
    <w:p w14:paraId="10FE5C95" w14:textId="77777777" w:rsidR="00AF6271" w:rsidRDefault="00AF6271" w:rsidP="00AF6271">
      <w:pPr>
        <w:keepNext/>
      </w:pPr>
      <w:r>
        <w:rPr>
          <w:noProof/>
        </w:rPr>
        <w:drawing>
          <wp:inline distT="0" distB="0" distL="0" distR="0" wp14:anchorId="2AC07060" wp14:editId="2190B9B8">
            <wp:extent cx="5400675" cy="4359275"/>
            <wp:effectExtent l="0" t="0" r="9525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D93E" w14:textId="6DE3A0E9" w:rsidR="00AF6271" w:rsidRPr="00AF6271" w:rsidRDefault="00AF6271" w:rsidP="004F1158">
      <w:pPr>
        <w:pStyle w:val="Legenda"/>
        <w:jc w:val="both"/>
        <w:rPr>
          <w:lang w:val="pt-BR"/>
        </w:rPr>
      </w:pPr>
      <w:r w:rsidRPr="00AF6271">
        <w:rPr>
          <w:lang w:val="pt-BR"/>
        </w:rPr>
        <w:t xml:space="preserve">Figura </w:t>
      </w:r>
      <w:r>
        <w:fldChar w:fldCharType="begin"/>
      </w:r>
      <w:r w:rsidRPr="00AF6271">
        <w:rPr>
          <w:lang w:val="pt-BR"/>
        </w:rPr>
        <w:instrText xml:space="preserve"> SEQ Figura \* ARABIC </w:instrText>
      </w:r>
      <w:r>
        <w:fldChar w:fldCharType="separate"/>
      </w:r>
      <w:r w:rsidR="00245081">
        <w:rPr>
          <w:noProof/>
          <w:lang w:val="pt-BR"/>
        </w:rPr>
        <w:t>10</w:t>
      </w:r>
      <w:r>
        <w:fldChar w:fldCharType="end"/>
      </w:r>
      <w:r w:rsidRPr="00AF6271">
        <w:rPr>
          <w:lang w:val="pt-BR"/>
        </w:rPr>
        <w:t>. Carteir</w:t>
      </w:r>
      <w:r>
        <w:rPr>
          <w:lang w:val="pt-BR"/>
        </w:rPr>
        <w:t>a simples</w:t>
      </w:r>
      <w:r w:rsidR="004F1158">
        <w:rPr>
          <w:lang w:val="pt-BR"/>
        </w:rPr>
        <w:t xml:space="preserve"> do fundo VITREO FOF Melhores Fundos FIC Multimercado CP (CNPJ: </w:t>
      </w:r>
      <w:r w:rsidR="004F1158" w:rsidRPr="00C66230">
        <w:rPr>
          <w:lang w:val="pt-BR"/>
        </w:rPr>
        <w:t>30.509.286/0001-04</w:t>
      </w:r>
      <w:r w:rsidR="004F1158">
        <w:rPr>
          <w:lang w:val="pt-BR"/>
        </w:rPr>
        <w:t>)</w:t>
      </w:r>
    </w:p>
    <w:p w14:paraId="5253C798" w14:textId="1A83781F" w:rsidR="00AF6271" w:rsidRDefault="00AF6271" w:rsidP="00AD6F8E">
      <w:pPr>
        <w:rPr>
          <w:lang w:val="pt-BR"/>
        </w:rPr>
      </w:pPr>
    </w:p>
    <w:p w14:paraId="40A40AF6" w14:textId="70456711" w:rsidR="009132AB" w:rsidRDefault="009132AB">
      <w:pPr>
        <w:tabs>
          <w:tab w:val="clear" w:pos="720"/>
        </w:tabs>
        <w:spacing w:before="0"/>
        <w:jc w:val="left"/>
        <w:rPr>
          <w:lang w:val="pt-BR"/>
        </w:rPr>
      </w:pPr>
      <w:r>
        <w:rPr>
          <w:lang w:val="pt-BR"/>
        </w:rPr>
        <w:br w:type="page"/>
      </w:r>
    </w:p>
    <w:p w14:paraId="3F3CBF0E" w14:textId="7C1E8A2B" w:rsidR="00AF6271" w:rsidRPr="004A0AA3" w:rsidRDefault="00AF6271" w:rsidP="00AF6271">
      <w:pPr>
        <w:pStyle w:val="Ttulo2"/>
        <w:rPr>
          <w:u w:val="single"/>
          <w:lang w:val="pt-BR"/>
        </w:rPr>
      </w:pPr>
      <w:r>
        <w:rPr>
          <w:lang w:val="pt-BR"/>
        </w:rPr>
        <w:lastRenderedPageBreak/>
        <w:t>9</w:t>
      </w:r>
      <w:r w:rsidRPr="004A0AA3">
        <w:rPr>
          <w:lang w:val="pt-BR"/>
        </w:rPr>
        <w:t>.</w:t>
      </w:r>
      <w:r>
        <w:rPr>
          <w:lang w:val="pt-BR"/>
        </w:rPr>
        <w:t>4</w:t>
      </w:r>
      <w:r w:rsidRPr="004A0AA3">
        <w:rPr>
          <w:lang w:val="pt-BR"/>
        </w:rPr>
        <w:t>.</w:t>
      </w:r>
      <w:r>
        <w:rPr>
          <w:lang w:val="pt-BR"/>
        </w:rPr>
        <w:t>3.</w:t>
      </w:r>
      <w:r w:rsidRPr="004A0AA3">
        <w:rPr>
          <w:lang w:val="pt-BR"/>
        </w:rPr>
        <w:t xml:space="preserve"> </w:t>
      </w:r>
      <w:r>
        <w:rPr>
          <w:lang w:val="pt-BR"/>
        </w:rPr>
        <w:t>Carteira expandida (nível 1)</w:t>
      </w:r>
    </w:p>
    <w:p w14:paraId="77412D95" w14:textId="02B3D79D" w:rsidR="00C66230" w:rsidRDefault="00C66230" w:rsidP="00C66230">
      <w:pPr>
        <w:rPr>
          <w:lang w:val="pt-BR"/>
        </w:rPr>
      </w:pPr>
      <w:r>
        <w:rPr>
          <w:lang w:val="pt-BR"/>
        </w:rPr>
        <w:t xml:space="preserve">Consulta à carteira expandida de nível 1 de um fundo </w:t>
      </w:r>
      <w:r w:rsidRPr="00817F37">
        <w:rPr>
          <w:lang w:val="pt-BR"/>
        </w:rPr>
        <w:t>F</w:t>
      </w:r>
      <w:r>
        <w:rPr>
          <w:vertAlign w:val="subscript"/>
          <w:lang w:val="pt-BR"/>
        </w:rPr>
        <w:t>0</w:t>
      </w:r>
      <w:r w:rsidRPr="00817F37">
        <w:rPr>
          <w:lang w:val="pt-BR"/>
        </w:rPr>
        <w:t xml:space="preserve"> </w:t>
      </w:r>
      <w:r w:rsidRPr="00B34C80">
        <w:rPr>
          <w:lang w:val="pt-BR"/>
        </w:rPr>
        <w:t>(</w:t>
      </w:r>
      <w:r w:rsidRPr="00B34C80">
        <w:rPr>
          <w:b/>
          <w:bCs/>
          <w:lang w:val="pt-BR"/>
        </w:rPr>
        <w:t>Ce</w:t>
      </w:r>
      <w:r w:rsidRPr="00B34C80">
        <w:rPr>
          <w:b/>
          <w:bCs/>
          <w:vertAlign w:val="subscript"/>
          <w:lang w:val="pt-BR"/>
        </w:rPr>
        <w:t>0</w:t>
      </w:r>
      <w:r w:rsidRPr="00B34C80">
        <w:rPr>
          <w:b/>
          <w:bCs/>
          <w:vertAlign w:val="superscript"/>
          <w:lang w:val="pt-BR"/>
        </w:rPr>
        <w:t>1</w:t>
      </w:r>
      <w:r w:rsidRPr="00B34C80">
        <w:rPr>
          <w:lang w:val="pt-BR"/>
        </w:rPr>
        <w:t>)</w:t>
      </w:r>
      <w:r>
        <w:rPr>
          <w:lang w:val="pt-BR"/>
        </w:rPr>
        <w:t>:</w:t>
      </w:r>
    </w:p>
    <w:p w14:paraId="5FCFBAC3" w14:textId="11DAB176" w:rsidR="00AF6271" w:rsidRDefault="00AF6271" w:rsidP="00AD6F8E">
      <w:pPr>
        <w:rPr>
          <w:lang w:val="pt-BR"/>
        </w:rPr>
      </w:pPr>
    </w:p>
    <w:p w14:paraId="0DD6BCAF" w14:textId="2D2398DA" w:rsidR="00C66230" w:rsidRDefault="005C6D81" w:rsidP="00AD6F8E">
      <w:pPr>
        <w:rPr>
          <w:lang w:val="pt-BR"/>
        </w:rPr>
      </w:pPr>
      <w:r>
        <w:rPr>
          <w:noProof/>
        </w:rPr>
        <w:drawing>
          <wp:inline distT="0" distB="0" distL="0" distR="0" wp14:anchorId="49ABBBAF" wp14:editId="7DF6FEFE">
            <wp:extent cx="5400675" cy="2265680"/>
            <wp:effectExtent l="0" t="0" r="952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CDB1" w14:textId="12FFB172" w:rsidR="00C66230" w:rsidRPr="00C66230" w:rsidRDefault="00C66230" w:rsidP="00C66230">
      <w:pPr>
        <w:pStyle w:val="Legenda"/>
        <w:rPr>
          <w:lang w:val="pt-BR"/>
        </w:rPr>
      </w:pPr>
      <w:r w:rsidRPr="00C66230">
        <w:rPr>
          <w:lang w:val="pt-BR"/>
        </w:rPr>
        <w:t xml:space="preserve">Figura </w:t>
      </w:r>
      <w:r>
        <w:fldChar w:fldCharType="begin"/>
      </w:r>
      <w:r w:rsidRPr="00C66230">
        <w:rPr>
          <w:lang w:val="pt-BR"/>
        </w:rPr>
        <w:instrText xml:space="preserve"> SEQ Figura \* ARABIC </w:instrText>
      </w:r>
      <w:r>
        <w:fldChar w:fldCharType="separate"/>
      </w:r>
      <w:r w:rsidR="00245081">
        <w:rPr>
          <w:noProof/>
          <w:lang w:val="pt-BR"/>
        </w:rPr>
        <w:t>11</w:t>
      </w:r>
      <w:r>
        <w:fldChar w:fldCharType="end"/>
      </w:r>
      <w:r w:rsidRPr="00C66230">
        <w:rPr>
          <w:lang w:val="pt-BR"/>
        </w:rPr>
        <w:t>. C</w:t>
      </w:r>
      <w:r>
        <w:rPr>
          <w:lang w:val="pt-BR"/>
        </w:rPr>
        <w:t>onsulta à c</w:t>
      </w:r>
      <w:r w:rsidRPr="00C66230">
        <w:rPr>
          <w:lang w:val="pt-BR"/>
        </w:rPr>
        <w:t xml:space="preserve">arteira </w:t>
      </w:r>
      <w:r>
        <w:rPr>
          <w:lang w:val="pt-BR"/>
        </w:rPr>
        <w:t>expandida nível 1</w:t>
      </w:r>
    </w:p>
    <w:p w14:paraId="1D7BDA17" w14:textId="1EC433E3" w:rsidR="00AF6271" w:rsidRPr="004A0AA3" w:rsidRDefault="00AF6271" w:rsidP="00AF6271">
      <w:pPr>
        <w:pStyle w:val="Ttulo2"/>
        <w:rPr>
          <w:u w:val="single"/>
          <w:lang w:val="pt-BR"/>
        </w:rPr>
      </w:pPr>
      <w:r>
        <w:rPr>
          <w:lang w:val="pt-BR"/>
        </w:rPr>
        <w:t>9</w:t>
      </w:r>
      <w:r w:rsidRPr="004A0AA3">
        <w:rPr>
          <w:lang w:val="pt-BR"/>
        </w:rPr>
        <w:t>.</w:t>
      </w:r>
      <w:r>
        <w:rPr>
          <w:lang w:val="pt-BR"/>
        </w:rPr>
        <w:t>4</w:t>
      </w:r>
      <w:r w:rsidRPr="004A0AA3">
        <w:rPr>
          <w:lang w:val="pt-BR"/>
        </w:rPr>
        <w:t>.</w:t>
      </w:r>
      <w:r w:rsidR="008B779F">
        <w:rPr>
          <w:lang w:val="pt-BR"/>
        </w:rPr>
        <w:t>4</w:t>
      </w:r>
      <w:r>
        <w:rPr>
          <w:lang w:val="pt-BR"/>
        </w:rPr>
        <w:t>.</w:t>
      </w:r>
      <w:r w:rsidRPr="004A0AA3">
        <w:rPr>
          <w:lang w:val="pt-BR"/>
        </w:rPr>
        <w:t xml:space="preserve"> </w:t>
      </w:r>
      <w:r>
        <w:rPr>
          <w:lang w:val="pt-BR"/>
        </w:rPr>
        <w:t xml:space="preserve">Carteira expandida (nível </w:t>
      </w:r>
      <w:r w:rsidR="004F1158">
        <w:rPr>
          <w:lang w:val="pt-BR"/>
        </w:rPr>
        <w:t>2</w:t>
      </w:r>
      <w:r>
        <w:rPr>
          <w:lang w:val="pt-BR"/>
        </w:rPr>
        <w:t>)</w:t>
      </w:r>
    </w:p>
    <w:p w14:paraId="7B877861" w14:textId="082C7E42" w:rsidR="004F1158" w:rsidRDefault="004F1158" w:rsidP="004F1158">
      <w:pPr>
        <w:rPr>
          <w:lang w:val="pt-BR"/>
        </w:rPr>
      </w:pPr>
      <w:r>
        <w:rPr>
          <w:lang w:val="pt-BR"/>
        </w:rPr>
        <w:t xml:space="preserve">Consulta à carteira expandida de nível 2 de um fundo </w:t>
      </w:r>
      <w:r w:rsidRPr="00817F37">
        <w:rPr>
          <w:lang w:val="pt-BR"/>
        </w:rPr>
        <w:t>F</w:t>
      </w:r>
      <w:r>
        <w:rPr>
          <w:vertAlign w:val="subscript"/>
          <w:lang w:val="pt-BR"/>
        </w:rPr>
        <w:t>0</w:t>
      </w:r>
      <w:r w:rsidRPr="00817F37">
        <w:rPr>
          <w:lang w:val="pt-BR"/>
        </w:rPr>
        <w:t xml:space="preserve"> </w:t>
      </w:r>
      <w:r w:rsidRPr="00B34C80">
        <w:rPr>
          <w:lang w:val="pt-BR"/>
        </w:rPr>
        <w:t>(</w:t>
      </w:r>
      <w:r w:rsidRPr="00B34C80">
        <w:rPr>
          <w:b/>
          <w:bCs/>
          <w:lang w:val="pt-BR"/>
        </w:rPr>
        <w:t>Ce</w:t>
      </w:r>
      <w:r w:rsidRPr="00B34C80">
        <w:rPr>
          <w:b/>
          <w:bCs/>
          <w:vertAlign w:val="subscript"/>
          <w:lang w:val="pt-BR"/>
        </w:rPr>
        <w:t>0</w:t>
      </w:r>
      <w:r>
        <w:rPr>
          <w:b/>
          <w:bCs/>
          <w:vertAlign w:val="superscript"/>
          <w:lang w:val="pt-BR"/>
        </w:rPr>
        <w:t>2</w:t>
      </w:r>
      <w:r w:rsidRPr="00B34C80">
        <w:rPr>
          <w:lang w:val="pt-BR"/>
        </w:rPr>
        <w:t>)</w:t>
      </w:r>
      <w:r>
        <w:rPr>
          <w:lang w:val="pt-BR"/>
        </w:rPr>
        <w:t>:</w:t>
      </w:r>
    </w:p>
    <w:p w14:paraId="2CB7AD30" w14:textId="0EFDFEF3" w:rsidR="00AF6271" w:rsidRDefault="00AF6271" w:rsidP="00AD6F8E">
      <w:pPr>
        <w:rPr>
          <w:lang w:val="pt-BR"/>
        </w:rPr>
      </w:pPr>
    </w:p>
    <w:p w14:paraId="5FDC826D" w14:textId="0DCD449B" w:rsidR="00245081" w:rsidRDefault="005C6D81" w:rsidP="00245081">
      <w:pPr>
        <w:keepNext/>
      </w:pPr>
      <w:r>
        <w:rPr>
          <w:noProof/>
        </w:rPr>
        <w:drawing>
          <wp:inline distT="0" distB="0" distL="0" distR="0" wp14:anchorId="16CD9F77" wp14:editId="4B44E016">
            <wp:extent cx="5400675" cy="284162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5D4F" w14:textId="412C3761" w:rsidR="004F1158" w:rsidRPr="00245081" w:rsidRDefault="00245081" w:rsidP="00245081">
      <w:pPr>
        <w:pStyle w:val="Legenda"/>
        <w:rPr>
          <w:lang w:val="pt-BR"/>
        </w:rPr>
      </w:pPr>
      <w:r w:rsidRPr="00245081">
        <w:rPr>
          <w:lang w:val="pt-BR"/>
        </w:rPr>
        <w:t xml:space="preserve">Figura </w:t>
      </w:r>
      <w:r>
        <w:fldChar w:fldCharType="begin"/>
      </w:r>
      <w:r w:rsidRPr="00245081">
        <w:rPr>
          <w:lang w:val="pt-BR"/>
        </w:rPr>
        <w:instrText xml:space="preserve"> SEQ Figura \* ARABIC </w:instrText>
      </w:r>
      <w:r>
        <w:fldChar w:fldCharType="separate"/>
      </w:r>
      <w:r w:rsidRPr="00245081">
        <w:rPr>
          <w:noProof/>
          <w:lang w:val="pt-BR"/>
        </w:rPr>
        <w:t>12</w:t>
      </w:r>
      <w:r>
        <w:fldChar w:fldCharType="end"/>
      </w:r>
      <w:r w:rsidRPr="00245081">
        <w:rPr>
          <w:lang w:val="pt-BR"/>
        </w:rPr>
        <w:t>. Consulta à c</w:t>
      </w:r>
      <w:r>
        <w:rPr>
          <w:lang w:val="pt-BR"/>
        </w:rPr>
        <w:t>arteira expandida de nível 2</w:t>
      </w:r>
    </w:p>
    <w:p w14:paraId="05416778" w14:textId="77913E55" w:rsidR="009132AB" w:rsidRDefault="009132AB">
      <w:pPr>
        <w:tabs>
          <w:tab w:val="clear" w:pos="720"/>
        </w:tabs>
        <w:spacing w:before="0"/>
        <w:jc w:val="left"/>
        <w:rPr>
          <w:lang w:val="pt-BR"/>
        </w:rPr>
      </w:pPr>
      <w:r>
        <w:rPr>
          <w:lang w:val="pt-BR"/>
        </w:rPr>
        <w:br w:type="page"/>
      </w:r>
    </w:p>
    <w:p w14:paraId="0A02B564" w14:textId="51CE0B1B" w:rsidR="00894993" w:rsidRPr="00A51832" w:rsidRDefault="00894993" w:rsidP="00894993">
      <w:pPr>
        <w:pStyle w:val="Ttulo1"/>
        <w:rPr>
          <w:lang w:val="pt-BR"/>
        </w:rPr>
      </w:pPr>
      <w:r>
        <w:rPr>
          <w:lang w:val="pt-BR"/>
        </w:rPr>
        <w:lastRenderedPageBreak/>
        <w:t>10</w:t>
      </w:r>
      <w:r w:rsidRPr="00A51832">
        <w:rPr>
          <w:lang w:val="pt-BR"/>
        </w:rPr>
        <w:t xml:space="preserve">. </w:t>
      </w:r>
      <w:r>
        <w:rPr>
          <w:lang w:val="pt-BR"/>
        </w:rPr>
        <w:t>Conclusão</w:t>
      </w:r>
    </w:p>
    <w:p w14:paraId="6830CBE1" w14:textId="77777777" w:rsidR="00803254" w:rsidRDefault="00803254" w:rsidP="000D57D0">
      <w:pPr>
        <w:rPr>
          <w:lang w:val="pt-BR"/>
        </w:rPr>
      </w:pPr>
      <w:r>
        <w:rPr>
          <w:lang w:val="pt-BR"/>
        </w:rPr>
        <w:t xml:space="preserve">Todas as etapas da prova de conceito estão documentadas no </w:t>
      </w:r>
      <w:hyperlink r:id="rId45" w:history="1">
        <w:r w:rsidRPr="00803254">
          <w:rPr>
            <w:rStyle w:val="Hyperlink"/>
            <w:lang w:val="pt-BR"/>
          </w:rPr>
          <w:t>GitHub</w:t>
        </w:r>
      </w:hyperlink>
      <w:r>
        <w:rPr>
          <w:lang w:val="pt-BR"/>
        </w:rPr>
        <w:t xml:space="preserve">, incluindo: </w:t>
      </w:r>
    </w:p>
    <w:p w14:paraId="3EEF2DCB" w14:textId="7122AF26" w:rsidR="00803254" w:rsidRDefault="00803254" w:rsidP="00803254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lang w:val="pt-BR"/>
        </w:rPr>
        <w:t xml:space="preserve">O </w:t>
      </w:r>
      <w:r w:rsidRPr="00803254">
        <w:rPr>
          <w:lang w:val="pt-BR"/>
        </w:rPr>
        <w:t>código Python utilizado para coletar e preparar os dados para carga no banco de dados de grafos</w:t>
      </w:r>
      <w:r>
        <w:rPr>
          <w:lang w:val="pt-BR"/>
        </w:rPr>
        <w:t>;</w:t>
      </w:r>
    </w:p>
    <w:p w14:paraId="01C9B948" w14:textId="6C4B21A8" w:rsidR="00F17F05" w:rsidRDefault="00F17F05" w:rsidP="00F17F05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lang w:val="pt-BR"/>
        </w:rPr>
        <w:t>Os arquivos de dados fonte obtidos</w:t>
      </w:r>
      <w:r w:rsidR="008A0638">
        <w:rPr>
          <w:lang w:val="pt-BR"/>
        </w:rPr>
        <w:t xml:space="preserve"> para o processo de preparação</w:t>
      </w:r>
      <w:r>
        <w:rPr>
          <w:lang w:val="pt-BR"/>
        </w:rPr>
        <w:t>;</w:t>
      </w:r>
    </w:p>
    <w:p w14:paraId="1CE245C7" w14:textId="49484554" w:rsidR="00803254" w:rsidRDefault="00F17F05" w:rsidP="00803254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lang w:val="pt-BR"/>
        </w:rPr>
        <w:t>Os p</w:t>
      </w:r>
      <w:r w:rsidR="00803254">
        <w:rPr>
          <w:lang w:val="pt-BR"/>
        </w:rPr>
        <w:t>rocedimento</w:t>
      </w:r>
      <w:r>
        <w:rPr>
          <w:lang w:val="pt-BR"/>
        </w:rPr>
        <w:t>s</w:t>
      </w:r>
      <w:r w:rsidR="00803254">
        <w:rPr>
          <w:lang w:val="pt-BR"/>
        </w:rPr>
        <w:t xml:space="preserve"> de instalação, configuração e carga do servidor de banco de dados DSE Graph</w:t>
      </w:r>
      <w:r>
        <w:rPr>
          <w:lang w:val="pt-BR"/>
        </w:rPr>
        <w:t>;</w:t>
      </w:r>
    </w:p>
    <w:p w14:paraId="01A0B925" w14:textId="6492CFA0" w:rsidR="00F17F05" w:rsidRPr="00803254" w:rsidRDefault="00F17F05" w:rsidP="00803254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lang w:val="pt-BR"/>
        </w:rPr>
        <w:t xml:space="preserve">O código Gremlin construído para explorar e consultar o grafo de carteira de fundos, bem como os resultados </w:t>
      </w:r>
      <w:r w:rsidR="006A7C91">
        <w:rPr>
          <w:lang w:val="pt-BR"/>
        </w:rPr>
        <w:t>obtidos</w:t>
      </w:r>
      <w:r w:rsidR="00751F10">
        <w:rPr>
          <w:lang w:val="pt-BR"/>
        </w:rPr>
        <w:t>.</w:t>
      </w:r>
    </w:p>
    <w:p w14:paraId="7EB1E30F" w14:textId="1D5C7F3F" w:rsidR="006A7C91" w:rsidRDefault="008B7378" w:rsidP="008B7378">
      <w:pPr>
        <w:ind w:left="360"/>
        <w:rPr>
          <w:lang w:val="pt-BR"/>
        </w:rPr>
      </w:pPr>
      <w:r>
        <w:rPr>
          <w:lang w:val="pt-BR"/>
        </w:rPr>
        <w:tab/>
      </w:r>
      <w:r w:rsidR="006A7C91">
        <w:rPr>
          <w:lang w:val="pt-BR"/>
        </w:rPr>
        <w:t xml:space="preserve">As consultas ao grafo exemplificadas neste artigo fornecem respostas às perguntas levantadas na seção 4, que são </w:t>
      </w:r>
      <w:r w:rsidR="00E400A0">
        <w:rPr>
          <w:lang w:val="pt-BR"/>
        </w:rPr>
        <w:t>casos de uso</w:t>
      </w:r>
      <w:r w:rsidR="006A7C91">
        <w:rPr>
          <w:lang w:val="pt-BR"/>
        </w:rPr>
        <w:t xml:space="preserve"> típicos </w:t>
      </w:r>
      <w:r w:rsidR="00E400A0">
        <w:rPr>
          <w:lang w:val="pt-BR"/>
        </w:rPr>
        <w:t>das soluções</w:t>
      </w:r>
      <w:r w:rsidR="006A7C91">
        <w:rPr>
          <w:lang w:val="pt-BR"/>
        </w:rPr>
        <w:t xml:space="preserve"> orientada</w:t>
      </w:r>
      <w:r w:rsidR="00E400A0">
        <w:rPr>
          <w:lang w:val="pt-BR"/>
        </w:rPr>
        <w:t>s</w:t>
      </w:r>
      <w:r w:rsidR="006A7C91">
        <w:rPr>
          <w:lang w:val="pt-BR"/>
        </w:rPr>
        <w:t xml:space="preserve"> a grafos.</w:t>
      </w:r>
      <w:r w:rsidR="00E400A0">
        <w:rPr>
          <w:lang w:val="pt-BR"/>
        </w:rPr>
        <w:t xml:space="preserve"> </w:t>
      </w:r>
      <w:r w:rsidR="008A0638">
        <w:rPr>
          <w:lang w:val="pt-BR"/>
        </w:rPr>
        <w:t>Além disso</w:t>
      </w:r>
      <w:r w:rsidR="00E400A0">
        <w:rPr>
          <w:lang w:val="pt-BR"/>
        </w:rPr>
        <w:t xml:space="preserve">, </w:t>
      </w:r>
      <w:r>
        <w:rPr>
          <w:lang w:val="pt-BR"/>
        </w:rPr>
        <w:t xml:space="preserve">tipos de </w:t>
      </w:r>
      <w:r w:rsidR="00E400A0">
        <w:rPr>
          <w:lang w:val="pt-BR"/>
        </w:rPr>
        <w:t xml:space="preserve">consultas </w:t>
      </w:r>
      <w:r>
        <w:rPr>
          <w:lang w:val="pt-BR"/>
        </w:rPr>
        <w:t>comumente construídas com a linguagem SQL sobre dados em bancos relacionais também foram experimentados nesta prova de conceito, utilizando a linguagem Gremlin e a travessia de grafos.</w:t>
      </w:r>
    </w:p>
    <w:p w14:paraId="25ACA994" w14:textId="6B7C8710" w:rsidR="00894993" w:rsidRDefault="008B7378" w:rsidP="009B063C">
      <w:pPr>
        <w:ind w:left="360"/>
        <w:rPr>
          <w:lang w:val="pt-BR"/>
        </w:rPr>
      </w:pPr>
      <w:r>
        <w:rPr>
          <w:lang w:val="pt-BR"/>
        </w:rPr>
        <w:tab/>
      </w:r>
      <w:r w:rsidR="00751F10">
        <w:rPr>
          <w:lang w:val="pt-BR"/>
        </w:rPr>
        <w:t>Não obstante, avaliamos que o</w:t>
      </w:r>
      <w:r>
        <w:rPr>
          <w:lang w:val="pt-BR"/>
        </w:rPr>
        <w:t xml:space="preserve"> modelo de dados baseado em grafos</w:t>
      </w:r>
      <w:r w:rsidR="00751F10">
        <w:rPr>
          <w:lang w:val="pt-BR"/>
        </w:rPr>
        <w:t xml:space="preserve"> se mostrou de fato adequado ao problema central proposto: examinar a composição das carteiras de aplicações nos casos dos fundos investidores em cotas</w:t>
      </w:r>
      <w:r w:rsidR="008A0638">
        <w:rPr>
          <w:lang w:val="pt-BR"/>
        </w:rPr>
        <w:t xml:space="preserve"> de outros fundos. O desenho do esquema lógico reflete como as relações no domínio do problema são descritas em linguagem natural, </w:t>
      </w:r>
      <w:r w:rsidR="003D480C">
        <w:rPr>
          <w:lang w:val="pt-BR"/>
        </w:rPr>
        <w:t xml:space="preserve">o que é importante para </w:t>
      </w:r>
      <w:r w:rsidR="00AA742A">
        <w:rPr>
          <w:lang w:val="pt-BR"/>
        </w:rPr>
        <w:t xml:space="preserve">simplificar </w:t>
      </w:r>
      <w:r w:rsidR="003D480C">
        <w:rPr>
          <w:lang w:val="pt-BR"/>
        </w:rPr>
        <w:t>o trabalho de especificar como “navegar” sobre essas relações</w:t>
      </w:r>
      <w:r w:rsidR="00AA742A">
        <w:rPr>
          <w:lang w:val="pt-BR"/>
        </w:rPr>
        <w:t>.</w:t>
      </w:r>
      <w:r w:rsidR="007825B6">
        <w:rPr>
          <w:lang w:val="pt-BR"/>
        </w:rPr>
        <w:t xml:space="preserve"> </w:t>
      </w:r>
      <w:r w:rsidR="00B0798C">
        <w:rPr>
          <w:lang w:val="pt-BR"/>
        </w:rPr>
        <w:t xml:space="preserve">O </w:t>
      </w:r>
      <w:r w:rsidR="00B0798C" w:rsidRPr="00D95F46">
        <w:rPr>
          <w:lang w:val="pt-BR"/>
        </w:rPr>
        <w:t xml:space="preserve">mecanismo de grafo </w:t>
      </w:r>
      <w:r w:rsidR="00B0798C">
        <w:rPr>
          <w:lang w:val="pt-BR"/>
        </w:rPr>
        <w:t xml:space="preserve">e </w:t>
      </w:r>
      <w:r w:rsidR="00746C7B">
        <w:rPr>
          <w:lang w:val="pt-BR"/>
        </w:rPr>
        <w:t xml:space="preserve">a linguagem </w:t>
      </w:r>
      <w:r w:rsidR="00B0798C">
        <w:rPr>
          <w:lang w:val="pt-BR"/>
        </w:rPr>
        <w:t xml:space="preserve">de travessia permitem </w:t>
      </w:r>
      <w:r w:rsidR="00746C7B">
        <w:rPr>
          <w:lang w:val="pt-BR"/>
        </w:rPr>
        <w:t xml:space="preserve">descrever </w:t>
      </w:r>
      <w:r w:rsidR="00B0798C">
        <w:rPr>
          <w:lang w:val="pt-BR"/>
        </w:rPr>
        <w:t xml:space="preserve">e executar </w:t>
      </w:r>
      <w:r w:rsidR="009B063C">
        <w:rPr>
          <w:lang w:val="pt-BR"/>
        </w:rPr>
        <w:t xml:space="preserve">recursivamente </w:t>
      </w:r>
      <w:r w:rsidR="00746C7B">
        <w:rPr>
          <w:lang w:val="pt-BR"/>
        </w:rPr>
        <w:t xml:space="preserve">percursos </w:t>
      </w:r>
      <w:r w:rsidR="00B0798C">
        <w:rPr>
          <w:lang w:val="pt-BR"/>
        </w:rPr>
        <w:t xml:space="preserve">complexos </w:t>
      </w:r>
      <w:r w:rsidR="00746C7B">
        <w:rPr>
          <w:lang w:val="pt-BR"/>
        </w:rPr>
        <w:t>na estrutura</w:t>
      </w:r>
      <w:r w:rsidR="00746C7B" w:rsidRPr="00746C7B">
        <w:rPr>
          <w:lang w:val="pt-BR"/>
        </w:rPr>
        <w:t xml:space="preserve"> </w:t>
      </w:r>
      <w:r w:rsidR="00746C7B">
        <w:rPr>
          <w:lang w:val="pt-BR"/>
        </w:rPr>
        <w:t>do grafo em busca de informações</w:t>
      </w:r>
      <w:r w:rsidR="009B063C">
        <w:rPr>
          <w:lang w:val="pt-BR"/>
        </w:rPr>
        <w:t>,</w:t>
      </w:r>
      <w:r w:rsidR="00746C7B">
        <w:rPr>
          <w:lang w:val="pt-BR"/>
        </w:rPr>
        <w:t xml:space="preserve"> </w:t>
      </w:r>
      <w:r w:rsidR="00B0798C">
        <w:rPr>
          <w:lang w:val="pt-BR"/>
        </w:rPr>
        <w:t>de forma sucinta</w:t>
      </w:r>
      <w:r w:rsidR="009B063C">
        <w:rPr>
          <w:lang w:val="pt-BR"/>
        </w:rPr>
        <w:t xml:space="preserve"> e eficiente.</w:t>
      </w:r>
    </w:p>
    <w:p w14:paraId="7050EC0C" w14:textId="77777777" w:rsidR="009B063C" w:rsidRDefault="009B063C" w:rsidP="009B063C">
      <w:pPr>
        <w:ind w:left="360"/>
        <w:rPr>
          <w:lang w:val="pt-BR"/>
        </w:rPr>
      </w:pPr>
    </w:p>
    <w:p w14:paraId="70776437" w14:textId="6D581D26" w:rsidR="00EC49FE" w:rsidRPr="00326DC6" w:rsidRDefault="00EC49FE" w:rsidP="00603861">
      <w:pPr>
        <w:pStyle w:val="Ttulo1"/>
        <w:rPr>
          <w:lang w:val="pt-BR"/>
        </w:rPr>
      </w:pPr>
      <w:r w:rsidRPr="00326DC6">
        <w:rPr>
          <w:lang w:val="pt-BR"/>
        </w:rPr>
        <w:t>Refer</w:t>
      </w:r>
      <w:r w:rsidR="00146BDD" w:rsidRPr="00326DC6">
        <w:rPr>
          <w:lang w:val="pt-BR"/>
        </w:rPr>
        <w:t>ências</w:t>
      </w:r>
    </w:p>
    <w:p w14:paraId="614D8C4C" w14:textId="0B380689" w:rsidR="00146BDD" w:rsidRPr="00326DC6" w:rsidRDefault="00146BDD" w:rsidP="0025722C">
      <w:pPr>
        <w:pStyle w:val="Reference"/>
        <w:rPr>
          <w:lang w:val="pt-BR"/>
        </w:rPr>
      </w:pPr>
      <w:r w:rsidRPr="00326DC6">
        <w:rPr>
          <w:lang w:val="pt-BR"/>
        </w:rPr>
        <w:t>A</w:t>
      </w:r>
      <w:r w:rsidR="008710E1">
        <w:rPr>
          <w:lang w:val="pt-BR"/>
        </w:rPr>
        <w:t>NBIMA</w:t>
      </w:r>
      <w:r w:rsidRPr="00326DC6">
        <w:rPr>
          <w:lang w:val="pt-BR"/>
        </w:rPr>
        <w:t xml:space="preserve"> (2021) “Fundos encerram ano com captação líquida positiva de R$ 156,4 bilhões”, https://www.anbima.com.br/pt_br/noticias/fundos-encerram-ano-com-captacao-liquida-positiva-de-r-156-4-bilhoes-8A2AB2B67692226E0176F83667DE2D01-00.htm</w:t>
      </w:r>
    </w:p>
    <w:p w14:paraId="709F24C8" w14:textId="74B1FBA1" w:rsidR="00817F37" w:rsidRPr="00326DC6" w:rsidRDefault="00141EF9" w:rsidP="0025722C">
      <w:pPr>
        <w:pStyle w:val="Reference"/>
        <w:rPr>
          <w:lang w:val="pt-BR"/>
        </w:rPr>
      </w:pPr>
      <w:bookmarkStart w:id="0" w:name="_Hlk69720284"/>
      <w:r w:rsidRPr="00326DC6">
        <w:rPr>
          <w:lang w:val="pt-BR"/>
        </w:rPr>
        <w:t>Comissão de Valores Mobiliários</w:t>
      </w:r>
      <w:bookmarkEnd w:id="0"/>
      <w:r w:rsidR="00817F37" w:rsidRPr="00326DC6">
        <w:rPr>
          <w:lang w:val="pt-BR"/>
        </w:rPr>
        <w:t>. “Fundos de Investimento</w:t>
      </w:r>
      <w:r w:rsidR="00D11063">
        <w:rPr>
          <w:lang w:val="pt-BR"/>
        </w:rPr>
        <w:t>”</w:t>
      </w:r>
      <w:r w:rsidR="00817F37" w:rsidRPr="00326DC6">
        <w:rPr>
          <w:lang w:val="pt-BR"/>
        </w:rPr>
        <w:t xml:space="preserve">, </w:t>
      </w:r>
      <w:r w:rsidR="00D11063" w:rsidRPr="00D11063">
        <w:rPr>
          <w:lang w:val="pt-BR"/>
        </w:rPr>
        <w:t>https://www.investidor.gov.br/menu/Menu_Investidor/fundos_investimentos/introducao</w:t>
      </w:r>
    </w:p>
    <w:p w14:paraId="6A1E0202" w14:textId="62155587" w:rsidR="00817F37" w:rsidRPr="009D21EA" w:rsidRDefault="0074196F" w:rsidP="0025722C">
      <w:pPr>
        <w:pStyle w:val="Reference"/>
        <w:rPr>
          <w:lang w:val="en-GB"/>
        </w:rPr>
      </w:pPr>
      <w:r w:rsidRPr="00326DC6">
        <w:rPr>
          <w:lang w:val="en-GB"/>
        </w:rPr>
        <w:t>Bechberger</w:t>
      </w:r>
      <w:r w:rsidRPr="009D21EA">
        <w:rPr>
          <w:lang w:val="en-GB"/>
        </w:rPr>
        <w:t xml:space="preserve">, D. e </w:t>
      </w:r>
      <w:r w:rsidRPr="00326DC6">
        <w:rPr>
          <w:lang w:val="en-GB"/>
        </w:rPr>
        <w:t>Perryman</w:t>
      </w:r>
      <w:r w:rsidRPr="009D21EA">
        <w:rPr>
          <w:lang w:val="en-GB"/>
        </w:rPr>
        <w:t xml:space="preserve">, J. (2020) </w:t>
      </w:r>
      <w:r w:rsidRPr="00326DC6">
        <w:rPr>
          <w:lang w:val="en-GB"/>
        </w:rPr>
        <w:t>“Graph Databases in Action”</w:t>
      </w:r>
      <w:r w:rsidR="00326DC6" w:rsidRPr="00326DC6">
        <w:rPr>
          <w:lang w:val="en-GB"/>
        </w:rPr>
        <w:t>, Manning Publications</w:t>
      </w:r>
      <w:r w:rsidR="00326DC6" w:rsidRPr="009D21EA">
        <w:rPr>
          <w:lang w:val="en-GB"/>
        </w:rPr>
        <w:t>; 1ª edição.</w:t>
      </w:r>
    </w:p>
    <w:p w14:paraId="677F12CD" w14:textId="544FC8F5" w:rsidR="00326DC6" w:rsidRDefault="00326DC6" w:rsidP="0025722C">
      <w:pPr>
        <w:pStyle w:val="Reference"/>
      </w:pPr>
      <w:r w:rsidRPr="00326DC6">
        <w:t>Ramachandran</w:t>
      </w:r>
      <w:r>
        <w:t>, S. (</w:t>
      </w:r>
      <w:r w:rsidR="00B21646">
        <w:t>2015</w:t>
      </w:r>
      <w:r>
        <w:t>) “</w:t>
      </w:r>
      <w:r w:rsidRPr="00326DC6">
        <w:t>Graph Database Theory: Comparing Graph and Relational Data Models</w:t>
      </w:r>
      <w:r>
        <w:t xml:space="preserve">”, </w:t>
      </w:r>
      <w:r w:rsidRPr="00326DC6">
        <w:t>https://www.lambdazen.com/assets/pdf/GraphDatabaseTheory.pdf</w:t>
      </w:r>
    </w:p>
    <w:sectPr w:rsidR="00326DC6">
      <w:headerReference w:type="even" r:id="rId46"/>
      <w:headerReference w:type="default" r:id="rId47"/>
      <w:footerReference w:type="even" r:id="rId48"/>
      <w:footerReference w:type="first" r:id="rId49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25C7B" w14:textId="77777777" w:rsidR="000544F6" w:rsidRDefault="000544F6">
      <w:r>
        <w:separator/>
      </w:r>
    </w:p>
  </w:endnote>
  <w:endnote w:type="continuationSeparator" w:id="0">
    <w:p w14:paraId="769ECB12" w14:textId="77777777" w:rsidR="000544F6" w:rsidRDefault="0005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80BB" w14:textId="77777777" w:rsidR="00FD7B7C" w:rsidRDefault="00FD7B7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309F9" w14:textId="77777777" w:rsidR="00FD7B7C" w:rsidRDefault="00FD7B7C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E5D20" w14:textId="77777777" w:rsidR="00FD7B7C" w:rsidRDefault="00FD7B7C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CB75" w14:textId="77777777" w:rsidR="00FD7B7C" w:rsidRDefault="00FD7B7C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DB126" w14:textId="77777777" w:rsidR="000544F6" w:rsidRDefault="000544F6">
      <w:r>
        <w:separator/>
      </w:r>
    </w:p>
  </w:footnote>
  <w:footnote w:type="continuationSeparator" w:id="0">
    <w:p w14:paraId="2B7DF215" w14:textId="77777777" w:rsidR="000544F6" w:rsidRDefault="000544F6">
      <w:r>
        <w:continuationSeparator/>
      </w:r>
    </w:p>
  </w:footnote>
  <w:footnote w:id="1">
    <w:p w14:paraId="09CCC8BD" w14:textId="2C0BED17" w:rsidR="00FD7B7C" w:rsidRPr="00F4084D" w:rsidRDefault="00FD7B7C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DA3920">
          <w:rPr>
            <w:rStyle w:val="Hyperlink"/>
          </w:rPr>
          <w:t>https://www.datastax.com/legal/datastax-enterprise-terms</w:t>
        </w:r>
      </w:hyperlink>
    </w:p>
  </w:footnote>
  <w:footnote w:id="2">
    <w:p w14:paraId="0196447D" w14:textId="5D772271" w:rsidR="00FD7B7C" w:rsidRPr="00F4084D" w:rsidRDefault="00FD7B7C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6D220A">
        <w:rPr>
          <w:lang w:val="pt-BR"/>
        </w:rPr>
        <w:t xml:space="preserve"> </w:t>
      </w:r>
      <w:hyperlink r:id="rId2" w:history="1">
        <w:r w:rsidRPr="006D220A">
          <w:rPr>
            <w:rStyle w:val="Hyperlink"/>
            <w:lang w:val="pt-BR"/>
          </w:rPr>
          <w:t>https://docs.datastax.com/</w:t>
        </w:r>
      </w:hyperlink>
    </w:p>
  </w:footnote>
  <w:footnote w:id="3">
    <w:p w14:paraId="2EF6809F" w14:textId="11866B15" w:rsidR="00FD7B7C" w:rsidRPr="00F4084D" w:rsidRDefault="00FD7B7C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6D220A">
        <w:rPr>
          <w:lang w:val="pt-BR"/>
        </w:rPr>
        <w:t xml:space="preserve"> </w:t>
      </w:r>
      <w:hyperlink r:id="rId3" w:history="1">
        <w:r w:rsidRPr="00DA3920">
          <w:rPr>
            <w:rStyle w:val="Hyperlink"/>
            <w:lang w:val="pt-BR"/>
          </w:rPr>
          <w:t>https://academy.datastax.com/</w:t>
        </w:r>
      </w:hyperlink>
    </w:p>
  </w:footnote>
  <w:footnote w:id="4">
    <w:p w14:paraId="20A4EE89" w14:textId="047C28F9" w:rsidR="00E400A0" w:rsidRPr="00E400A0" w:rsidRDefault="00E400A0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C6D81">
        <w:rPr>
          <w:lang w:val="pt-BR"/>
        </w:rPr>
        <w:t xml:space="preserve"> </w:t>
      </w:r>
      <w:r>
        <w:rPr>
          <w:lang w:val="pt-BR"/>
        </w:rPr>
        <w:t xml:space="preserve">CNPJ: </w:t>
      </w:r>
      <w:r w:rsidRPr="00D95F46">
        <w:rPr>
          <w:lang w:val="pt-BR"/>
        </w:rPr>
        <w:t>09.577.034/0001-18</w:t>
      </w:r>
    </w:p>
  </w:footnote>
  <w:footnote w:id="5">
    <w:p w14:paraId="5D7BF4B3" w14:textId="531C2EED" w:rsidR="00E400A0" w:rsidRPr="00E400A0" w:rsidRDefault="00E400A0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C6D81">
        <w:rPr>
          <w:lang w:val="pt-BR"/>
        </w:rPr>
        <w:t xml:space="preserve"> </w:t>
      </w:r>
      <w:r>
        <w:rPr>
          <w:lang w:val="pt-BR"/>
        </w:rPr>
        <w:t xml:space="preserve">CNPJ: </w:t>
      </w:r>
      <w:r w:rsidRPr="00526435">
        <w:rPr>
          <w:lang w:val="pt-BR"/>
        </w:rPr>
        <w:t>23.720.458/0001-10</w:t>
      </w:r>
    </w:p>
  </w:footnote>
  <w:footnote w:id="6">
    <w:p w14:paraId="6885ECB3" w14:textId="357F8EE9" w:rsidR="00E400A0" w:rsidRPr="00E400A0" w:rsidRDefault="00E400A0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C6D81">
        <w:rPr>
          <w:lang w:val="pt-BR"/>
        </w:rPr>
        <w:t xml:space="preserve"> </w:t>
      </w:r>
      <w:r>
        <w:rPr>
          <w:lang w:val="pt-BR"/>
        </w:rPr>
        <w:t xml:space="preserve">CNPJ: </w:t>
      </w:r>
      <w:r w:rsidRPr="00526435">
        <w:rPr>
          <w:lang w:val="pt-BR"/>
        </w:rPr>
        <w:t>22.975.153/0001-97</w:t>
      </w:r>
    </w:p>
  </w:footnote>
  <w:footnote w:id="7">
    <w:p w14:paraId="12CF64FE" w14:textId="0EA7682C" w:rsidR="00E400A0" w:rsidRPr="00E400A0" w:rsidRDefault="00E400A0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C6D81">
        <w:rPr>
          <w:lang w:val="pt-BR"/>
        </w:rPr>
        <w:t xml:space="preserve"> </w:t>
      </w:r>
      <w:r>
        <w:rPr>
          <w:lang w:val="pt-BR"/>
        </w:rPr>
        <w:t xml:space="preserve">CNPJ: </w:t>
      </w:r>
      <w:r w:rsidRPr="00526435">
        <w:rPr>
          <w:lang w:val="pt-BR"/>
        </w:rPr>
        <w:t>11.233.045/0001-22</w:t>
      </w:r>
    </w:p>
  </w:footnote>
  <w:footnote w:id="8">
    <w:p w14:paraId="76578279" w14:textId="5BEA5617" w:rsidR="00E400A0" w:rsidRPr="00E400A0" w:rsidRDefault="00E400A0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C6D81">
        <w:rPr>
          <w:lang w:val="pt-BR"/>
        </w:rPr>
        <w:t xml:space="preserve"> </w:t>
      </w:r>
      <w:r>
        <w:rPr>
          <w:lang w:val="pt-BR"/>
        </w:rPr>
        <w:t xml:space="preserve">CNPJ: </w:t>
      </w:r>
      <w:r w:rsidRPr="00526435">
        <w:rPr>
          <w:lang w:val="pt-BR"/>
        </w:rPr>
        <w:t>29.236.556/0001-63</w:t>
      </w:r>
    </w:p>
  </w:footnote>
  <w:footnote w:id="9">
    <w:p w14:paraId="35BFE419" w14:textId="30718729" w:rsidR="00E400A0" w:rsidRPr="00E400A0" w:rsidRDefault="00E400A0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C6D81">
        <w:rPr>
          <w:lang w:val="pt-BR"/>
        </w:rPr>
        <w:t xml:space="preserve"> </w:t>
      </w:r>
      <w:r>
        <w:rPr>
          <w:lang w:val="pt-BR"/>
        </w:rPr>
        <w:t xml:space="preserve">CNPJ: </w:t>
      </w:r>
      <w:r w:rsidRPr="00341744">
        <w:rPr>
          <w:lang w:val="pt-BR"/>
        </w:rPr>
        <w:t>07.058.057/0001-90</w:t>
      </w:r>
    </w:p>
  </w:footnote>
  <w:footnote w:id="10">
    <w:p w14:paraId="7D005B70" w14:textId="52B304B5" w:rsidR="00E400A0" w:rsidRPr="00E400A0" w:rsidRDefault="00E400A0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C6D81">
        <w:rPr>
          <w:lang w:val="pt-BR"/>
        </w:rPr>
        <w:t xml:space="preserve"> </w:t>
      </w:r>
      <w:r>
        <w:rPr>
          <w:lang w:val="pt-BR"/>
        </w:rPr>
        <w:t xml:space="preserve">CNPJ: </w:t>
      </w:r>
      <w:r w:rsidRPr="00341744">
        <w:rPr>
          <w:lang w:val="pt-BR"/>
        </w:rPr>
        <w:t>20.216.977/0001-58</w:t>
      </w:r>
    </w:p>
  </w:footnote>
  <w:footnote w:id="11">
    <w:p w14:paraId="544ECDCE" w14:textId="1DF8502C" w:rsidR="00E400A0" w:rsidRPr="00E400A0" w:rsidRDefault="00E400A0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C6D81">
        <w:rPr>
          <w:lang w:val="pt-BR"/>
        </w:rPr>
        <w:t xml:space="preserve"> </w:t>
      </w:r>
      <w:r>
        <w:rPr>
          <w:lang w:val="pt-BR"/>
        </w:rPr>
        <w:t xml:space="preserve">CNPJ: </w:t>
      </w:r>
      <w:r w:rsidRPr="00341744">
        <w:rPr>
          <w:lang w:val="pt-BR"/>
        </w:rPr>
        <w:t>27.966.051/0001-29</w:t>
      </w:r>
    </w:p>
  </w:footnote>
  <w:footnote w:id="12">
    <w:p w14:paraId="57049142" w14:textId="659729F3" w:rsidR="00E400A0" w:rsidRPr="00E400A0" w:rsidRDefault="00E400A0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C6D81">
        <w:rPr>
          <w:lang w:val="pt-BR"/>
        </w:rPr>
        <w:t xml:space="preserve"> </w:t>
      </w:r>
      <w:r>
        <w:rPr>
          <w:lang w:val="pt-BR"/>
        </w:rPr>
        <w:t xml:space="preserve">CNPJ: </w:t>
      </w:r>
      <w:r w:rsidRPr="00341744">
        <w:rPr>
          <w:lang w:val="pt-BR"/>
        </w:rPr>
        <w:t>21.261.525/0001-50</w:t>
      </w:r>
    </w:p>
  </w:footnote>
  <w:footnote w:id="13">
    <w:p w14:paraId="4601E9D1" w14:textId="1FE307CE" w:rsidR="00E400A0" w:rsidRPr="00E400A0" w:rsidRDefault="00E400A0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C6D81">
        <w:rPr>
          <w:lang w:val="pt-BR"/>
        </w:rPr>
        <w:t xml:space="preserve"> </w:t>
      </w:r>
      <w:r>
        <w:rPr>
          <w:lang w:val="pt-BR"/>
        </w:rPr>
        <w:t xml:space="preserve">CNPJ: </w:t>
      </w:r>
      <w:r w:rsidRPr="00341744">
        <w:rPr>
          <w:lang w:val="pt-BR"/>
        </w:rPr>
        <w:t>27.202.469/0001-60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F448" w14:textId="77777777" w:rsidR="00FD7B7C" w:rsidRPr="00EC49FE" w:rsidRDefault="00FD7B7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01122E13" w14:textId="77777777" w:rsidR="00FD7B7C" w:rsidRPr="00EC49FE" w:rsidRDefault="00FD7B7C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C38EB" w14:textId="77777777" w:rsidR="00FD7B7C" w:rsidRDefault="00FD7B7C">
    <w:pPr>
      <w:framePr w:wrap="around" w:vAnchor="text" w:hAnchor="margin" w:xAlign="inside" w:y="1"/>
    </w:pPr>
  </w:p>
  <w:p w14:paraId="79D080EC" w14:textId="77777777" w:rsidR="00FD7B7C" w:rsidRDefault="00FD7B7C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9DF4" w14:textId="77777777" w:rsidR="00FD7B7C" w:rsidRPr="00EC49FE" w:rsidRDefault="00FD7B7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38D762EC" w14:textId="77777777" w:rsidR="00FD7B7C" w:rsidRPr="00EC49FE" w:rsidRDefault="00FD7B7C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14:paraId="39FAC3F0" w14:textId="77777777" w:rsidR="00FD7B7C" w:rsidRPr="009D21EA" w:rsidRDefault="00FD7B7C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A5831" w14:textId="77777777" w:rsidR="00FD7B7C" w:rsidRDefault="00FD7B7C">
    <w:pPr>
      <w:framePr w:wrap="around" w:vAnchor="text" w:hAnchor="margin" w:xAlign="inside" w:y="1"/>
    </w:pPr>
  </w:p>
  <w:p w14:paraId="33B62692" w14:textId="77777777" w:rsidR="00FD7B7C" w:rsidRDefault="00FD7B7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E5556"/>
    <w:multiLevelType w:val="hybridMultilevel"/>
    <w:tmpl w:val="F3DA82D8"/>
    <w:lvl w:ilvl="0" w:tplc="0416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1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6BB0A82"/>
    <w:multiLevelType w:val="hybridMultilevel"/>
    <w:tmpl w:val="A322D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3953AB"/>
    <w:multiLevelType w:val="hybridMultilevel"/>
    <w:tmpl w:val="66125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57703"/>
    <w:multiLevelType w:val="hybridMultilevel"/>
    <w:tmpl w:val="1EC84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883962"/>
    <w:multiLevelType w:val="hybridMultilevel"/>
    <w:tmpl w:val="272E9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06F714A"/>
    <w:multiLevelType w:val="hybridMultilevel"/>
    <w:tmpl w:val="E9F27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41A01"/>
    <w:multiLevelType w:val="hybridMultilevel"/>
    <w:tmpl w:val="AB3EFC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25008B"/>
    <w:multiLevelType w:val="hybridMultilevel"/>
    <w:tmpl w:val="1D163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A431559"/>
    <w:multiLevelType w:val="hybridMultilevel"/>
    <w:tmpl w:val="75C0CB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4E2900"/>
    <w:multiLevelType w:val="hybridMultilevel"/>
    <w:tmpl w:val="8B942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F704B9"/>
    <w:multiLevelType w:val="hybridMultilevel"/>
    <w:tmpl w:val="CD689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FC3B35"/>
    <w:multiLevelType w:val="hybridMultilevel"/>
    <w:tmpl w:val="489E3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21"/>
  </w:num>
  <w:num w:numId="5">
    <w:abstractNumId w:val="11"/>
  </w:num>
  <w:num w:numId="6">
    <w:abstractNumId w:val="26"/>
  </w:num>
  <w:num w:numId="7">
    <w:abstractNumId w:val="14"/>
  </w:num>
  <w:num w:numId="8">
    <w:abstractNumId w:val="25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7"/>
  </w:num>
  <w:num w:numId="22">
    <w:abstractNumId w:val="30"/>
  </w:num>
  <w:num w:numId="23">
    <w:abstractNumId w:val="29"/>
  </w:num>
  <w:num w:numId="24">
    <w:abstractNumId w:val="27"/>
  </w:num>
  <w:num w:numId="25">
    <w:abstractNumId w:val="23"/>
  </w:num>
  <w:num w:numId="26">
    <w:abstractNumId w:val="20"/>
  </w:num>
  <w:num w:numId="27">
    <w:abstractNumId w:val="19"/>
  </w:num>
  <w:num w:numId="28">
    <w:abstractNumId w:val="22"/>
  </w:num>
  <w:num w:numId="29">
    <w:abstractNumId w:val="24"/>
  </w:num>
  <w:num w:numId="30">
    <w:abstractNumId w:val="28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0747A"/>
    <w:rsid w:val="00011B17"/>
    <w:rsid w:val="00022497"/>
    <w:rsid w:val="000544F6"/>
    <w:rsid w:val="00055259"/>
    <w:rsid w:val="00097DE6"/>
    <w:rsid w:val="000B687F"/>
    <w:rsid w:val="000D57D0"/>
    <w:rsid w:val="000F7023"/>
    <w:rsid w:val="00113103"/>
    <w:rsid w:val="00123CDF"/>
    <w:rsid w:val="00141EF9"/>
    <w:rsid w:val="00146BDD"/>
    <w:rsid w:val="00195DD6"/>
    <w:rsid w:val="001A222E"/>
    <w:rsid w:val="001A5210"/>
    <w:rsid w:val="001B0861"/>
    <w:rsid w:val="001C3D30"/>
    <w:rsid w:val="0022582D"/>
    <w:rsid w:val="00245081"/>
    <w:rsid w:val="002469A4"/>
    <w:rsid w:val="0025722C"/>
    <w:rsid w:val="00260C9F"/>
    <w:rsid w:val="00290562"/>
    <w:rsid w:val="00290C51"/>
    <w:rsid w:val="002C147F"/>
    <w:rsid w:val="002C3EEE"/>
    <w:rsid w:val="003112B6"/>
    <w:rsid w:val="00326DC6"/>
    <w:rsid w:val="003272C6"/>
    <w:rsid w:val="00341744"/>
    <w:rsid w:val="0039084B"/>
    <w:rsid w:val="003C25DE"/>
    <w:rsid w:val="003C5D8E"/>
    <w:rsid w:val="003D42A3"/>
    <w:rsid w:val="003D480C"/>
    <w:rsid w:val="003F4556"/>
    <w:rsid w:val="003F79AD"/>
    <w:rsid w:val="004023B2"/>
    <w:rsid w:val="00447ACD"/>
    <w:rsid w:val="004655F3"/>
    <w:rsid w:val="00486D5F"/>
    <w:rsid w:val="004A0AA3"/>
    <w:rsid w:val="004A4FEF"/>
    <w:rsid w:val="004B1021"/>
    <w:rsid w:val="004F1158"/>
    <w:rsid w:val="00526435"/>
    <w:rsid w:val="00541359"/>
    <w:rsid w:val="00556B9F"/>
    <w:rsid w:val="005C3D41"/>
    <w:rsid w:val="005C6D81"/>
    <w:rsid w:val="005E7268"/>
    <w:rsid w:val="00601EB2"/>
    <w:rsid w:val="00603861"/>
    <w:rsid w:val="00613778"/>
    <w:rsid w:val="00631AB2"/>
    <w:rsid w:val="00676E05"/>
    <w:rsid w:val="0068092C"/>
    <w:rsid w:val="00691F5A"/>
    <w:rsid w:val="006A7C91"/>
    <w:rsid w:val="006D220A"/>
    <w:rsid w:val="006D7A71"/>
    <w:rsid w:val="00722834"/>
    <w:rsid w:val="0074196F"/>
    <w:rsid w:val="00746C7B"/>
    <w:rsid w:val="00751F10"/>
    <w:rsid w:val="007825B6"/>
    <w:rsid w:val="00797C21"/>
    <w:rsid w:val="007B3D1A"/>
    <w:rsid w:val="007C1EA1"/>
    <w:rsid w:val="007C26CF"/>
    <w:rsid w:val="007C4987"/>
    <w:rsid w:val="007F6743"/>
    <w:rsid w:val="00803254"/>
    <w:rsid w:val="00804401"/>
    <w:rsid w:val="00807EBA"/>
    <w:rsid w:val="00817F37"/>
    <w:rsid w:val="008440DE"/>
    <w:rsid w:val="008710E1"/>
    <w:rsid w:val="00887C81"/>
    <w:rsid w:val="00892EFF"/>
    <w:rsid w:val="00894993"/>
    <w:rsid w:val="008A0638"/>
    <w:rsid w:val="008B1055"/>
    <w:rsid w:val="008B7378"/>
    <w:rsid w:val="008B779F"/>
    <w:rsid w:val="009132AB"/>
    <w:rsid w:val="00914309"/>
    <w:rsid w:val="0092301E"/>
    <w:rsid w:val="00977226"/>
    <w:rsid w:val="009B063C"/>
    <w:rsid w:val="009C66C4"/>
    <w:rsid w:val="009D21EA"/>
    <w:rsid w:val="00A43F77"/>
    <w:rsid w:val="00A51832"/>
    <w:rsid w:val="00A65021"/>
    <w:rsid w:val="00A659C0"/>
    <w:rsid w:val="00A71E1F"/>
    <w:rsid w:val="00AA742A"/>
    <w:rsid w:val="00AD6F8E"/>
    <w:rsid w:val="00AF6271"/>
    <w:rsid w:val="00B06EFE"/>
    <w:rsid w:val="00B0798C"/>
    <w:rsid w:val="00B16E1E"/>
    <w:rsid w:val="00B21646"/>
    <w:rsid w:val="00B34C80"/>
    <w:rsid w:val="00B6024A"/>
    <w:rsid w:val="00B749FB"/>
    <w:rsid w:val="00B925FD"/>
    <w:rsid w:val="00BA3008"/>
    <w:rsid w:val="00BB1EDC"/>
    <w:rsid w:val="00BB6BA7"/>
    <w:rsid w:val="00BC3338"/>
    <w:rsid w:val="00BF3E28"/>
    <w:rsid w:val="00C20D31"/>
    <w:rsid w:val="00C23E2D"/>
    <w:rsid w:val="00C3594B"/>
    <w:rsid w:val="00C43DB9"/>
    <w:rsid w:val="00C64978"/>
    <w:rsid w:val="00C64991"/>
    <w:rsid w:val="00C66230"/>
    <w:rsid w:val="00C66FED"/>
    <w:rsid w:val="00CA169F"/>
    <w:rsid w:val="00CA633A"/>
    <w:rsid w:val="00CA6F69"/>
    <w:rsid w:val="00CB0368"/>
    <w:rsid w:val="00CC071E"/>
    <w:rsid w:val="00CC18A2"/>
    <w:rsid w:val="00D11063"/>
    <w:rsid w:val="00D509C0"/>
    <w:rsid w:val="00D544A9"/>
    <w:rsid w:val="00D54BD1"/>
    <w:rsid w:val="00D61360"/>
    <w:rsid w:val="00D63E30"/>
    <w:rsid w:val="00D80D8E"/>
    <w:rsid w:val="00D83645"/>
    <w:rsid w:val="00D9467E"/>
    <w:rsid w:val="00D95F46"/>
    <w:rsid w:val="00DD04E9"/>
    <w:rsid w:val="00DD6C26"/>
    <w:rsid w:val="00E12E73"/>
    <w:rsid w:val="00E400A0"/>
    <w:rsid w:val="00E81542"/>
    <w:rsid w:val="00E81CD6"/>
    <w:rsid w:val="00E85D83"/>
    <w:rsid w:val="00EC49FE"/>
    <w:rsid w:val="00ED09A7"/>
    <w:rsid w:val="00EE3BAF"/>
    <w:rsid w:val="00EE70EF"/>
    <w:rsid w:val="00F024F1"/>
    <w:rsid w:val="00F0747C"/>
    <w:rsid w:val="00F17F05"/>
    <w:rsid w:val="00F25D0C"/>
    <w:rsid w:val="00F4084D"/>
    <w:rsid w:val="00F966A4"/>
    <w:rsid w:val="00FA6206"/>
    <w:rsid w:val="00FC4CC4"/>
    <w:rsid w:val="00FD4EFF"/>
    <w:rsid w:val="00FD7B7C"/>
    <w:rsid w:val="00FF1B4C"/>
    <w:rsid w:val="00F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26F0C0"/>
  <w15:chartTrackingRefBased/>
  <w15:docId w15:val="{6E042E69-39D6-4B6A-B7A6-73C30700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link w:val="Pr-formataoHTMLChar"/>
    <w:uiPriority w:val="99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3272C6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C64978"/>
    <w:rPr>
      <w:color w:val="808080"/>
    </w:rPr>
  </w:style>
  <w:style w:type="paragraph" w:styleId="PargrafodaLista">
    <w:name w:val="List Paragraph"/>
    <w:basedOn w:val="Normal"/>
    <w:uiPriority w:val="34"/>
    <w:qFormat/>
    <w:rsid w:val="0074196F"/>
    <w:pPr>
      <w:ind w:left="720"/>
      <w:contextualSpacing/>
    </w:pPr>
  </w:style>
  <w:style w:type="paragraph" w:styleId="Rodap">
    <w:name w:val="footer"/>
    <w:basedOn w:val="Normal"/>
    <w:link w:val="RodapChar"/>
    <w:rsid w:val="006D7A71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rsid w:val="006D7A71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rsid w:val="006D7A71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rsid w:val="006D7A71"/>
    <w:rPr>
      <w:rFonts w:ascii="Times" w:hAnsi="Times"/>
      <w:sz w:val="24"/>
      <w:lang w:val="en-US"/>
    </w:rPr>
  </w:style>
  <w:style w:type="paragraph" w:styleId="Textodenotaderodap">
    <w:name w:val="footnote text"/>
    <w:basedOn w:val="Normal"/>
    <w:link w:val="TextodenotaderodapChar"/>
    <w:rsid w:val="00F4084D"/>
    <w:pPr>
      <w:spacing w:before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rsid w:val="00F4084D"/>
    <w:rPr>
      <w:rFonts w:ascii="Times" w:hAnsi="Times"/>
      <w:lang w:val="en-US"/>
    </w:rPr>
  </w:style>
  <w:style w:type="character" w:styleId="Refdenotaderodap">
    <w:name w:val="footnote reference"/>
    <w:basedOn w:val="Fontepargpadro"/>
    <w:rsid w:val="00F4084D"/>
    <w:rPr>
      <w:vertAlign w:val="superscript"/>
    </w:rPr>
  </w:style>
  <w:style w:type="table" w:styleId="Tabelacomgrade">
    <w:name w:val="Table Grid"/>
    <w:basedOn w:val="Tabelanormal"/>
    <w:rsid w:val="00CB0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-formataoHTMLChar">
    <w:name w:val="Pré-formatação HTML Char"/>
    <w:basedOn w:val="Fontepargpadro"/>
    <w:link w:val="Pr-formataoHTML"/>
    <w:uiPriority w:val="99"/>
    <w:rsid w:val="00AD6F8E"/>
    <w:rPr>
      <w:rFonts w:ascii="Courier New" w:hAnsi="Courier New" w:cs="Courier New"/>
      <w:lang w:val="en-US" w:eastAsia="en-US"/>
    </w:rPr>
  </w:style>
  <w:style w:type="character" w:styleId="CdigoHTML">
    <w:name w:val="HTML Code"/>
    <w:basedOn w:val="Fontepargpadro"/>
    <w:uiPriority w:val="99"/>
    <w:unhideWhenUsed/>
    <w:rsid w:val="00AD6F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fofundos.com.br/" TargetMode="External"/><Relationship Id="rId18" Type="http://schemas.openxmlformats.org/officeDocument/2006/relationships/hyperlink" Target="https://cvmweb.cvm.gov.br/SWB/Sistemas/SCW/PadroesXML/PadraoXMLCDANetV4.aspx" TargetMode="External"/><Relationship Id="rId26" Type="http://schemas.openxmlformats.org/officeDocument/2006/relationships/hyperlink" Target="http://dados.cvm.gov.br/dataset/fi-doc-cda" TargetMode="External"/><Relationship Id="rId39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cvmweb.cvm.gov.br/SWB/Sistemas/SCW/CPublica/FormBuscaPartic.aspx?TpConsulta=5" TargetMode="External"/><Relationship Id="rId34" Type="http://schemas.openxmlformats.org/officeDocument/2006/relationships/hyperlink" Target="https://lucene.apache.org/" TargetMode="External"/><Relationship Id="rId42" Type="http://schemas.openxmlformats.org/officeDocument/2006/relationships/image" Target="media/image10.png"/><Relationship Id="rId47" Type="http://schemas.openxmlformats.org/officeDocument/2006/relationships/header" Target="header4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aisretorno.com/" TargetMode="External"/><Relationship Id="rId17" Type="http://schemas.openxmlformats.org/officeDocument/2006/relationships/hyperlink" Target="http://sistemas.cvm.gov.br/?cvmweb" TargetMode="External"/><Relationship Id="rId25" Type="http://schemas.openxmlformats.org/officeDocument/2006/relationships/hyperlink" Target="http://dados.cvm.gov.br/dataset/fi-cad" TargetMode="External"/><Relationship Id="rId33" Type="http://schemas.openxmlformats.org/officeDocument/2006/relationships/hyperlink" Target="https://solr.apache.org/" TargetMode="External"/><Relationship Id="rId38" Type="http://schemas.openxmlformats.org/officeDocument/2006/relationships/image" Target="media/image6.png"/><Relationship Id="rId46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conteudo.cvm.gov.br/legislacao/instrucoes/inst555.html" TargetMode="External"/><Relationship Id="rId20" Type="http://schemas.openxmlformats.org/officeDocument/2006/relationships/hyperlink" Target="http://dados.cvm.gov.br/dataset/fi-doc-cda" TargetMode="External"/><Relationship Id="rId29" Type="http://schemas.openxmlformats.org/officeDocument/2006/relationships/hyperlink" Target="https://www.datastax.com/products/datastax-graph" TargetMode="External"/><Relationship Id="rId41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ados.cvm.gov.br/" TargetMode="External"/><Relationship Id="rId32" Type="http://schemas.openxmlformats.org/officeDocument/2006/relationships/hyperlink" Target="https://tinkerpop.apache.org/gremlin.html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hyperlink" Target="https://github.com/amlua/bi-mas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ubb.com.br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www.g2.com/categories/graph-databases" TargetMode="External"/><Relationship Id="rId36" Type="http://schemas.openxmlformats.org/officeDocument/2006/relationships/image" Target="media/image4.png"/><Relationship Id="rId49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s://cvmweb.cvm.gov.br/SWB/Sistemas/SCW/CPublica/FormBuscaPartic.aspx?TpConsulta=5" TargetMode="External"/><Relationship Id="rId31" Type="http://schemas.openxmlformats.org/officeDocument/2006/relationships/hyperlink" Target="https://tinkerpop.apache.org/" TargetMode="External"/><Relationship Id="rId44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comparadordefundos.com.br/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sistemaswebb3-listados.b3.com.br/isinPage/?language=pt-br" TargetMode="External"/><Relationship Id="rId30" Type="http://schemas.openxmlformats.org/officeDocument/2006/relationships/hyperlink" Target="https://cassandra.apache.org/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11.png"/><Relationship Id="rId48" Type="http://schemas.openxmlformats.org/officeDocument/2006/relationships/footer" Target="footer3.xml"/><Relationship Id="rId8" Type="http://schemas.openxmlformats.org/officeDocument/2006/relationships/header" Target="header1.xml"/><Relationship Id="rId51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cademy.datastax.com/" TargetMode="External"/><Relationship Id="rId2" Type="http://schemas.openxmlformats.org/officeDocument/2006/relationships/hyperlink" Target="https://docs.datastax.com/" TargetMode="External"/><Relationship Id="rId1" Type="http://schemas.openxmlformats.org/officeDocument/2006/relationships/hyperlink" Target="https://www.datastax.com/legal/datastax-enterprise-term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7638C-EA1D-40F8-AEFC-61275D449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1934</TotalTime>
  <Pages>14</Pages>
  <Words>3505</Words>
  <Characters>18927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Composição de Carteira de Fundos de Investimento</vt:lpstr>
    </vt:vector>
  </TitlesOfParts>
  <Company> </Company>
  <LinksUpToDate>false</LinksUpToDate>
  <CharactersWithSpaces>22388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Composição de Carteira de Fundos de Investimento</dc:title>
  <dc:subject/>
  <dc:creator>Sociedade Brasileira de Computação</dc:creator>
  <cp:keywords>PUC-Rio BI-Master</cp:keywords>
  <cp:lastModifiedBy>Andreia Luna</cp:lastModifiedBy>
  <cp:revision>14</cp:revision>
  <cp:lastPrinted>2005-03-17T02:14:00Z</cp:lastPrinted>
  <dcterms:created xsi:type="dcterms:W3CDTF">2021-04-19T13:43:00Z</dcterms:created>
  <dcterms:modified xsi:type="dcterms:W3CDTF">2021-04-23T04:20:00Z</dcterms:modified>
</cp:coreProperties>
</file>