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140" w:line="276"/>
        <w:jc w:val="center"/>
      </w:pPr>
      <w:r>
        <w:rPr>
          <w:rFonts w:ascii="Calibri" w:cs="Calibri" w:eastAsia="Microsoft YaHei" w:hAnsi="Calibri"/>
          <w:b/>
          <w:bCs/>
          <w:color w:val="0F4C5C"/>
          <w:sz w:val="52"/>
          <w:szCs w:val="52"/>
        </w:rPr>
        <w:t xml:space="preserve">Portfolio Review Report</w:t>
      </w:r>
    </w:p>
    <w:p>
      <w:pPr>
        <w:spacing w:after="140" w:line="276"/>
        <w:jc w:val="center"/>
      </w:pPr>
      <w:r>
        <w:rPr>
          <w:rFonts w:ascii="Calibri" w:cs="Calibri" w:eastAsia="Microsoft YaHei" w:hAnsi="Calibri"/>
          <w:color w:val="444444"/>
          <w:sz w:val="28"/>
          <w:szCs w:val="28"/>
        </w:rPr>
        <w:t xml:space="preserve">amm-ds — Data Science &amp; ML Engineering Portfolio</w:t>
      </w:r>
    </w:p>
    <w:p>
      <w:pPr>
        <w:spacing w:after="140" w:line="276"/>
        <w:jc w:val="center"/>
      </w:pPr>
      <w:r>
        <w:rPr>
          <w:rFonts w:ascii="Calibri" w:cs="Calibri" w:eastAsia="Microsoft YaHei" w:hAnsi="Calibri"/>
          <w:i/>
          <w:iCs/>
          <w:color w:val="666666"/>
          <w:sz w:val="22"/>
          <w:szCs w:val="22"/>
        </w:rPr>
        <w:t xml:space="preserve">Storytelling, language and visualization audit across all 10 project pages</w:t>
      </w:r>
    </w:p>
    <w:p>
      <w:pPr>
        <w:spacing w:before="400"/>
        <w:jc w:val="center"/>
      </w:pPr>
      <w:r>
        <w:rPr>
          <w:rFonts w:ascii="Calibri" w:cs="Calibri" w:eastAsia="Microsoft YaHei" w:hAnsi="Calibri"/>
          <w:color w:val="666666"/>
          <w:sz w:val="22"/>
          <w:szCs w:val="22"/>
        </w:rPr>
        <w:t xml:space="preserve">2026-10-17</w:t>
      </w:r>
    </w:p>
    <w:p>
      <w:pPr>
        <w:spacing w:before="800"/>
        <w:jc w:val="center"/>
      </w:pPr>
      <w:r>
        <w:rPr>
          <w:rFonts w:ascii="Calibri" w:cs="Calibri" w:eastAsia="Microsoft YaHei" w:hAnsi="Calibri"/>
          <w:color w:val="888888"/>
          <w:sz w:val="18"/>
          <w:szCs w:val="18"/>
        </w:rPr>
        <w:t xml:space="preserve">Scope: docs/projects/index.md, docs/projects/01–10 (mkdocs site) and the showcase app pages (/projects, /projects/:id served from story.yaml)</w:t>
      </w:r>
    </w:p>
    <w:p>
      <w:pPr>
        <w:spacing w:after="200" w:before="400"/>
      </w:pPr>
      <w:r>
        <w:rPr>
          <w:rFonts w:ascii="Calibri" w:cs="Calibri" w:eastAsia="Microsoft YaHei" w:hAnsi="Calibri"/>
          <w:b/>
          <w:bCs/>
          <w:color w:val="0F4C5C"/>
          <w:sz w:val="28"/>
          <w:szCs w:val="28"/>
        </w:rPr>
        <w:t xml:space="preserve">Contents</w:t>
      </w:r>
    </w:p>
    <w:sdt xmlns:w="http://schemas.openxmlformats.org/wordprocessingml/2006/main">
      <w:sdtPr>
        <w:alias w:val="Contents"/>
      </w:sdtPr>
      <w:sdtContent>
        <w:p>
          <w:r>
            <w:fldChar w:fldCharType="begin" w:dirty="true"/>
            <w:instrText xml:space="preserve"> TOC \o "1-2" \h \z \u </w:instrText>
            <w:fldChar w:fldCharType="separate"/>
          </w:r>
        </w:p>
        <w:p>
          <w:pPr>
            <w:pStyle w:val="TOC1"/>
            <w:tabs>
              <w:tab w:val="right" w:leader="dot" w:pos="9000"/>
            </w:tabs>
            <w:ind w:left="0"/>
          </w:pPr>
          <w:r>
            <w:t>1. Executive summary</w:t>
          </w:r>
          <w:r>
            <w:tab/>
          </w:r>
          <w:r>
            <w:t>2</w:t>
          </w:r>
        </w:p>
        <w:p>
          <w:pPr>
            <w:pStyle w:val="TOC1"/>
            <w:tabs>
              <w:tab w:val="right" w:leader="dot" w:pos="9000"/>
            </w:tabs>
            <w:ind w:left="0"/>
          </w:pPr>
          <w:r>
            <w:t>2. Scope and method</w:t>
          </w:r>
          <w:r>
            <w:tab/>
          </w:r>
          <w:r>
            <w:t>2</w:t>
          </w:r>
        </w:p>
        <w:p>
          <w:pPr>
            <w:pStyle w:val="TOC1"/>
            <w:tabs>
              <w:tab w:val="right" w:leader="dot" w:pos="9000"/>
            </w:tabs>
            <w:ind w:left="0"/>
          </w:pPr>
          <w:r>
            <w:t>3. What the research says</w:t>
          </w:r>
          <w:r>
            <w:tab/>
          </w:r>
          <w:r>
            <w:t>3</w:t>
          </w:r>
        </w:p>
        <w:p>
          <w:pPr>
            <w:pStyle w:val="TOC1"/>
            <w:tabs>
              <w:tab w:val="right" w:leader="dot" w:pos="9000"/>
            </w:tabs>
            <w:ind w:left="0"/>
          </w:pPr>
          <w:r>
            <w:t>4. Overall strengths — what to keep</w:t>
          </w:r>
          <w:r>
            <w:tab/>
          </w:r>
          <w:r>
            <w:t>4</w:t>
          </w:r>
        </w:p>
        <w:p>
          <w:pPr>
            <w:pStyle w:val="TOC1"/>
            <w:tabs>
              <w:tab w:val="right" w:leader="dot" w:pos="9000"/>
            </w:tabs>
            <w:ind w:left="0"/>
          </w:pPr>
          <w:r>
            <w:t>5. Cross-cutting findings and recommendations</w:t>
          </w:r>
          <w:r>
            <w:tab/>
          </w:r>
          <w:r>
            <w:t>4</w:t>
          </w:r>
        </w:p>
        <w:p>
          <w:pPr>
            <w:pStyle w:val="TOC2"/>
            <w:tabs>
              <w:tab w:val="right" w:leader="dot" w:pos="9000"/>
            </w:tabs>
            <w:ind w:left="360"/>
          </w:pPr>
          <w:r>
            <w:t>5.1 Narrative arc and page structure</w:t>
          </w:r>
          <w:r>
            <w:tab/>
          </w:r>
          <w:r>
            <w:t>4</w:t>
          </w:r>
        </w:p>
        <w:p>
          <w:pPr>
            <w:pStyle w:val="TOC2"/>
            <w:tabs>
              <w:tab w:val="right" w:leader="dot" w:pos="9000"/>
            </w:tabs>
            <w:ind w:left="360"/>
          </w:pPr>
          <w:r>
            <w:t>5.2 Language and tone</w:t>
          </w:r>
          <w:r>
            <w:tab/>
          </w:r>
          <w:r>
            <w:t>5</w:t>
          </w:r>
        </w:p>
        <w:p>
          <w:pPr>
            <w:pStyle w:val="TOC2"/>
            <w:tabs>
              <w:tab w:val="right" w:leader="dot" w:pos="9000"/>
            </w:tabs>
            <w:ind w:left="360"/>
          </w:pPr>
          <w:r>
            <w:t>5.3 Serving tech and business readers at once</w:t>
          </w:r>
          <w:r>
            <w:tab/>
          </w:r>
          <w:r>
            <w:t>6</w:t>
          </w:r>
        </w:p>
        <w:p>
          <w:pPr>
            <w:pStyle w:val="TOC2"/>
            <w:tabs>
              <w:tab w:val="right" w:leader="dot" w:pos="9000"/>
            </w:tabs>
            <w:ind w:left="360"/>
          </w:pPr>
          <w:r>
            <w:t>5.4 Visualizations and their placement</w:t>
          </w:r>
          <w:r>
            <w:tab/>
          </w:r>
          <w:r>
            <w:t>6</w:t>
          </w:r>
        </w:p>
        <w:p>
          <w:pPr>
            <w:pStyle w:val="TOC2"/>
            <w:tabs>
              <w:tab w:val="right" w:leader="dot" w:pos="9000"/>
            </w:tabs>
            <w:ind w:left="360"/>
          </w:pPr>
          <w:r>
            <w:t>5.5 Consistency and accuracy defects</w:t>
          </w:r>
          <w:r>
            <w:tab/>
          </w:r>
          <w:r>
            <w:t>8</w:t>
          </w:r>
        </w:p>
        <w:p>
          <w:pPr>
            <w:pStyle w:val="TOC1"/>
            <w:tabs>
              <w:tab w:val="right" w:leader="dot" w:pos="9000"/>
            </w:tabs>
            <w:ind w:left="0"/>
          </w:pPr>
          <w:r>
            <w:t>6. Deep dive: 07 — Urban Mobility Demand Intelligence</w:t>
          </w:r>
          <w:r>
            <w:tab/>
          </w:r>
          <w:r>
            <w:t>8</w:t>
          </w:r>
        </w:p>
        <w:p>
          <w:pPr>
            <w:pStyle w:val="TOC1"/>
            <w:tabs>
              <w:tab w:val="right" w:leader="dot" w:pos="9000"/>
            </w:tabs>
            <w:ind w:left="0"/>
          </w:pPr>
          <w:r>
            <w:t>7. Per-project quick wins (all 10 projects)</w:t>
          </w:r>
          <w:r>
            <w:tab/>
          </w:r>
          <w:r>
            <w:t>10</w:t>
          </w:r>
        </w:p>
        <w:p>
          <w:pPr>
            <w:pStyle w:val="TOC1"/>
            <w:tabs>
              <w:tab w:val="right" w:leader="dot" w:pos="9000"/>
            </w:tabs>
            <w:ind w:left="0"/>
          </w:pPr>
          <w:r>
            <w:t>8. Before / after rewrite examples</w:t>
          </w:r>
          <w:r>
            <w:tab/>
          </w:r>
          <w:r>
            <w:t>11</w:t>
          </w:r>
        </w:p>
        <w:p>
          <w:pPr>
            <w:pStyle w:val="TOC1"/>
            <w:tabs>
              <w:tab w:val="right" w:leader="dot" w:pos="9000"/>
            </w:tabs>
            <w:ind w:left="0"/>
          </w:pPr>
          <w:r>
            <w:t>9. Prioritized action plan</w:t>
          </w:r>
          <w:r>
            <w:tab/>
          </w:r>
          <w:r>
            <w:t>12</w:t>
          </w:r>
        </w:p>
        <w:p>
          <w:r>
            <w:fldChar w:fldCharType="end"/>
          </w:r>
        </w:p>
      </w:sdtContent>
    </w:sdt>
    <w:p>
      <w:pPr>
        <w:pStyle w:val="Heading1"/>
        <w:spacing w:after="160" w:before="320"/>
      </w:pPr>
      <w:r>
        <w:rPr>
          <w:rFonts w:ascii="Calibri" w:cs="Calibri" w:eastAsia="Microsoft YaHei" w:hAnsi="Calibri"/>
          <w:b/>
          <w:bCs/>
          <w:color w:val="0F4C5C"/>
          <w:sz w:val="30"/>
          <w:szCs w:val="30"/>
        </w:rPr>
        <w:t xml:space="preserve">1. Executive summary</w:t>
      </w:r>
    </w:p>
    <w:p>
      <w:pPr>
        <w:spacing w:after="140" w:line="276"/>
      </w:pPr>
      <w:r>
        <w:rPr>
          <w:rFonts w:ascii="Calibri" w:cs="Calibri" w:eastAsia="Microsoft YaHei" w:hAnsi="Calibri"/>
          <w:sz w:val="22"/>
          <w:szCs w:val="22"/>
        </w:rPr>
        <w:t xml:space="preserve">This report reviews the portfolio's two public surfaces — the mkdocs project pages (docs/projects/, 1 index + 10 project pages) and the showcase app pages (/projects and /projects/:id, rendered from each project's story.yaml) — against current best practice for data-portfolio storytelling drawn from Medium articles, hiring-manager rubrics and case-study guides.</w:t>
      </w:r>
    </w:p>
    <w:p>
      <w:pPr>
        <w:spacing w:after="140" w:line="276"/>
      </w:pPr>
      <w:r>
        <w:rPr>
          <w:rFonts w:ascii="Calibri" w:cs="Calibri" w:eastAsia="Microsoft YaHei" w:hAnsi="Calibri"/>
          <w:sz w:val="22"/>
          <w:szCs w:val="22"/>
        </w:rPr>
        <w:t xml:space="preserve">The engineering substance is exceptional and is the portfolio's biggest asset: every project reports real-data results against honest baselines, quantified failure modes, calibrated uncertainty and running monitoring. That rigor is rare and should not be diluted. The gap is purely presentational: </w:t>
      </w:r>
      <w:r>
        <w:rPr>
          <w:rFonts w:ascii="Calibri" w:cs="Calibri" w:eastAsia="Microsoft YaHei" w:hAnsi="Calibri"/>
          <w:b/>
          <w:bCs/>
          <w:sz w:val="22"/>
          <w:szCs w:val="22"/>
        </w:rPr>
        <w:t xml:space="preserve">the pages read like engineering logs rather than case studies</w:t>
      </w:r>
      <w:r>
        <w:rPr>
          <w:rFonts w:ascii="Calibri" w:cs="Calibri" w:eastAsia="Microsoft YaHei" w:hAnsi="Calibri"/>
          <w:sz w:val="22"/>
          <w:szCs w:val="22"/>
        </w:rPr>
        <w:t xml:space="preserve">, so the business value a reader should take away is often buried under protocol detail before it is earned.</w:t>
      </w:r>
    </w:p>
    <w:p>
      <w:pPr>
        <w:spacing w:after="140" w:line="276"/>
      </w:pPr>
      <w:r>
        <w:rPr>
          <w:rFonts w:ascii="Calibri" w:cs="Calibri" w:eastAsia="Microsoft YaHei" w:hAnsi="Calibri"/>
          <w:sz w:val="22"/>
          <w:szCs w:val="22"/>
        </w:rPr>
        <w:t xml:space="preserve">Five headline findings: </w:t>
      </w:r>
      <w:r>
        <w:rPr>
          <w:rFonts w:ascii="Calibri" w:cs="Calibri" w:eastAsia="Microsoft YaHei" w:hAnsi="Calibri"/>
          <w:b/>
          <w:bCs/>
          <w:sz w:val="22"/>
          <w:szCs w:val="22"/>
        </w:rPr>
        <w:t xml:space="preserve">(1)</w:t>
      </w:r>
      <w:r>
        <w:rPr>
          <w:rFonts w:ascii="Calibri" w:cs="Calibri" w:eastAsia="Microsoft YaHei" w:hAnsi="Calibri"/>
          <w:sz w:val="22"/>
          <w:szCs w:val="22"/>
        </w:rPr>
        <w:t xml:space="preserve"> the mkdocs project pages contain zero rendered figures — every chart exists only as a filename list, so the single most persuasive evidence (the visuals) is invisible where casual visitors land; </w:t>
      </w:r>
      <w:r>
        <w:rPr>
          <w:rFonts w:ascii="Calibri" w:cs="Calibri" w:eastAsia="Microsoft YaHei" w:hAnsi="Calibri"/>
          <w:b/>
          <w:bCs/>
          <w:sz w:val="22"/>
          <w:szCs w:val="22"/>
        </w:rPr>
        <w:t xml:space="preserve">(2)</w:t>
      </w:r>
      <w:r>
        <w:rPr>
          <w:rFonts w:ascii="Calibri" w:cs="Calibri" w:eastAsia="Microsoft YaHei" w:hAnsi="Calibri"/>
          <w:sz w:val="22"/>
          <w:szCs w:val="22"/>
        </w:rPr>
        <w:t xml:space="preserve"> openings front-load jargon and caveats before the payoff, violating the "answer the so-what first" rule that every storytelling source agrees on; </w:t>
      </w:r>
      <w:r>
        <w:rPr>
          <w:rFonts w:ascii="Calibri" w:cs="Calibri" w:eastAsia="Microsoft YaHei" w:hAnsi="Calibri"/>
          <w:b/>
          <w:bCs/>
          <w:sz w:val="22"/>
          <w:szCs w:val="22"/>
        </w:rPr>
        <w:t xml:space="preserve">(3)</w:t>
      </w:r>
      <w:r>
        <w:rPr>
          <w:rFonts w:ascii="Calibri" w:cs="Calibri" w:eastAsia="Microsoft YaHei" w:hAnsi="Calibri"/>
          <w:sz w:val="22"/>
          <w:szCs w:val="22"/>
        </w:rPr>
        <w:t xml:space="preserve"> the dual-audience pattern already exists in story.yaml ("Business implication" paragraphs) but is missing from the mkdocs pages, which are the pages search engines and GitHub visitors see; </w:t>
      </w:r>
      <w:r>
        <w:rPr>
          <w:rFonts w:ascii="Calibri" w:cs="Calibri" w:eastAsia="Microsoft YaHei" w:hAnsi="Calibri"/>
          <w:b/>
          <w:bCs/>
          <w:sz w:val="22"/>
          <w:szCs w:val="22"/>
        </w:rPr>
        <w:t xml:space="preserve">(4)</w:t>
      </w:r>
      <w:r>
        <w:rPr>
          <w:rFonts w:ascii="Calibri" w:cs="Calibri" w:eastAsia="Microsoft YaHei" w:hAnsi="Calibri"/>
          <w:sz w:val="22"/>
          <w:szCs w:val="22"/>
        </w:rPr>
        <w:t xml:space="preserve"> several small factual inconsistencies across pages (project counts, missing table rows) quietly undercut the "auditable" brand; </w:t>
      </w:r>
      <w:r>
        <w:rPr>
          <w:rFonts w:ascii="Calibri" w:cs="Calibri" w:eastAsia="Microsoft YaHei" w:hAnsi="Calibri"/>
          <w:b/>
          <w:bCs/>
          <w:sz w:val="22"/>
          <w:szCs w:val="22"/>
        </w:rPr>
        <w:t xml:space="preserve">(5)</w:t>
      </w:r>
      <w:r>
        <w:rPr>
          <w:rFonts w:ascii="Calibri" w:cs="Calibri" w:eastAsia="Microsoft YaHei" w:hAnsi="Calibri"/>
          <w:sz w:val="22"/>
          <w:szCs w:val="22"/>
        </w:rPr>
        <w:t xml:space="preserve"> figure placement in the showcase stories clusters 8 charts at the end of one section instead of pairing each visual with the claim it proves.</w:t>
      </w:r>
    </w:p>
    <w:p>
      <w:pPr>
        <w:spacing w:after="140" w:line="276"/>
      </w:pPr>
      <w:r>
        <w:rPr>
          <w:rFonts w:ascii="Calibri" w:cs="Calibri" w:eastAsia="Microsoft YaHei" w:hAnsi="Calibri"/>
          <w:sz w:val="22"/>
          <w:szCs w:val="22"/>
        </w:rPr>
        <w:t xml:space="preserve">All findings come with concrete, copy-pasteable rewrites, a per-project quick-win table, and a prioritized P0/P1/P2 plan in Section 9.</w:t>
      </w:r>
    </w:p>
    <w:p>
      <w:pPr>
        <w:pStyle w:val="Heading1"/>
        <w:spacing w:after="160" w:before="320"/>
      </w:pPr>
      <w:r>
        <w:rPr>
          <w:rFonts w:ascii="Calibri" w:cs="Calibri" w:eastAsia="Microsoft YaHei" w:hAnsi="Calibri"/>
          <w:b/>
          <w:bCs/>
          <w:color w:val="0F4C5C"/>
          <w:sz w:val="30"/>
          <w:szCs w:val="30"/>
        </w:rPr>
        <w:t xml:space="preserve">2. Scope and method</w:t>
      </w:r>
    </w:p>
    <w:p>
      <w:pPr>
        <w:pStyle w:val="ListParagraph"/>
        <w:numPr>
          <w:ilvl w:val="0"/>
          <w:numId w:val="1"/>
        </w:numPr>
        <w:spacing w:after="140" w:line="276"/>
      </w:pPr>
      <w:r>
        <w:rPr>
          <w:rFonts w:ascii="Calibri" w:cs="Calibri" w:eastAsia="Microsoft YaHei" w:hAnsi="Calibri"/>
          <w:sz w:val="22"/>
          <w:szCs w:val="22"/>
        </w:rPr>
        <w:t xml:space="preserve">Artifacts reviewed: docs/projects/index.md; docs/projects/01-rag-agent.md through 10-uplift-experimentation.md (all 10, read in full); projects/07-open-data-mobility/story.yaml (read in full as the representative showcase case study); projects/*/story.yaml figures blocks and portfolio.yaml metadata for all projects; apps/showcase-web pages ProjectsIndex.tsx, ProjectDetail.tsx, Home.tsx.</w:t>
      </w:r>
    </w:p>
    <w:p>
      <w:pPr>
        <w:pStyle w:val="ListParagraph"/>
        <w:numPr>
          <w:ilvl w:val="0"/>
          <w:numId w:val="1"/>
        </w:numPr>
        <w:spacing w:after="140" w:line="276"/>
      </w:pPr>
      <w:r>
        <w:rPr>
          <w:rFonts w:ascii="Calibri" w:cs="Calibri" w:eastAsia="Microsoft YaHei" w:hAnsi="Calibri"/>
          <w:sz w:val="22"/>
          <w:szCs w:val="22"/>
        </w:rPr>
        <w:t xml:space="preserve">External research: Medium articles and hiring-manager guides on data-science portfolios, data-storytelling guides, data-visualization best-practice posts, and case-study structure guides (cited in footnotes throughout Section 3).</w:t>
      </w:r>
    </w:p>
    <w:p>
      <w:pPr>
        <w:pStyle w:val="ListParagraph"/>
        <w:numPr>
          <w:ilvl w:val="0"/>
          <w:numId w:val="1"/>
        </w:numPr>
        <w:spacing w:after="140" w:line="276"/>
      </w:pPr>
      <w:r>
        <w:rPr>
          <w:rFonts w:ascii="Calibri" w:cs="Calibri" w:eastAsia="Microsoft YaHei" w:hAnsi="Calibri"/>
          <w:sz w:val="22"/>
          <w:szCs w:val="22"/>
        </w:rPr>
        <w:t xml:space="preserve">Note: the local dev server (localhost:8080) was not reachable from the review environment, so the audit was performed on the equivalent source content from the public GitHub repository (github.com/amm-ds/portfolio), which renders the same pages. Interactive figure files themselves are DVC-tracked and not in git, so figure review covers naming, placement and the text that surrounds each figure rather than pixel-level rendering.</w:t>
      </w:r>
    </w:p>
    <w:p>
      <w:pPr>
        <w:pStyle w:val="Heading1"/>
        <w:spacing w:after="160" w:before="320"/>
      </w:pPr>
      <w:r>
        <w:rPr>
          <w:rFonts w:ascii="Calibri" w:cs="Calibri" w:eastAsia="Microsoft YaHei" w:hAnsi="Calibri"/>
          <w:b/>
          <w:bCs/>
          <w:color w:val="0F4C5C"/>
          <w:sz w:val="30"/>
          <w:szCs w:val="30"/>
        </w:rPr>
        <w:t xml:space="preserve">3. What the research says</w:t>
      </w:r>
    </w:p>
    <w:p>
      <w:pPr>
        <w:spacing w:after="140" w:line="276"/>
      </w:pPr>
      <w:r>
        <w:rPr>
          <w:rFonts w:ascii="Calibri" w:cs="Calibri" w:eastAsia="Microsoft YaHei" w:hAnsi="Calibri"/>
          <w:sz w:val="22"/>
          <w:szCs w:val="22"/>
        </w:rPr>
        <w:t xml:space="preserve">Five themes recur across every source consulted, and they map one-to-one onto this portfolio's strengths and gaps.</w:t>
      </w:r>
    </w:p>
    <w:p>
      <w:pPr>
        <w:pStyle w:val="Heading3"/>
        <w:spacing w:after="100" w:before="200"/>
      </w:pPr>
      <w:r>
        <w:rPr>
          <w:rFonts w:ascii="Calibri" w:cs="Calibri" w:eastAsia="Microsoft YaHei" w:hAnsi="Calibri"/>
          <w:b/>
          <w:bCs/>
          <w:color w:val="333333"/>
          <w:sz w:val="23"/>
          <w:szCs w:val="23"/>
        </w:rPr>
        <w:t xml:space="preserve">3.1 Communicate problem, process and outcome — in that order</w:t>
      </w:r>
    </w:p>
    <w:p>
      <w:pPr>
        <w:spacing w:after="140" w:line="276"/>
      </w:pPr>
      <w:r>
        <w:rPr>
          <w:rFonts w:ascii="Calibri" w:cs="Calibri" w:eastAsia="Microsoft YaHei" w:hAnsi="Calibri"/>
          <w:sz w:val="22"/>
          <w:szCs w:val="22"/>
        </w:rPr>
        <w:t xml:space="preserve">Hiring managers explicitly ask for "the problem the candidate was given, how they thought outside the box and about downstream business impact, and ultimately, what they created and the difference it made" — and candidates who communicate business impact to non-technical audiences are the ones recruiters "aggressively pursue."</w:t>
      </w:r>
      <w:r>
        <w:rPr>
          <w:rStyle w:val="FootnoteReference"/>
        </w:rPr>
        <w:footnoteReference w:id="1"/>
      </w:r>
      <w:r>
        <w:rPr>
          <w:rFonts w:ascii="Calibri" w:cs="Calibri" w:eastAsia="Microsoft YaHei" w:hAnsi="Calibri"/>
          <w:sz w:val="22"/>
          <w:szCs w:val="22"/>
        </w:rPr>
        <w:t xml:space="preserve"> The Medium-adjacent guidance is blunter: "focus on the business outcomes of your work," because an employer needs to know you can do the job before being put in front of clients.</w:t>
      </w:r>
      <w:r>
        <w:rPr>
          <w:rStyle w:val="FootnoteReference"/>
        </w:rPr>
        <w:footnoteReference w:id="2"/>
      </w:r>
    </w:p>
    <w:p>
      <w:pPr>
        <w:pStyle w:val="Heading3"/>
        <w:spacing w:after="100" w:before="200"/>
      </w:pPr>
      <w:r>
        <w:rPr>
          <w:rFonts w:ascii="Calibri" w:cs="Calibri" w:eastAsia="Microsoft YaHei" w:hAnsi="Calibri"/>
          <w:b/>
          <w:bCs/>
          <w:color w:val="333333"/>
          <w:sz w:val="23"/>
          <w:szCs w:val="23"/>
        </w:rPr>
        <w:t xml:space="preserve">3.2 Every number must answer "so what — and what should we do about it?"</w:t>
      </w:r>
    </w:p>
    <w:p>
      <w:pPr>
        <w:spacing w:after="140" w:line="276"/>
      </w:pPr>
      <w:r>
        <w:rPr>
          <w:rFonts w:ascii="Calibri" w:cs="Calibri" w:eastAsia="Microsoft YaHei" w:hAnsi="Calibri"/>
          <w:sz w:val="22"/>
          <w:szCs w:val="22"/>
        </w:rPr>
        <w:t xml:space="preserve">The difference between a data presentation and a data story is that a story ends in a decision: not "open rates dropped 12%" but "here is what caused it, what I changed, and what it recovers."</w:t>
      </w:r>
      <w:r>
        <w:rPr>
          <w:rStyle w:val="FootnoteReference"/>
        </w:rPr>
        <w:footnoteReference w:id="3"/>
      </w:r>
      <w:r>
        <w:rPr>
          <w:rFonts w:ascii="Calibri" w:cs="Calibri" w:eastAsia="Microsoft YaHei" w:hAnsi="Calibri"/>
          <w:sz w:val="22"/>
          <w:szCs w:val="22"/>
        </w:rPr>
        <w:t xml:space="preserve"> Portfolio case studies follow the same anatomy: Challenge (with specific numbers) → Approach (why this path) → measurable Results, with quantified outcomes "non-negotiable."</w:t>
      </w:r>
      <w:r>
        <w:rPr>
          <w:rStyle w:val="FootnoteReference"/>
        </w:rPr>
        <w:footnoteReference w:id="4"/>
      </w:r>
    </w:p>
    <w:p>
      <w:pPr>
        <w:pStyle w:val="Heading3"/>
        <w:spacing w:after="100" w:before="200"/>
      </w:pPr>
      <w:r>
        <w:rPr>
          <w:rFonts w:ascii="Calibri" w:cs="Calibri" w:eastAsia="Microsoft YaHei" w:hAnsi="Calibri"/>
          <w:b/>
          <w:bCs/>
          <w:color w:val="333333"/>
          <w:sz w:val="23"/>
          <w:szCs w:val="23"/>
        </w:rPr>
        <w:t xml:space="preserve">3.3 Write for the non-technical first reader</w:t>
      </w:r>
    </w:p>
    <w:p>
      <w:pPr>
        <w:spacing w:after="140" w:line="276"/>
      </w:pPr>
      <w:r>
        <w:rPr>
          <w:rFonts w:ascii="Calibri" w:cs="Calibri" w:eastAsia="Microsoft YaHei" w:hAnsi="Calibri"/>
          <w:sz w:val="22"/>
          <w:szCs w:val="22"/>
        </w:rPr>
        <w:t xml:space="preserve">Hiring-manager rubrics penalize portfolios that "only someone with the candidate's exact knowledge could decipher"; a Level-3 (excellent) project "is structured like a compelling story... accessible to both technical and business audiences", while the most common advice to candidates is to avoid jargon overload and explain in plain language what the project achieves, because HR may screen the portfolio first.</w:t>
      </w:r>
      <w:r>
        <w:rPr>
          <w:rStyle w:val="FootnoteReference"/>
        </w:rPr>
        <w:footnoteReference w:id="5"/>
      </w:r>
      <w:r>
        <w:rPr>
          <w:rFonts w:ascii="Calibri" w:cs="Calibri" w:eastAsia="Microsoft YaHei" w:hAnsi="Calibri"/>
          <w:sz w:val="22"/>
          <w:szCs w:val="22"/>
        </w:rPr>
        <w:t xml:space="preserve"> "Less is more" also applies to project selection and to prose: each project should feel like a mini case study, readable in minutes.</w:t>
      </w:r>
      <w:r>
        <w:rPr>
          <w:rStyle w:val="FootnoteReference"/>
        </w:rPr>
        <w:footnoteReference w:id="6"/>
      </w:r>
    </w:p>
    <w:p>
      <w:pPr>
        <w:pStyle w:val="Heading3"/>
        <w:spacing w:after="100" w:before="200"/>
      </w:pPr>
      <w:r>
        <w:rPr>
          <w:rFonts w:ascii="Calibri" w:cs="Calibri" w:eastAsia="Microsoft YaHei" w:hAnsi="Calibri"/>
          <w:b/>
          <w:bCs/>
          <w:color w:val="333333"/>
          <w:sz w:val="23"/>
          <w:szCs w:val="23"/>
        </w:rPr>
        <w:t xml:space="preserve">3.4 Visuals carry the story — and each one needs a job</w:t>
      </w:r>
    </w:p>
    <w:p>
      <w:pPr>
        <w:spacing w:after="140" w:line="276"/>
      </w:pPr>
      <w:r>
        <w:rPr>
          <w:rFonts w:ascii="Calibri" w:cs="Calibri" w:eastAsia="Microsoft YaHei" w:hAnsi="Calibri"/>
          <w:sz w:val="22"/>
          <w:szCs w:val="22"/>
        </w:rPr>
        <w:t xml:space="preserve">Strong case studies include visuals with descriptive titles or captions next to the findings they support, annotated screenshots, and before/after layouts.</w:t>
      </w:r>
      <w:r>
        <w:rPr>
          <w:rStyle w:val="FootnoteReference"/>
        </w:rPr>
        <w:footnoteReference w:id="7"/>
      </w:r>
      <w:r>
        <w:rPr>
          <w:rFonts w:ascii="Calibri" w:cs="Calibri" w:eastAsia="Microsoft YaHei" w:hAnsi="Calibri"/>
          <w:sz w:val="22"/>
          <w:szCs w:val="22"/>
        </w:rPr>
        <w:t xml:space="preserve"> Data-visualization practice adds three rules this portfolio can adopt cheaply: give every number context (a target, a baseline, a benchmark — "a number without a benchmark tells half the story"), use color intentionally (bold color only for the data point that matters), and design for accessibility (color-blind-safe palettes, readable sizes).</w:t>
      </w:r>
      <w:r>
        <w:rPr>
          <w:rStyle w:val="FootnoteReference"/>
        </w:rPr>
        <w:footnoteReference w:id="8"/>
      </w:r>
    </w:p>
    <w:p>
      <w:pPr>
        <w:pStyle w:val="Heading3"/>
        <w:spacing w:after="100" w:before="200"/>
      </w:pPr>
      <w:r>
        <w:rPr>
          <w:rFonts w:ascii="Calibri" w:cs="Calibri" w:eastAsia="Microsoft YaHei" w:hAnsi="Calibri"/>
          <w:b/>
          <w:bCs/>
          <w:color w:val="333333"/>
          <w:sz w:val="23"/>
          <w:szCs w:val="23"/>
        </w:rPr>
        <w:t xml:space="preserve">3.5 Evidence habits that already beat the rubric</w:t>
      </w:r>
    </w:p>
    <w:p>
      <w:pPr>
        <w:spacing w:after="140" w:line="276"/>
      </w:pPr>
      <w:r>
        <w:rPr>
          <w:rFonts w:ascii="Calibri" w:cs="Calibri" w:eastAsia="Microsoft YaHei" w:hAnsi="Calibri"/>
          <w:sz w:val="22"/>
          <w:szCs w:val="22"/>
        </w:rPr>
        <w:t xml:space="preserve">The same rubrics reward baselines, held-out evaluation, error analysis and stated limitations — exactly what this portfolio does systematically (temporal holdouts, naive floors, bootstrap CIs, honest flat/negative results). The work needed is not more rigor; it is surfacing the rigor so a skim reader meets the payoff in the first ten seconds.</w:t>
      </w:r>
    </w:p>
    <w:p>
      <w:pPr>
        <w:pStyle w:val="Heading1"/>
        <w:spacing w:after="160" w:before="320"/>
      </w:pPr>
      <w:r>
        <w:rPr>
          <w:rFonts w:ascii="Calibri" w:cs="Calibri" w:eastAsia="Microsoft YaHei" w:hAnsi="Calibri"/>
          <w:b/>
          <w:bCs/>
          <w:color w:val="0F4C5C"/>
          <w:sz w:val="30"/>
          <w:szCs w:val="30"/>
        </w:rPr>
        <w:t xml:space="preserve">4. Overall strengths — what to keep</w:t>
      </w:r>
    </w:p>
    <w:p>
      <w:pPr>
        <w:pStyle w:val="ListParagraph"/>
        <w:numPr>
          <w:ilvl w:val="0"/>
          <w:numId w:val="1"/>
        </w:numPr>
        <w:spacing w:after="140" w:line="276"/>
      </w:pPr>
      <w:r>
        <w:rPr>
          <w:rFonts w:ascii="Calibri" w:cs="Calibri" w:eastAsia="Microsoft YaHei" w:hAnsi="Calibri"/>
          <w:sz w:val="22"/>
          <w:szCs w:val="22"/>
        </w:rPr>
        <w:t xml:space="preserve">Honest baselines everywhere: naive floors, seasonal baselines, persistence models and best-known benchmarks appear in every results table. This is precisely what hiring-manager rubrics score as "evaluation rigor" at the top level.</w:t>
      </w:r>
    </w:p>
    <w:p>
      <w:pPr>
        <w:pStyle w:val="ListParagraph"/>
        <w:numPr>
          <w:ilvl w:val="0"/>
          <w:numId w:val="1"/>
        </w:numPr>
        <w:spacing w:after="140" w:line="276"/>
      </w:pPr>
      <w:r>
        <w:rPr>
          <w:rFonts w:ascii="Calibri" w:cs="Calibri" w:eastAsia="Microsoft YaHei" w:hAnsi="Calibri"/>
          <w:sz w:val="22"/>
          <w:szCs w:val="22"/>
        </w:rPr>
        <w:t xml:space="preserve">The "Business implication" paragraph pattern in story.yaml: nearly every section ends with a bolded, plain-language implication. This is the single best storytelling device in the portfolio and should be treated as the house standard — and ported to the mkdocs pages.</w:t>
      </w:r>
    </w:p>
    <w:p>
      <w:pPr>
        <w:pStyle w:val="ListParagraph"/>
        <w:numPr>
          <w:ilvl w:val="0"/>
          <w:numId w:val="1"/>
        </w:numPr>
        <w:spacing w:after="140" w:line="276"/>
      </w:pPr>
      <w:r>
        <w:rPr>
          <w:rFonts w:ascii="Calibri" w:cs="Calibri" w:eastAsia="Microsoft YaHei" w:hAnsi="Calibri"/>
          <w:sz w:val="22"/>
          <w:szCs w:val="22"/>
        </w:rPr>
        <w:t xml:space="preserve">Quantified caveats: "within judge noise", "directional, not causal", flagged under-coverage in sparse zones. The instinct is correct and differentiating; Section 5.2 shows how to keep it without burying the lede.</w:t>
      </w:r>
    </w:p>
    <w:p>
      <w:pPr>
        <w:pStyle w:val="ListParagraph"/>
        <w:numPr>
          <w:ilvl w:val="0"/>
          <w:numId w:val="1"/>
        </w:numPr>
        <w:spacing w:after="140" w:line="276"/>
      </w:pPr>
      <w:r>
        <w:rPr>
          <w:rFonts w:ascii="Calibri" w:cs="Calibri" w:eastAsia="Microsoft YaHei" w:hAnsi="Calibri"/>
          <w:sz w:val="22"/>
          <w:szCs w:val="22"/>
        </w:rPr>
        <w:t xml:space="preserve">Live verification habits: a drift-observatory workflow that opens GitHub issues, a serving endpoint verified live, "$0 API" cost accounting. "Monitoring is running software, not a runbook" is a genuinely memorable line — exactly the kind of sentence that should open a section, not close it.</w:t>
      </w:r>
    </w:p>
    <w:p>
      <w:pPr>
        <w:pStyle w:val="ListParagraph"/>
        <w:numPr>
          <w:ilvl w:val="0"/>
          <w:numId w:val="1"/>
        </w:numPr>
        <w:spacing w:after="140" w:line="276"/>
      </w:pPr>
      <w:r>
        <w:rPr>
          <w:rFonts w:ascii="Calibri" w:cs="Calibri" w:eastAsia="Microsoft YaHei" w:hAnsi="Calibri"/>
          <w:sz w:val="22"/>
          <w:szCs w:val="22"/>
        </w:rPr>
        <w:t xml:space="preserve">Results tables are well-formed (run × metric ladders with the winner bolded), and artifacts are consistently linked. The scaffolding of a great case study is already in place.</w:t>
      </w:r>
    </w:p>
    <w:p>
      <w:pPr>
        <w:pStyle w:val="Heading1"/>
        <w:spacing w:after="160" w:before="320"/>
      </w:pPr>
      <w:r>
        <w:rPr>
          <w:rFonts w:ascii="Calibri" w:cs="Calibri" w:eastAsia="Microsoft YaHei" w:hAnsi="Calibri"/>
          <w:b/>
          <w:bCs/>
          <w:color w:val="0F4C5C"/>
          <w:sz w:val="30"/>
          <w:szCs w:val="30"/>
        </w:rPr>
        <w:t xml:space="preserve">5. Cross-cutting findings and recommendations</w:t>
      </w:r>
    </w:p>
    <w:p>
      <w:pPr>
        <w:pStyle w:val="Heading2"/>
        <w:spacing w:after="120" w:before="260"/>
      </w:pPr>
      <w:r>
        <w:rPr>
          <w:rFonts w:ascii="Calibri" w:cs="Calibri" w:eastAsia="Microsoft YaHei" w:hAnsi="Calibri"/>
          <w:b/>
          <w:bCs/>
          <w:color w:val="0F4C5C"/>
          <w:sz w:val="25"/>
          <w:szCs w:val="25"/>
        </w:rPr>
        <w:t xml:space="preserve">5.1 Narrative arc and page structure</w:t>
      </w:r>
    </w:p>
    <w:p>
      <w:pPr>
        <w:spacing w:after="140" w:line="276"/>
      </w:pPr>
      <w:r>
        <w:rPr>
          <w:rFonts w:ascii="Calibri" w:cs="Calibri" w:eastAsia="Microsoft YaHei" w:hAnsi="Calibri"/>
          <w:b/>
          <w:bCs/>
          <w:sz w:val="22"/>
          <w:szCs w:val="22"/>
        </w:rPr>
        <w:t xml:space="preserve">Finding. </w:t>
      </w:r>
      <w:r>
        <w:rPr>
          <w:rFonts w:ascii="Calibri" w:cs="Calibri" w:eastAsia="Microsoft YaHei" w:hAnsi="Calibri"/>
          <w:sz w:val="22"/>
          <w:szCs w:val="22"/>
        </w:rPr>
        <w:t xml:space="preserve">The mkdocs project pages open with a compressed technical abstract and jump straight into results tables. None of the 10 pages states, in the first two sentences: who has the problem, what decision the analysis supports, and what the headline outcome was. Compare the rubric's Level-3 description: "starting with a brief overview of the problem and approach... concluding with clear recommendations."</w:t>
      </w:r>
    </w:p>
    <w:p>
      <w:pPr>
        <w:spacing w:after="140" w:line="276"/>
      </w:pPr>
      <w:r>
        <w:rPr>
          <w:rFonts w:ascii="Calibri" w:cs="Calibri" w:eastAsia="Microsoft YaHei" w:hAnsi="Calibri"/>
          <w:b/>
          <w:bCs/>
          <w:sz w:val="22"/>
          <w:szCs w:val="22"/>
        </w:rPr>
        <w:t xml:space="preserve">Impact. </w:t>
      </w:r>
      <w:r>
        <w:rPr>
          <w:rFonts w:ascii="Calibri" w:cs="Calibri" w:eastAsia="Microsoft YaHei" w:hAnsi="Calibri"/>
          <w:sz w:val="22"/>
          <w:szCs w:val="22"/>
        </w:rPr>
        <w:t xml:space="preserve">A hiring manager skimming 10 projects never finds the through-line; a business reader bounces at sentence one. Meanwhile the showcase app story.yaml files DO follow a background → objectives → data → EDA → training → evaluation → results → conclusions arc — so the site's best narrative is locked in the app and absent from the indexed, linked, GitHub-visible pages.</w:t>
      </w:r>
    </w:p>
    <w:p>
      <w:pPr>
        <w:spacing w:after="140" w:line="276"/>
      </w:pPr>
      <w:r>
        <w:rPr>
          <w:rFonts w:ascii="Calibri" w:cs="Calibri" w:eastAsia="Microsoft YaHei" w:hAnsi="Calibri"/>
          <w:b/>
          <w:bCs/>
          <w:sz w:val="22"/>
          <w:szCs w:val="22"/>
        </w:rPr>
        <w:t xml:space="preserve">Recommendation. </w:t>
      </w:r>
      <w:r>
        <w:rPr>
          <w:rFonts w:ascii="Calibri" w:cs="Calibri" w:eastAsia="Microsoft YaHei" w:hAnsi="Calibri"/>
          <w:sz w:val="22"/>
          <w:szCs w:val="22"/>
        </w:rPr>
        <w:t xml:space="preserve">Adopt one six-beat template for every project page (both surfaces), visible as section headings: </w:t>
      </w:r>
      <w:r>
        <w:rPr>
          <w:rFonts w:ascii="Calibri" w:cs="Calibri" w:eastAsia="Microsoft YaHei" w:hAnsi="Calibri"/>
          <w:i/>
          <w:iCs/>
          <w:sz w:val="22"/>
          <w:szCs w:val="22"/>
        </w:rPr>
        <w:t xml:space="preserve">(1) The problem &amp; who feels it — (2) What was delivered &amp; the headline number — (3) Data &amp; why it is trustworthy — (4) Approach in one paragraph, one diagram — (5) Results: table + one hero chart, takeaway first, caveats after — (6) Business implication + honest limitations + what's next.</w:t>
      </w:r>
    </w:p>
    <w:p>
      <w:pPr>
        <w:spacing w:after="140" w:line="276"/>
      </w:pPr>
      <w:r>
        <w:rPr>
          <w:rFonts w:ascii="Calibri" w:cs="Calibri" w:eastAsia="Microsoft YaHei" w:hAnsi="Calibri"/>
          <w:sz w:val="22"/>
          <w:szCs w:val="22"/>
        </w:rPr>
        <w:t xml:space="preserve">The story.yaml section order already approximates this; the mkdocs pages are the outlier. Minimal-change version: add a two-sentence "TL;DR" box at the top of each mkdocs page (problem + headline outcome + link to the interactive story), and move the current dense first paragraph under "Approach".</w:t>
      </w:r>
    </w:p>
    <w:p>
      <w:pPr>
        <w:pStyle w:val="Heading2"/>
        <w:spacing w:after="120" w:before="260"/>
      </w:pPr>
      <w:r>
        <w:rPr>
          <w:rFonts w:ascii="Calibri" w:cs="Calibri" w:eastAsia="Microsoft YaHei" w:hAnsi="Calibri"/>
          <w:b/>
          <w:bCs/>
          <w:color w:val="0F4C5C"/>
          <w:sz w:val="25"/>
          <w:szCs w:val="25"/>
        </w:rPr>
        <w:t xml:space="preserve">5.2 Language and tone</w:t>
      </w:r>
    </w:p>
    <w:p>
      <w:pPr>
        <w:spacing w:after="140" w:line="276"/>
      </w:pPr>
      <w:r>
        <w:rPr>
          <w:rFonts w:ascii="Calibri" w:cs="Calibri" w:eastAsia="Microsoft YaHei" w:hAnsi="Calibri"/>
          <w:b/>
          <w:bCs/>
          <w:sz w:val="22"/>
          <w:szCs w:val="22"/>
        </w:rPr>
        <w:t xml:space="preserve">Finding. </w:t>
      </w:r>
      <w:r>
        <w:rPr>
          <w:rFonts w:ascii="Calibri" w:cs="Calibri" w:eastAsia="Microsoft YaHei" w:hAnsi="Calibri"/>
          <w:sz w:val="22"/>
          <w:szCs w:val="22"/>
        </w:rPr>
        <w:t xml:space="preserve">Three recurring patterns work against engagement:</w:t>
      </w:r>
    </w:p>
    <w:p>
      <w:pPr>
        <w:pStyle w:val="ListParagraph"/>
        <w:numPr>
          <w:ilvl w:val="0"/>
          <w:numId w:val="1"/>
        </w:numPr>
        <w:spacing w:after="140" w:line="276"/>
      </w:pPr>
      <w:r>
        <w:rPr>
          <w:rFonts w:ascii="Calibri" w:cs="Calibri" w:eastAsia="Microsoft YaHei" w:hAnsi="Calibri"/>
          <w:b/>
          <w:bCs/>
          <w:sz w:val="22"/>
          <w:szCs w:val="22"/>
        </w:rPr>
        <w:t xml:space="preserve">Jargon stacks</w:t>
      </w:r>
      <w:r>
        <w:rPr>
          <w:rFonts w:ascii="Calibri" w:cs="Calibri" w:eastAsia="Microsoft YaHei" w:hAnsi="Calibri"/>
          <w:sz w:val="22"/>
          <w:szCs w:val="22"/>
        </w:rPr>
        <w:t xml:space="preserve">Jargon stacks before payoff. Example (07): "engineered with lazy/streaming Polars under a 2 GB RAM peak, gated by per-month DQ contracts, and validated with leakage-proof temporal splits" — five technical constructs in one sentence, none glossed, all before the reader knows why the project exists. </w:t>
      </w:r>
    </w:p>
    <w:p>
      <w:pPr>
        <w:pStyle w:val="ListParagraph"/>
        <w:numPr>
          <w:ilvl w:val="0"/>
          <w:numId w:val="1"/>
        </w:numPr>
        <w:spacing w:after="140" w:line="276"/>
      </w:pPr>
      <w:r>
        <w:rPr>
          <w:rFonts w:ascii="Calibri" w:cs="Calibri" w:eastAsia="Microsoft YaHei" w:hAnsi="Calibri"/>
          <w:b/>
          <w:bCs/>
          <w:sz w:val="22"/>
          <w:szCs w:val="22"/>
        </w:rPr>
        <w:t xml:space="preserve">Caveats first</w:t>
      </w:r>
      <w:r>
        <w:rPr>
          <w:rFonts w:ascii="Calibri" w:cs="Calibri" w:eastAsia="Microsoft YaHei" w:hAnsi="Calibri"/>
          <w:sz w:val="22"/>
          <w:szCs w:val="22"/>
        </w:rPr>
        <w:t xml:space="preserve">Caveats precede takeaways. 07's results narrative reports "honest flat result" and "within noise" before stating that the GBM removes 28.4% of forecast error; 01 leads its results section with why the old 10-question number was retired. The honesty is the brand — but ordering caveat-first teaches the skimmer that the answer is "nothing worked." </w:t>
      </w:r>
    </w:p>
    <w:p>
      <w:pPr>
        <w:pStyle w:val="ListParagraph"/>
        <w:numPr>
          <w:ilvl w:val="0"/>
          <w:numId w:val="1"/>
        </w:numPr>
        <w:spacing w:after="140" w:line="276"/>
      </w:pPr>
      <w:r>
        <w:rPr>
          <w:rFonts w:ascii="Calibri" w:cs="Calibri" w:eastAsia="Microsoft YaHei" w:hAnsi="Calibri"/>
          <w:b/>
          <w:bCs/>
          <w:sz w:val="22"/>
          <w:szCs w:val="22"/>
        </w:rPr>
        <w:t xml:space="preserve">Filenames as prose</w:t>
      </w:r>
      <w:r>
        <w:rPr>
          <w:rFonts w:ascii="Calibri" w:cs="Calibri" w:eastAsia="Microsoft YaHei" w:hAnsi="Calibri"/>
          <w:sz w:val="22"/>
          <w:szCs w:val="22"/>
        </w:rPr>
        <w:t xml:space="preserve">Filenames as prose. "Figures: corpus composition, chunk-size sweep with random baseline, embedding model comparison..." — a directory listing in sentence form tells the reader where charts live, not what they show. (This is also where the missing-figure problem of 5.4 shows up.) </w:t>
      </w:r>
    </w:p>
    <w:p>
      <w:pPr>
        <w:spacing w:after="140" w:line="276"/>
      </w:pPr>
      <w:r>
        <w:rPr>
          <w:rFonts w:ascii="Calibri" w:cs="Calibri" w:eastAsia="Microsoft YaHei" w:hAnsi="Calibri"/>
          <w:b/>
          <w:bCs/>
          <w:sz w:val="22"/>
          <w:szCs w:val="22"/>
        </w:rPr>
        <w:t xml:space="preserve">Recommendation. </w:t>
      </w:r>
      <w:r>
        <w:rPr>
          <w:rFonts w:ascii="Calibri" w:cs="Calibri" w:eastAsia="Microsoft YaHei" w:hAnsi="Calibri"/>
          <w:sz w:val="22"/>
          <w:szCs w:val="22"/>
        </w:rPr>
        <w:t xml:space="preserve">Apply three mechanical edits site-wide: </w:t>
      </w:r>
      <w:r>
        <w:rPr>
          <w:rFonts w:ascii="Calibri" w:cs="Calibri" w:eastAsia="Microsoft YaHei" w:hAnsi="Calibri"/>
          <w:b/>
          <w:bCs/>
          <w:sz w:val="22"/>
          <w:szCs w:val="22"/>
        </w:rPr>
        <w:t xml:space="preserve">(a)</w:t>
      </w:r>
      <w:r>
        <w:rPr>
          <w:rFonts w:ascii="Calibri" w:cs="Calibri" w:eastAsia="Microsoft YaHei" w:hAnsi="Calibri"/>
          <w:sz w:val="22"/>
          <w:szCs w:val="22"/>
        </w:rPr>
        <w:t xml:space="preserve"> every opening paragraph gets one plain-language sentence before any tool name ("41 million real taxi trips, processed on a laptop, cut forecast error 28% — here's how"); </w:t>
      </w:r>
      <w:r>
        <w:rPr>
          <w:rFonts w:ascii="Calibri" w:cs="Calibri" w:eastAsia="Microsoft YaHei" w:hAnsi="Calibri"/>
          <w:b/>
          <w:bCs/>
          <w:sz w:val="22"/>
          <w:szCs w:val="22"/>
        </w:rPr>
        <w:t xml:space="preserve">(b)</w:t>
      </w:r>
      <w:r>
        <w:rPr>
          <w:rFonts w:ascii="Calibri" w:cs="Calibri" w:eastAsia="Microsoft YaHei" w:hAnsi="Calibri"/>
          <w:sz w:val="22"/>
          <w:szCs w:val="22"/>
        </w:rPr>
        <w:t xml:space="preserve"> reorder every results narrative to takeaway → evidence → caveat ("the GBM cut error 28%; tuning added nothing beyond noise — an honest flat result"); </w:t>
      </w:r>
      <w:r>
        <w:rPr>
          <w:rFonts w:ascii="Calibri" w:cs="Calibri" w:eastAsia="Microsoft YaHei" w:hAnsi="Calibri"/>
          <w:b/>
          <w:bCs/>
          <w:sz w:val="22"/>
          <w:szCs w:val="22"/>
        </w:rPr>
        <w:t xml:space="preserve">(c)</w:t>
      </w:r>
      <w:r>
        <w:rPr>
          <w:rFonts w:ascii="Calibri" w:cs="Calibri" w:eastAsia="Microsoft YaHei" w:hAnsi="Calibri"/>
          <w:sz w:val="22"/>
          <w:szCs w:val="22"/>
        </w:rPr>
        <w:t xml:space="preserve"> replace figure-name lists with one rendered figure per key claim (see 5.4). Keep the technical vocabulary — it signals seniority — but let each term arrive after its reason to exist.</w:t>
      </w:r>
    </w:p>
    <w:p>
      <w:pPr>
        <w:spacing w:after="140" w:line="276"/>
      </w:pPr>
      <w:r>
        <w:rPr>
          <w:rFonts w:ascii="Calibri" w:cs="Calibri" w:eastAsia="Microsoft YaHei" w:hAnsi="Calibri"/>
          <w:sz w:val="22"/>
          <w:szCs w:val="22"/>
        </w:rPr>
        <w:t xml:space="preserve">Tone otherwise is a strength: confident, precise, free of hype adjectives. Do not "warm it up" — just re-order it.</w:t>
      </w:r>
    </w:p>
    <w:p>
      <w:pPr>
        <w:pStyle w:val="Heading2"/>
        <w:spacing w:after="120" w:before="260"/>
      </w:pPr>
      <w:r>
        <w:rPr>
          <w:rFonts w:ascii="Calibri" w:cs="Calibri" w:eastAsia="Microsoft YaHei" w:hAnsi="Calibri"/>
          <w:b/>
          <w:bCs/>
          <w:color w:val="0F4C5C"/>
          <w:sz w:val="25"/>
          <w:szCs w:val="25"/>
        </w:rPr>
        <w:t xml:space="preserve">5.3 Serving tech and business readers at once</w:t>
      </w:r>
    </w:p>
    <w:p>
      <w:pPr>
        <w:spacing w:after="140" w:line="276"/>
      </w:pPr>
      <w:r>
        <w:rPr>
          <w:rFonts w:ascii="Calibri" w:cs="Calibri" w:eastAsia="Microsoft YaHei" w:hAnsi="Calibri"/>
          <w:b/>
          <w:bCs/>
          <w:sz w:val="22"/>
          <w:szCs w:val="22"/>
        </w:rPr>
        <w:t xml:space="preserve">Finding. </w:t>
      </w:r>
      <w:r>
        <w:rPr>
          <w:rFonts w:ascii="Calibri" w:cs="Calibri" w:eastAsia="Microsoft YaHei" w:hAnsi="Calibri"/>
          <w:sz w:val="22"/>
          <w:szCs w:val="22"/>
        </w:rPr>
        <w:t xml:space="preserve">The two audiences currently must read the same dense text. story.yaml solves this with per-section "Business implication" paragraphs, but: (1) those paragraphs often repeat the section's last technical sentence in milder words rather than adding the decision angle ("what would a fleet operator DO with this?"); (2) the mkdocs pages have no equivalent at all; (3) metric tables (MAE / RMSE / MAPE / MASE) are presented with no one-line gloss, so the business reader cannot tell which column matters — e.g. MASE is only explained deep in 07's story ("1.0 = persistence parity"), which is the single most business-readable number in the table.</w:t>
      </w:r>
    </w:p>
    <w:p>
      <w:pPr>
        <w:spacing w:after="140" w:line="276"/>
      </w:pPr>
      <w:r>
        <w:rPr>
          <w:rFonts w:ascii="Calibri" w:cs="Calibri" w:eastAsia="Microsoft YaHei" w:hAnsi="Calibri"/>
          <w:b/>
          <w:bCs/>
          <w:sz w:val="22"/>
          <w:szCs w:val="22"/>
        </w:rPr>
        <w:t xml:space="preserve">Recommendation. </w:t>
      </w:r>
      <w:r>
        <w:rPr>
          <w:rFonts w:ascii="Calibri" w:cs="Calibri" w:eastAsia="Microsoft YaHei" w:hAnsi="Calibri"/>
          <w:sz w:val="22"/>
          <w:szCs w:val="22"/>
        </w:rPr>
        <w:t xml:space="preserve">Three cheap devices: </w:t>
      </w:r>
      <w:r>
        <w:rPr>
          <w:rFonts w:ascii="Calibri" w:cs="Calibri" w:eastAsia="Microsoft YaHei" w:hAnsi="Calibri"/>
          <w:b/>
          <w:bCs/>
          <w:sz w:val="22"/>
          <w:szCs w:val="22"/>
        </w:rPr>
        <w:t xml:space="preserve">(a)</w:t>
      </w:r>
      <w:r>
        <w:rPr>
          <w:rFonts w:ascii="Calibri" w:cs="Calibri" w:eastAsia="Microsoft YaHei" w:hAnsi="Calibri"/>
          <w:sz w:val="22"/>
          <w:szCs w:val="22"/>
        </w:rPr>
        <w:t xml:space="preserve"> add a "How to read this table" one-liner above every metrics table (e.g. "MASE below 1.0 means the model beats 'same hour last week' — lower is better; the bolded row is what shipped"); </w:t>
      </w:r>
      <w:r>
        <w:rPr>
          <w:rFonts w:ascii="Calibri" w:cs="Calibri" w:eastAsia="Microsoft YaHei" w:hAnsi="Calibri"/>
          <w:b/>
          <w:bCs/>
          <w:sz w:val="22"/>
          <w:szCs w:val="22"/>
        </w:rPr>
        <w:t xml:space="preserve">(b)</w:t>
      </w:r>
      <w:r>
        <w:rPr>
          <w:rFonts w:ascii="Calibri" w:cs="Calibri" w:eastAsia="Microsoft YaHei" w:hAnsi="Calibri"/>
          <w:sz w:val="22"/>
          <w:szCs w:val="22"/>
        </w:rPr>
        <w:t xml:space="preserve"> rewrite each Business implication as decision + magnitude + boundary ("Staff against the p90 band — it covers 90.8% of hours; do not trust it in the flagged sparse zones"), and port the pattern to mkdocs as a standard final "Business takeaway" section; </w:t>
      </w:r>
      <w:r>
        <w:rPr>
          <w:rFonts w:ascii="Calibri" w:cs="Calibri" w:eastAsia="Microsoft YaHei" w:hAnsi="Calibri"/>
          <w:b/>
          <w:bCs/>
          <w:sz w:val="22"/>
          <w:szCs w:val="22"/>
        </w:rPr>
        <w:t xml:space="preserve">(c)</w:t>
      </w:r>
      <w:r>
        <w:rPr>
          <w:rFonts w:ascii="Calibri" w:cs="Calibri" w:eastAsia="Microsoft YaHei" w:hAnsi="Calibri"/>
          <w:sz w:val="22"/>
          <w:szCs w:val="22"/>
        </w:rPr>
        <w:t xml:space="preserve"> add a per-page at-a-glance strip (the showcase app already has a MetricCallouts component) — 3–4 KPI chips: e.g. 07 → "−28.4% MAE vs naive · p90 band 90.8% calibrated · 41.2M rows · &lt;3 GB RAM".</w:t>
      </w:r>
    </w:p>
    <w:p>
      <w:pPr>
        <w:spacing w:after="140" w:line="276"/>
      </w:pPr>
      <w:r>
        <w:rPr>
          <w:rFonts w:ascii="Calibri" w:cs="Calibri" w:eastAsia="Microsoft YaHei" w:hAnsi="Calibri"/>
          <w:sz w:val="22"/>
          <w:szCs w:val="22"/>
        </w:rPr>
        <w:t xml:space="preserve">On the projects index page specifically: the table of 10 projects lists Domain / Data / Status but no outcome. Add an "Impact in one line" column (or a subtitle under each project name in the showcase cards) — e.g. 05: "cut retention-campaign cost 41.9% vs naive"; 06: "within 4.23% of best-known VRPTW solutions". This turns the index from a catalog into a portfolio.</w:t>
      </w:r>
    </w:p>
    <w:p>
      <w:pPr>
        <w:pStyle w:val="Heading2"/>
        <w:spacing w:after="120" w:before="260"/>
      </w:pPr>
      <w:r>
        <w:rPr>
          <w:rFonts w:ascii="Calibri" w:cs="Calibri" w:eastAsia="Microsoft YaHei" w:hAnsi="Calibri"/>
          <w:b/>
          <w:bCs/>
          <w:color w:val="0F4C5C"/>
          <w:sz w:val="25"/>
          <w:szCs w:val="25"/>
        </w:rPr>
        <w:t xml:space="preserve">5.4 Visualizations and their placement</w:t>
      </w:r>
    </w:p>
    <w:p>
      <w:pPr>
        <w:spacing w:after="140" w:line="276"/>
      </w:pPr>
      <w:r>
        <w:rPr>
          <w:rFonts w:ascii="Calibri" w:cs="Calibri" w:eastAsia="Microsoft YaHei" w:hAnsi="Calibri"/>
          <w:b/>
          <w:bCs/>
          <w:sz w:val="22"/>
          <w:szCs w:val="22"/>
        </w:rPr>
        <w:t xml:space="preserve">Finding 1 — the mkdocs pages show no charts at all. </w:t>
      </w:r>
      <w:r>
        <w:rPr>
          <w:rFonts w:ascii="Calibri" w:cs="Calibri" w:eastAsia="Microsoft YaHei" w:hAnsi="Calibri"/>
          <w:sz w:val="22"/>
          <w:szCs w:val="22"/>
        </w:rPr>
        <w:t xml:space="preserve">Across all 10 docs pages, figures are referenced only as filename lists ("Figures: ... (all in projects/01-rag-agent/reports/figures/)"). A reader on the GitHub-rendered or mkdocs site never sees a single visualization — the highest-value evidence the portfolio produces. Every research source consulted treats visuals next to findings as table stakes.</w:t>
      </w:r>
    </w:p>
    <w:p>
      <w:pPr>
        <w:spacing w:after="140" w:line="276"/>
      </w:pPr>
      <w:r>
        <w:rPr>
          <w:rFonts w:ascii="Calibri" w:cs="Calibri" w:eastAsia="Microsoft YaHei" w:hAnsi="Calibri"/>
          <w:b/>
          <w:bCs/>
          <w:sz w:val="22"/>
          <w:szCs w:val="22"/>
        </w:rPr>
        <w:t xml:space="preserve">Finding 2 — story figures cluster instead of pairing with claims. </w:t>
      </w:r>
      <w:r>
        <w:rPr>
          <w:rFonts w:ascii="Calibri" w:cs="Calibri" w:eastAsia="Microsoft YaHei" w:hAnsi="Calibri"/>
          <w:sz w:val="22"/>
          <w:szCs w:val="22"/>
        </w:rPr>
        <w:t xml:space="preserve">In 07's story.yaml, the "results" section carries eight figures (gbm_vs_nn, p90_calibration, weather_elasticity, gbm_feature_importance, p90_band, green_transfer, zone_residual_map, zone_fan) — a gallery at the end of one section, where the reader meets them divorced from the sentence that argues them. Meanwhile background, objectives, data, training and conclusions sections have zero figures; a story with nothing to look at until 60% of the way through.</w:t>
      </w:r>
    </w:p>
    <w:p>
      <w:pPr>
        <w:spacing w:after="140" w:line="276"/>
      </w:pPr>
      <w:r>
        <w:rPr>
          <w:rFonts w:ascii="Calibri" w:cs="Calibri" w:eastAsia="Microsoft YaHei" w:hAnsi="Calibri"/>
          <w:b/>
          <w:bCs/>
          <w:sz w:val="22"/>
          <w:szCs w:val="22"/>
        </w:rPr>
        <w:t xml:space="preserve">Finding 3 — figure names describe metrics, not conclusions. </w:t>
      </w:r>
      <w:r>
        <w:rPr>
          <w:rFonts w:ascii="Calibri" w:cs="Calibri" w:eastAsia="Microsoft YaHei" w:hAnsi="Calibri"/>
          <w:sz w:val="22"/>
          <w:szCs w:val="22"/>
        </w:rPr>
        <w:t xml:space="preserve">Chart slugs like gbm_vs_nn, weather_elasticity, p90_calibration become the visible titles; best practice is titles that state the finding ("Rain moves outer-borough demand 7–10%; Manhattan doesn't care").</w:t>
      </w:r>
    </w:p>
    <w:p>
      <w:pPr>
        <w:spacing w:after="140" w:line="276"/>
      </w:pPr>
      <w:r>
        <w:rPr>
          <w:rFonts w:ascii="Calibri" w:cs="Calibri" w:eastAsia="Microsoft YaHei" w:hAnsi="Calibri"/>
          <w:b/>
          <w:bCs/>
          <w:sz w:val="22"/>
          <w:szCs w:val="22"/>
        </w:rPr>
        <w:t xml:space="preserve">Recommendation — a placement contract for every figure:</w:t>
      </w:r>
    </w:p>
    <w:p>
      <w:pPr>
        <w:pStyle w:val="ListParagraph"/>
        <w:numPr>
          <w:ilvl w:val="0"/>
          <w:numId w:val="1"/>
        </w:numPr>
        <w:spacing w:after="140" w:line="276"/>
      </w:pPr>
      <w:r>
        <w:rPr>
          <w:rFonts w:ascii="Calibri" w:cs="Calibri" w:eastAsia="Microsoft YaHei" w:hAnsi="Calibri"/>
          <w:sz w:val="22"/>
          <w:szCs w:val="22"/>
        </w:rPr>
        <w:t xml:space="preserve">Each figure sits directly under the sentence or bullet it evidences — never in a trailing gallery. Target 1–3 figures per section, each with a takeaway title and a one-line caption ("Queens 0.92x, Staten Island 0.93x — directional, not causal").</w:t>
      </w:r>
    </w:p>
    <w:p>
      <w:pPr>
        <w:pStyle w:val="ListParagraph"/>
        <w:numPr>
          <w:ilvl w:val="0"/>
          <w:numId w:val="1"/>
        </w:numPr>
        <w:spacing w:after="140" w:line="276"/>
      </w:pPr>
      <w:r>
        <w:rPr>
          <w:rFonts w:ascii="Calibri" w:cs="Calibri" w:eastAsia="Microsoft YaHei" w:hAnsi="Calibri"/>
          <w:sz w:val="22"/>
          <w:szCs w:val="22"/>
        </w:rPr>
        <w:t xml:space="preserve">mkdocs pages: embed the 2–3 most decisive static figures per project (Plotly export supports PNG/SVG snapshot via the existing export pipeline) directly in section 5 of the page; keep the full interactive set in the showcase app. Priorities: 07 → weather elasticity + gbm_vs_nn; 02 → forecast_vs_actual + metrics_bars; 05 → business_cost_curve + cost_surface; 06 → route_map_C101 as hero; 10 → qini_curves + profit_frontier; 03 → nab_timelines.</w:t>
      </w:r>
    </w:p>
    <w:p>
      <w:pPr>
        <w:pStyle w:val="ListParagraph"/>
        <w:numPr>
          <w:ilvl w:val="0"/>
          <w:numId w:val="1"/>
        </w:numPr>
        <w:spacing w:after="140" w:line="276"/>
      </w:pPr>
      <w:r>
        <w:rPr>
          <w:rFonts w:ascii="Calibri" w:cs="Calibri" w:eastAsia="Microsoft YaHei" w:hAnsi="Calibri"/>
          <w:sz w:val="22"/>
          <w:szCs w:val="22"/>
        </w:rPr>
        <w:t xml:space="preserve">Add context to every headline number using the benchmark rule: the naive baseline is already computed everywhere — so annotate charts with "naive = 1.0x" reference lines and let deltas (not absolutes) carry the visual story. Reserve one accent color (e.g. teal) for the shipped/winning model and grey everything else.</w:t>
      </w:r>
    </w:p>
    <w:p>
      <w:pPr>
        <w:pStyle w:val="ListParagraph"/>
        <w:numPr>
          <w:ilvl w:val="0"/>
          <w:numId w:val="1"/>
        </w:numPr>
        <w:spacing w:after="140" w:line="276"/>
      </w:pPr>
      <w:r>
        <w:rPr>
          <w:rFonts w:ascii="Calibri" w:cs="Calibri" w:eastAsia="Microsoft YaHei" w:hAnsi="Calibri"/>
          <w:sz w:val="22"/>
          <w:szCs w:val="22"/>
        </w:rPr>
        <w:t xml:space="preserve">Give every page a hero visual within the first screen: 06 has route_map_C101 ready-made; 07 has zone_demand_map; 01 has retrieval_funnel. A map or funnel beats any opening sentence for a business reader.</w:t>
      </w:r>
    </w:p>
    <w:p>
      <w:pPr>
        <w:pStyle w:val="ListParagraph"/>
        <w:numPr>
          <w:ilvl w:val="0"/>
          <w:numId w:val="1"/>
        </w:numPr>
        <w:spacing w:after="140" w:line="276"/>
      </w:pPr>
      <w:r>
        <w:rPr>
          <w:rFonts w:ascii="Calibri" w:cs="Calibri" w:eastAsia="Microsoft YaHei" w:hAnsi="Calibri"/>
          <w:sz w:val="22"/>
          <w:szCs w:val="22"/>
        </w:rPr>
        <w:t xml:space="preserve">Accessibility: verify the existing palette against color-blind-safe rules (the slate/teal/cyan theme is likely fine; red/green encode-lose semantics appear in some figures — prefer shape/annotation over hue).</w:t>
      </w:r>
    </w:p>
    <w:p>
      <w:pPr>
        <w:pStyle w:val="Heading2"/>
        <w:spacing w:after="120" w:before="260"/>
      </w:pPr>
      <w:r>
        <w:rPr>
          <w:rFonts w:ascii="Calibri" w:cs="Calibri" w:eastAsia="Microsoft YaHei" w:hAnsi="Calibri"/>
          <w:b/>
          <w:bCs/>
          <w:color w:val="0F4C5C"/>
          <w:sz w:val="25"/>
          <w:szCs w:val="25"/>
        </w:rPr>
        <w:t xml:space="preserve">5.5 Consistency and accuracy defects</w:t>
      </w:r>
    </w:p>
    <w:p>
      <w:pPr>
        <w:spacing w:after="140" w:line="276"/>
      </w:pPr>
      <w:r>
        <w:rPr>
          <w:rFonts w:ascii="Calibri" w:cs="Calibri" w:eastAsia="Microsoft YaHei" w:hAnsi="Calibri"/>
          <w:sz w:val="22"/>
          <w:szCs w:val="22"/>
        </w:rPr>
        <w:t xml:space="preserve">Small contradictions are especially costly for a brand built on auditability. Found during the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30"/>
        <w:gridCol w:w="4600"/>
        <w:gridCol w:w="3270"/>
      </w:tblGrid>
      <w:tr>
        <w:tc>
          <w:tcPr>
            <w:tcW w:type="dxa" w:w="173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Location</w:t>
            </w:r>
          </w:p>
        </w:tc>
        <w:tc>
          <w:tcPr>
            <w:tcW w:type="dxa" w:w="460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Defect</w:t>
            </w:r>
          </w:p>
        </w:tc>
        <w:tc>
          <w:tcPr>
            <w:tcW w:type="dxa" w:w="327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Fix</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docs/projects/index.md</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Intro says "Nine showcases"; the table lists 10 projects.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Update the count, or drop the number and say "Ten showcases".</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Home.tsx (showcase app)</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Hero copy says "7 reproducible case studies"; the app serves 10 projects.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Sync the count (or make it dynamic from the API).</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07 docs page vs story.yaml</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Docs results table lists 5 runs; the story.yaml results section lists 7 (gbm_xgb_tuned −31.2% and gbm_lgbm_tuned −29.7% are missing from the docs page). Rounding also differs (4.67 vs 4.667).</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Regenerate the docs table from the same metrics.json the story uses; pick one precision site-wide.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Page titles</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Inconsistent titling: "01 · ...", "03 — ...", "NLP Classification with Transformers" (no number), others with "**Domain:**" metadata lines. Page 03 lacks the Domain/Data/Status header entirely.</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One title + metadata template for all 10 pages.</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Index table "Status"</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Two flagships marked inconsistently ("Flagship — complete" vs "**Flagship — complete**" bolded only for 07).</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Standardize flagging (and consider one flagship story per umbrella, not two per site).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01 docs page</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Results table cell contains a long parenthetical about the earlier 26-question sweep — a changelog entry inside the headline evidence.</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Move sweep history to a "Measurement evolution" note below the table; keep the table read-clean.</w:t>
            </w:r>
          </w:p>
        </w:tc>
      </w:tr>
    </w:tbl>
    <w:p>
      <w:pPr>
        <w:spacing w:after="140" w:line="276"/>
      </w:pPr>
      <w:r>
        <w:rPr>
          <w:rFonts w:ascii="Calibri" w:cs="Calibri" w:eastAsia="Microsoft YaHei" w:hAnsi="Calibri"/>
          <w:sz w:val="22"/>
          <w:szCs w:val="22"/>
        </w:rPr>
        <w:t xml:space="preserve">None of these are hard to fix; all are visible to exactly the detail-oriented reader the portfolio courts.</w:t>
      </w:r>
    </w:p>
    <w:p>
      <w:pPr>
        <w:pStyle w:val="Heading1"/>
        <w:spacing w:after="160" w:before="320"/>
      </w:pPr>
      <w:r>
        <w:rPr>
          <w:rFonts w:ascii="Calibri" w:cs="Calibri" w:eastAsia="Microsoft YaHei" w:hAnsi="Calibri"/>
          <w:b/>
          <w:bCs/>
          <w:color w:val="0F4C5C"/>
          <w:sz w:val="30"/>
          <w:szCs w:val="30"/>
        </w:rPr>
        <w:t xml:space="preserve">6. Deep dive: 07 — Urban Mobility Demand Intelligence</w:t>
      </w:r>
    </w:p>
    <w:p>
      <w:pPr>
        <w:spacing w:after="140" w:line="276"/>
      </w:pPr>
      <w:r>
        <w:rPr>
          <w:rFonts w:ascii="Calibri" w:cs="Calibri" w:eastAsia="Microsoft YaHei" w:hAnsi="Calibri"/>
          <w:sz w:val="22"/>
          <w:szCs w:val="22"/>
        </w:rPr>
        <w:t xml:space="preserve">07 is the flagship and the representative case; it also shows nearly every cross-cutting issue in one page. Below: what works, what to change, and a concrete restructured outline with figure placement.</w:t>
      </w:r>
    </w:p>
    <w:p>
      <w:pPr>
        <w:pStyle w:val="Heading3"/>
        <w:spacing w:after="100" w:before="200"/>
      </w:pPr>
      <w:r>
        <w:rPr>
          <w:rFonts w:ascii="Calibri" w:cs="Calibri" w:eastAsia="Microsoft YaHei" w:hAnsi="Calibri"/>
          <w:b/>
          <w:bCs/>
          <w:color w:val="333333"/>
          <w:sz w:val="23"/>
          <w:szCs w:val="23"/>
        </w:rPr>
        <w:t xml:space="preserve">What works</w:t>
      </w:r>
    </w:p>
    <w:p>
      <w:pPr>
        <w:pStyle w:val="ListParagraph"/>
        <w:numPr>
          <w:ilvl w:val="0"/>
          <w:numId w:val="1"/>
        </w:numPr>
        <w:spacing w:after="140" w:line="276"/>
      </w:pPr>
      <w:r>
        <w:rPr>
          <w:rFonts w:ascii="Calibri" w:cs="Calibri" w:eastAsia="Microsoft YaHei" w:hAnsi="Calibri"/>
          <w:sz w:val="22"/>
          <w:szCs w:val="22"/>
        </w:rPr>
        <w:t xml:space="preserve">Strongest single asset: the "so what" is genuinely there — 28.4% error reduction, a 90.8%-calibrated p90 staffing band, and an honest weather-elasticity signal. The material for a headline sentence exists; it is just currently at paragraph three instead of sentence one.</w:t>
      </w:r>
    </w:p>
    <w:p>
      <w:pPr>
        <w:pStyle w:val="ListParagraph"/>
        <w:numPr>
          <w:ilvl w:val="0"/>
          <w:numId w:val="1"/>
        </w:numPr>
        <w:spacing w:after="140" w:line="276"/>
      </w:pPr>
      <w:r>
        <w:rPr>
          <w:rFonts w:ascii="Calibri" w:cs="Calibri" w:eastAsia="Microsoft YaHei" w:hAnsi="Calibri"/>
          <w:sz w:val="22"/>
          <w:szCs w:val="22"/>
        </w:rPr>
        <w:t xml:space="preserve">The drift-observatory paragraph is excellent evidence of production thinking ("monitoring is running software, not a runbook") — but it is 100+ words of workflow flags (exit codes, YAML paths) that belongs in a collapsible details block, with the business sentence ("regression opens a tracked issue, not a quarterly surprise") promoted to the lead.</w:t>
      </w:r>
    </w:p>
    <w:p>
      <w:pPr>
        <w:pStyle w:val="Heading3"/>
        <w:spacing w:after="100" w:before="200"/>
      </w:pPr>
      <w:r>
        <w:rPr>
          <w:rFonts w:ascii="Calibri" w:cs="Calibri" w:eastAsia="Microsoft YaHei" w:hAnsi="Calibri"/>
          <w:b/>
          <w:bCs/>
          <w:color w:val="333333"/>
          <w:sz w:val="23"/>
          <w:szCs w:val="23"/>
        </w:rPr>
        <w:t xml:space="preserve">Issues, in priority order</w:t>
      </w:r>
    </w:p>
    <w:p>
      <w:pPr>
        <w:pStyle w:val="ListParagraph"/>
        <w:numPr>
          <w:ilvl w:val="0"/>
          <w:numId w:val="1"/>
        </w:numPr>
        <w:spacing w:after="140" w:line="276"/>
      </w:pPr>
      <w:r>
        <w:rPr>
          <w:rFonts w:ascii="Calibri" w:cs="Calibri" w:eastAsia="Microsoft YaHei" w:hAnsi="Calibri"/>
          <w:b/>
          <w:bCs/>
          <w:sz w:val="22"/>
          <w:szCs w:val="22"/>
        </w:rPr>
        <w:t xml:space="preserve">1. </w:t>
      </w:r>
      <w:r>
        <w:rPr>
          <w:rFonts w:ascii="Calibri" w:cs="Calibri" w:eastAsia="Microsoft YaHei" w:hAnsi="Calibri"/>
          <w:sz w:val="22"/>
          <w:szCs w:val="22"/>
        </w:rPr>
        <w:t xml:space="preserve">Opening paragraph is a specification, not a hook: "End-to-end demand nowcasting on real, messy, GB-scale public data... lazy/streaming Polars under a 2 GB RAM peak, gated by per-month DQ contracts..." (Section 8 gives the rewrite).</w:t>
      </w:r>
    </w:p>
    <w:p>
      <w:pPr>
        <w:pStyle w:val="ListParagraph"/>
        <w:numPr>
          <w:ilvl w:val="0"/>
          <w:numId w:val="1"/>
        </w:numPr>
        <w:spacing w:after="140" w:line="276"/>
      </w:pPr>
      <w:r>
        <w:rPr>
          <w:rFonts w:ascii="Calibri" w:cs="Calibri" w:eastAsia="Microsoft YaHei" w:hAnsi="Calibri"/>
          <w:b/>
          <w:bCs/>
          <w:sz w:val="22"/>
          <w:szCs w:val="22"/>
        </w:rPr>
        <w:t xml:space="preserve">2. </w:t>
      </w:r>
      <w:r>
        <w:rPr>
          <w:rFonts w:ascii="Calibri" w:cs="Calibri" w:eastAsia="Microsoft YaHei" w:hAnsi="Calibri"/>
          <w:sz w:val="22"/>
          <w:szCs w:val="22"/>
        </w:rPr>
        <w:t xml:space="preserve">The results narrative leads with flat tuning ("GBM tuning matched the defaults within noise (honest flat result)") before the 28.4% delta. Flip the order: delta first, flat tuning second (it is actually a selling point: "the features carry the signal, not the tuner").</w:t>
      </w:r>
    </w:p>
    <w:p>
      <w:pPr>
        <w:pStyle w:val="ListParagraph"/>
        <w:numPr>
          <w:ilvl w:val="0"/>
          <w:numId w:val="1"/>
        </w:numPr>
        <w:spacing w:after="140" w:line="276"/>
      </w:pPr>
      <w:r>
        <w:rPr>
          <w:rFonts w:ascii="Calibri" w:cs="Calibri" w:eastAsia="Microsoft YaHei" w:hAnsi="Calibri"/>
          <w:b/>
          <w:bCs/>
          <w:sz w:val="22"/>
          <w:szCs w:val="22"/>
        </w:rPr>
        <w:t xml:space="preserve">3. </w:t>
      </w:r>
      <w:r>
        <w:rPr>
          <w:rFonts w:ascii="Calibri" w:cs="Calibri" w:eastAsia="Microsoft YaHei" w:hAnsi="Calibri"/>
          <w:sz w:val="22"/>
          <w:szCs w:val="22"/>
        </w:rPr>
        <w:t xml:space="preserve">The weather elasticity — the most business-interesting finding — is compressed into one parenthetical chain "(Queens 0.92×, Staten Island 0.93×) while Manhattan holds (0.97×) and EWR rises (1.08×)". Give it its own subsection with the weather_elasticity chart rendered beside it and a one-line "what a dispatcher does differently in rain."</w:t>
      </w:r>
    </w:p>
    <w:p>
      <w:pPr>
        <w:pStyle w:val="ListParagraph"/>
        <w:numPr>
          <w:ilvl w:val="0"/>
          <w:numId w:val="1"/>
        </w:numPr>
        <w:spacing w:after="140" w:line="276"/>
      </w:pPr>
      <w:r>
        <w:rPr>
          <w:rFonts w:ascii="Calibri" w:cs="Calibri" w:eastAsia="Microsoft YaHei" w:hAnsi="Calibri"/>
          <w:b/>
          <w:bCs/>
          <w:sz w:val="22"/>
          <w:szCs w:val="22"/>
        </w:rPr>
        <w:t xml:space="preserve">4. </w:t>
      </w:r>
      <w:r>
        <w:rPr>
          <w:rFonts w:ascii="Calibri" w:cs="Calibri" w:eastAsia="Microsoft YaHei" w:hAnsi="Calibri"/>
          <w:sz w:val="22"/>
          <w:szCs w:val="22"/>
        </w:rPr>
        <w:t xml:space="preserve">Serving section is one sentence with raw numbers ("JFK zone 132 → 223.827 point / 251.811 p90"). Round for humans (224 / 252), name what it means ("about 29 extra vehicles of buffer at JFK next hour"), and keep exact figures in the API docs.</w:t>
      </w:r>
    </w:p>
    <w:p>
      <w:pPr>
        <w:pStyle w:val="ListParagraph"/>
        <w:numPr>
          <w:ilvl w:val="0"/>
          <w:numId w:val="1"/>
        </w:numPr>
        <w:spacing w:after="140" w:line="276"/>
      </w:pPr>
      <w:r>
        <w:rPr>
          <w:rFonts w:ascii="Calibri" w:cs="Calibri" w:eastAsia="Microsoft YaHei" w:hAnsi="Calibri"/>
          <w:b/>
          <w:bCs/>
          <w:sz w:val="22"/>
          <w:szCs w:val="22"/>
        </w:rPr>
        <w:t xml:space="preserve">5. </w:t>
      </w:r>
      <w:r>
        <w:rPr>
          <w:rFonts w:ascii="Calibri" w:cs="Calibri" w:eastAsia="Microsoft YaHei" w:hAnsi="Calibri"/>
          <w:sz w:val="22"/>
          <w:szCs w:val="22"/>
        </w:rPr>
        <w:t xml:space="preserve">Metric table (MAE/RMSE/MAPE/ΔMAE) lacks a reader's key; add "MASE/ΔMAE: 1.0 = 'same hour last week'; bold = served model" and let the zone_fan figure follow the table as the visual payoff.</w:t>
      </w:r>
    </w:p>
    <w:p>
      <w:pPr>
        <w:pStyle w:val="Heading3"/>
        <w:spacing w:after="100" w:before="200"/>
      </w:pPr>
      <w:r>
        <w:rPr>
          <w:rFonts w:ascii="Calibri" w:cs="Calibri" w:eastAsia="Microsoft YaHei" w:hAnsi="Calibri"/>
          <w:b/>
          <w:bCs/>
          <w:color w:val="333333"/>
          <w:sz w:val="23"/>
          <w:szCs w:val="23"/>
        </w:rPr>
        <w:t xml:space="preserve">Proposed page structure with figure placement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30"/>
        <w:gridCol w:w="4600"/>
        <w:gridCol w:w="3270"/>
      </w:tblGrid>
      <w:tr>
        <w:tc>
          <w:tcPr>
            <w:tcW w:type="dxa" w:w="173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Section</w:t>
            </w:r>
          </w:p>
        </w:tc>
        <w:tc>
          <w:tcPr>
            <w:tcW w:type="dxa" w:w="460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Content</w:t>
            </w:r>
          </w:p>
        </w:tc>
        <w:tc>
          <w:tcPr>
            <w:tcW w:type="dxa" w:w="327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Visual</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Hook (2 sentences)</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Question + answer: "Can a laptop-grade pipeline forecast NYC taxi demand well enough to stage fleets by it? 28% less error than 'same hour last week', on 41.2M real trips."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zone_demand_map as hero image.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Why it matters</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Fleet staging and driver shifts are hour-ahead bets; a wrong forecast is an idle fleet or missed pickups (existing story.yaml background text, trimmed).</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Results</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Full run ladder table + "how to read" key. Takeaway: GBM removes 28.4% of error; challengers won on test but lost on embargoed validation — validation decides what ships.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gbm_vs_nn bar chart with naive reference line.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Uncertainty you can staff against</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p90 band at 90.8% coverage (target 90); flagged sparse-zone under-coverage (84.7%) — where not to trust the buffer.</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p90_band or p90_calibration.</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What moves demand</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Weekly/daily lags dominate; weather ≈ 0 for point MAE (honest negative) — but rain drops outer-borough curb demand 7–10% while Manhattan holds; directional, not causal.</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gbm_feature_importance + weather_elasticity side by side.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Keeps working after delivery</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One-sentence drift observatory pitch + collapsible workflow detail (exit codes, runbook links).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Limits &amp; honesty</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Bounded slice (yellow taxi, one city, one year); green-taxi transfer results; N/A-zone caveat; non-causal weather.</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zone_residual_map.</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Business takeaway</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A staffing decision — expected demand + defensible buffer per hour — that reproduces on a laptop in minutes.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zone_fan (per-zone forecast fans).</w:t>
            </w:r>
          </w:p>
        </w:tc>
      </w:tr>
    </w:tbl>
    <w:p>
      <w:pPr>
        <w:pStyle w:val="Heading1"/>
        <w:spacing w:after="160" w:before="320"/>
      </w:pPr>
      <w:r>
        <w:rPr>
          <w:rFonts w:ascii="Calibri" w:cs="Calibri" w:eastAsia="Microsoft YaHei" w:hAnsi="Calibri"/>
          <w:b/>
          <w:bCs/>
          <w:color w:val="0F4C5C"/>
          <w:sz w:val="30"/>
          <w:szCs w:val="30"/>
        </w:rPr>
        <w:t xml:space="preserve">7. Per-project quick wins (all 10 projects)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30"/>
        <w:gridCol w:w="4600"/>
        <w:gridCol w:w="3270"/>
      </w:tblGrid>
      <w:tr>
        <w:tc>
          <w:tcPr>
            <w:tcW w:type="dxa" w:w="173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Project</w:t>
            </w:r>
          </w:p>
        </w:tc>
        <w:tc>
          <w:tcPr>
            <w:tcW w:type="dxa" w:w="460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Sharpest angle to lead with</w:t>
            </w:r>
          </w:p>
        </w:tc>
        <w:tc>
          <w:tcPr>
            <w:tcW w:type="dxa" w:w="327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Highest-value visual move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01 RAG &amp; Agentic AI</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Retrieval recall@5 0.83 vs 0.03 random is the hook; the verify-loop cost ("33 repair calls — worth it on high-stakes corpora, not free") is the credibility. Lead with both, caveats after.</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Embed chunk_size_sweep + failure-taxonomy before/after chart in the docs page; move the 26-q sweep history out of the table cell.</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02 Demand Forecasting</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"Config tuned on clean synthetic demand does not transfer to messy real demand" — the cross-track punchline is the story; make it the section title, not a bullet.</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forecast_vs_actual fan chart next to the UCI table; annotate "89% zero share" on the metrics_bars chart as the benchmark context.</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03 Anomaly Detection</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"Finds 73% of real incidents; the remaining problem is the false-positive firehose (precision 0.107)" — own the uncomfortable number early, then show the alert-budget angle.</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nab_timelines belongs at the top of the page, not the artifacts list; it's the only figure that makes the problem visceral.</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04 NLP Classification</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Scaling ladder (+4.4pp bounded → full data) is a clean narrative arc; temperature scaling "cuts ECE 0.047 → 0.013 for free" is the underrated gem — promote it.</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confusion_matrix_selected + training_curve embedded; per_class_f1_comparison supports the labeling-ambiguity-floor argument.</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05 Churn Pipeline</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The money sentence exists: "cost −41.9%, bootstrap 95% CI [−485, −343]" — put a currency figure in the opening line; the fairness finding (contractual gap is a business choice) deserves its own titled paragraph.</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business_cost_curve is the hero; cost_surface heatmap belongs beside the operating-point discussion (it is already named there — render it).</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06 Routing Optimization</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"Within 4.23% of best-known solutions on the full Solomon benchmark, machine-validated" — strong; add the vehicles-first honesty (+3.73 vehicles) in the same breath so it reads as rigor, not hedging.</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route_map_C101 as the page hero; family_gap chart beside the dual-criteria paragraph.</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07 Open Data Mobility</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See Section 6 — full restructure.</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zone_demand_map hero; weather_elasticity beside its own subsection.</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08 Inference Serving</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"QAT-int4 runs 53% faster than Q8_0 with zero quality loss — at this task size quantization buys speed, not loss" is the headline; hardware-specific numbers carry the "single author run" caveat well.</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Story references only 3 figures; the latency-vs-concurrency and engine-panel charts named in text should be wired into story sections (they exist in the report).</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09 Agentic Workflows</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"Single-shot agents are the demo; workflows are the product" is the best one-liner in the portfolio — it's currently buried mid-page. Open with it. 37.5% tool-selection accuracy: frame as "the suite catches what demos hide", then show the fix on the roadmap.</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per_task_grading + category_success already placed; add one architecture figure (Plan→Execute→Critique graph) to the mkdocs page.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10 Uplift &amp; Experimentation</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"Policy is chosen on the money; the curve explains why" — make this the section title. The paired-CI logic (profit difference established, Qini ranking not) is a masterclass; give it a plain-language two-sentence version for business readers.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qini_curves + profit_frontier embedded; the cost-sensitivity break-even ($0.30/email) is the decision number — call it out in a KPI chip.</w:t>
            </w:r>
          </w:p>
        </w:tc>
      </w:tr>
    </w:tbl>
    <w:p>
      <w:pPr>
        <w:pStyle w:val="Heading1"/>
        <w:spacing w:after="160" w:before="320"/>
      </w:pPr>
      <w:r>
        <w:rPr>
          <w:rFonts w:ascii="Calibri" w:cs="Calibri" w:eastAsia="Microsoft YaHei" w:hAnsi="Calibri"/>
          <w:b/>
          <w:bCs/>
          <w:color w:val="0F4C5C"/>
          <w:sz w:val="30"/>
          <w:szCs w:val="30"/>
        </w:rPr>
        <w:t xml:space="preserve">8. Before / after rewrite examples</w:t>
      </w:r>
    </w:p>
    <w:p>
      <w:pPr>
        <w:pStyle w:val="Heading3"/>
        <w:spacing w:after="100" w:before="200"/>
      </w:pPr>
      <w:r>
        <w:rPr>
          <w:rFonts w:ascii="Calibri" w:cs="Calibri" w:eastAsia="Microsoft YaHei" w:hAnsi="Calibri"/>
          <w:b/>
          <w:bCs/>
          <w:color w:val="333333"/>
          <w:sz w:val="23"/>
          <w:szCs w:val="23"/>
        </w:rPr>
        <w:t xml:space="preserve">Example 1 — 07 opening paragraph (docs page)</w:t>
      </w:r>
    </w:p>
    <w:p>
      <w:pPr>
        <w:pBdr>
          <w:left w:val="single" w:color="0F4C5C" w:sz="12" w:space="8"/>
        </w:pBdr>
        <w:spacing w:after="140"/>
        <w:ind w:left="504"/>
      </w:pPr>
      <w:r>
        <w:rPr>
          <w:rFonts w:ascii="Calibri" w:cs="Calibri" w:eastAsia="Microsoft YaHei" w:hAnsi="Calibri"/>
          <w:i/>
          <w:iCs/>
          <w:color w:val="555555"/>
          <w:sz w:val="22"/>
          <w:szCs w:val="22"/>
        </w:rPr>
        <w:t xml:space="preserve">BEFORE: "Flagship — complete. End-to-end demand nowcasting on real, messy, GB-scale public data: 41.2M NYC yellow-taxi trips (2024) joined with NOAA GHCN-Daily weather, engineered with lazy/streaming Polars under a 2 GB RAM peak, gated by per-month DQ contracts, and validated with leakage-proof temporal splits."</w:t>
      </w:r>
    </w:p>
    <w:p>
      <w:pPr>
        <w:pBdr>
          <w:left w:val="single" w:color="0F4C5C" w:sz="12" w:space="8"/>
        </w:pBdr>
        <w:spacing w:after="140"/>
        <w:ind w:left="504"/>
      </w:pPr>
      <w:r>
        <w:rPr>
          <w:rFonts w:ascii="Calibri" w:cs="Calibri" w:eastAsia="Microsoft YaHei" w:hAnsi="Calibri"/>
          <w:i/>
          <w:iCs/>
          <w:color w:val="555555"/>
          <w:sz w:val="22"/>
          <w:szCs w:val="22"/>
        </w:rPr>
        <w:t xml:space="preserve">AFTER: "Can a fleet dispatcher stage NYC taxis by the hour on a laptop-grade pipeline? Yes: this model cuts hour-ahead demand error by 28% versus 'same hour last week', with a 90%-calibrated buffer to staff against — built from 41.2M real taxi trips joined with weather, validated on a strict future holdout, and re-runnable end-to-end in minutes. The tooling (streaming Polars, per-month data-quality contracts) exists to make every one of those claims auditable."</w:t>
      </w:r>
    </w:p>
    <w:p>
      <w:pPr>
        <w:pStyle w:val="Heading3"/>
        <w:spacing w:after="100" w:before="200"/>
      </w:pPr>
      <w:r>
        <w:rPr>
          <w:rFonts w:ascii="Calibri" w:cs="Calibri" w:eastAsia="Microsoft YaHei" w:hAnsi="Calibri"/>
          <w:b/>
          <w:bCs/>
          <w:color w:val="333333"/>
          <w:sz w:val="23"/>
          <w:szCs w:val="23"/>
        </w:rPr>
        <w:t xml:space="preserve">Example 2 — 07 results narrative ordering</w:t>
      </w:r>
    </w:p>
    <w:p>
      <w:pPr>
        <w:pBdr>
          <w:left w:val="single" w:color="0F4C5C" w:sz="12" w:space="8"/>
        </w:pBdr>
        <w:spacing w:after="140"/>
        <w:ind w:left="504"/>
      </w:pPr>
      <w:r>
        <w:rPr>
          <w:rFonts w:ascii="Calibri" w:cs="Calibri" w:eastAsia="Microsoft YaHei" w:hAnsi="Calibri"/>
          <w:i/>
          <w:iCs/>
          <w:color w:val="555555"/>
          <w:sz w:val="22"/>
          <w:szCs w:val="22"/>
        </w:rPr>
        <w:t xml:space="preserve">BEFORE: "HPO ran against an embargoed train-side validation window only. GBM tuning matched the defaults within noise (honest flat result); NN tuning bought −6% MAE."</w:t>
      </w:r>
    </w:p>
    <w:p>
      <w:pPr>
        <w:pBdr>
          <w:left w:val="single" w:color="0F4C5C" w:sz="12" w:space="8"/>
        </w:pBdr>
        <w:spacing w:after="140"/>
        <w:ind w:left="504"/>
      </w:pPr>
      <w:r>
        <w:rPr>
          <w:rFonts w:ascii="Calibri" w:cs="Calibri" w:eastAsia="Microsoft YaHei" w:hAnsi="Calibri"/>
          <w:i/>
          <w:iCs/>
          <w:color w:val="555555"/>
          <w:sz w:val="22"/>
          <w:szCs w:val="22"/>
        </w:rPr>
        <w:t xml:space="preserve">AFTER: "The GBM removes 28.4% of forecast error versus the naive baseline (MAE 4.67 vs 6.52 on 584,855 held-out zone-hours). Two honest footnotes: tuning bought nothing beyond noise — the features carry the signal, not the tuner — and challengers that looked better on the test window lost on the embargoed validation window, so validation decides what ships."</w:t>
      </w:r>
    </w:p>
    <w:p>
      <w:pPr>
        <w:pStyle w:val="Heading3"/>
        <w:spacing w:after="100" w:before="200"/>
      </w:pPr>
      <w:r>
        <w:rPr>
          <w:rFonts w:ascii="Calibri" w:cs="Calibri" w:eastAsia="Microsoft YaHei" w:hAnsi="Calibri"/>
          <w:b/>
          <w:bCs/>
          <w:color w:val="333333"/>
          <w:sz w:val="23"/>
          <w:szCs w:val="23"/>
        </w:rPr>
        <w:t xml:space="preserve">Example 3 — 03 opening (own the hard number)</w:t>
      </w:r>
    </w:p>
    <w:p>
      <w:pPr>
        <w:pBdr>
          <w:left w:val="single" w:color="0F4C5C" w:sz="12" w:space="8"/>
        </w:pBdr>
        <w:spacing w:after="140"/>
        <w:ind w:left="504"/>
      </w:pPr>
      <w:r>
        <w:rPr>
          <w:rFonts w:ascii="Calibri" w:cs="Calibri" w:eastAsia="Microsoft YaHei" w:hAnsi="Calibri"/>
          <w:i/>
          <w:iCs/>
          <w:color w:val="555555"/>
          <w:sz w:val="22"/>
          <w:szCs w:val="22"/>
        </w:rPr>
        <w:t xml:space="preserve">BEFORE: "The honest delta vs. the synthetic track (PR-AUC 0.916, residuals 0.9999): injected synthetic anomalies are trivially separable; on real data the champion finds most events (recall 0.73) but the remaining problem is the false-positive firehose (precision 0.107)."</w:t>
      </w:r>
    </w:p>
    <w:p>
      <w:pPr>
        <w:pBdr>
          <w:left w:val="single" w:color="0F4C5C" w:sz="12" w:space="8"/>
        </w:pBdr>
        <w:spacing w:after="140"/>
        <w:ind w:left="504"/>
      </w:pPr>
      <w:r>
        <w:rPr>
          <w:rFonts w:ascii="Calibri" w:cs="Calibri" w:eastAsia="Microsoft YaHei" w:hAnsi="Calibri"/>
          <w:i/>
          <w:iCs/>
          <w:color w:val="555555"/>
          <w:sz w:val="22"/>
          <w:szCs w:val="22"/>
        </w:rPr>
        <w:t xml:space="preserve">AFTER: "On real telemetry the champion detector finds 73% of genuine incidents — and fires 9 false alarms for every real one. That precision/recall asymmetry, not the model, is the actual engineering problem this page quantifies. (Synthetic anomalies, by contrast, are trivially separable at PR-AUC 0.916 — which is exactly why this project benchmarks on real data first.)"</w:t>
      </w:r>
    </w:p>
    <w:p>
      <w:pPr>
        <w:pStyle w:val="Heading3"/>
        <w:spacing w:after="100" w:before="200"/>
      </w:pPr>
      <w:r>
        <w:rPr>
          <w:rFonts w:ascii="Calibri" w:cs="Calibri" w:eastAsia="Microsoft YaHei" w:hAnsi="Calibri"/>
          <w:b/>
          <w:bCs/>
          <w:color w:val="333333"/>
          <w:sz w:val="23"/>
          <w:szCs w:val="23"/>
        </w:rPr>
        <w:t xml:space="preserve">Example 4 — "How to read this table" key (applies to all metric tables)</w:t>
      </w:r>
    </w:p>
    <w:p>
      <w:pPr>
        <w:pBdr>
          <w:left w:val="single" w:color="0F4C5C" w:sz="12" w:space="8"/>
        </w:pBdr>
        <w:spacing w:after="140"/>
        <w:ind w:left="504"/>
      </w:pPr>
      <w:r>
        <w:rPr>
          <w:rFonts w:ascii="Calibri" w:cs="Calibri" w:eastAsia="Microsoft YaHei" w:hAnsi="Calibri"/>
          <w:i/>
          <w:iCs/>
          <w:color w:val="555555"/>
          <w:sz w:val="22"/>
          <w:szCs w:val="22"/>
        </w:rPr>
        <w:t xml:space="preserve">AFTER (insert above any results table): "MAE = average error in pickups/hour. ΔMAE vs naive: the model's edge over 'same hour last week' — the number a business reader should compare across rows. Bold = the configuration that ships. MAPE is shown for completeness but is unstable at low volumes; treat MAE as decision-grade."</w:t>
      </w:r>
    </w:p>
    <w:p>
      <w:pPr>
        <w:spacing w:after="140" w:line="276"/>
      </w:pPr>
      <w:r>
        <w:rPr>
          <w:rFonts w:ascii="Calibri" w:cs="Calibri" w:eastAsia="Microsoft YaHei" w:hAnsi="Calibri"/>
          <w:sz w:val="22"/>
          <w:szCs w:val="22"/>
        </w:rPr>
        <w:t xml:space="preserve">Each rewrite keeps 100% of the original facts and caveats; only order, framing, and glossing change. That is the whole methodology of this report.</w:t>
      </w:r>
    </w:p>
    <w:p>
      <w:pPr>
        <w:pStyle w:val="Heading1"/>
        <w:spacing w:after="160" w:before="320"/>
      </w:pPr>
      <w:r>
        <w:rPr>
          <w:rFonts w:ascii="Calibri" w:cs="Calibri" w:eastAsia="Microsoft YaHei" w:hAnsi="Calibri"/>
          <w:b/>
          <w:bCs/>
          <w:color w:val="0F4C5C"/>
          <w:sz w:val="30"/>
          <w:szCs w:val="30"/>
        </w:rPr>
        <w:t xml:space="preserve">9. Prioritized action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30"/>
        <w:gridCol w:w="4600"/>
        <w:gridCol w:w="3270"/>
      </w:tblGrid>
      <w:tr>
        <w:tc>
          <w:tcPr>
            <w:tcW w:type="dxa" w:w="173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Priority</w:t>
            </w:r>
          </w:p>
        </w:tc>
        <w:tc>
          <w:tcPr>
            <w:tcW w:type="dxa" w:w="460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Action</w:t>
            </w:r>
          </w:p>
        </w:tc>
        <w:tc>
          <w:tcPr>
            <w:tcW w:type="dxa" w:w="3270"/>
            <w:shd w:fill="E3EEF1" w:val="clear"/>
            <w:tcMar>
              <w:top w:type="dxa" w:w="80"/>
              <w:left w:type="dxa" w:w="100"/>
              <w:bottom w:type="dxa" w:w="80"/>
              <w:right w:type="dxa" w:w="100"/>
            </w:tcMar>
          </w:tcPr>
          <w:p>
            <w:pPr>
              <w:spacing w:after="140" w:line="276"/>
            </w:pPr>
            <w:r>
              <w:rPr>
                <w:rFonts w:ascii="Calibri" w:cs="Calibri" w:eastAsia="Microsoft YaHei" w:hAnsi="Calibri"/>
                <w:b/>
                <w:bCs/>
                <w:sz w:val="20"/>
                <w:szCs w:val="20"/>
              </w:rPr>
              <w:t xml:space="preserve">Effort / impact</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P0</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Fix the factual inconsistencies (Section 5.5): project counts on index page and Home hero, 07 docs table completeness vs story.yaml, page-title template, 03 metadata header.</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Hours / protects the auditability brand</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P0</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Add a two-sentence TL;DR (problem + headline outcome) to the top of each of the 10 mkdocs project pages, linked to the interactive story.</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One day total / highest storytelling ROI</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P1</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Embed 2–3 decisive static figures per mkdocs page (PNG exports from the existing Plotly pipeline) with takeaway titles and one-line captions, placed directly under the claim each supports.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2–3 days / converts invisible evidence into the portfolio's main selling surface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P1</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Re-order results narratives site-wide: takeaway → evidence → caveat. Add "How to read this table" keys and per-page KPI strips (MetricCallouts).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2 days / dual-audience accessibility</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P1</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Rebalance story.yaml figure placement (07 results section carries 8 figures; background/data/training/conclusions carry none); split 07 results into Results / Uncertainty / Demand drivers subsections.</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1–2 days / better mobile and scrolly experience</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P2</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Add an "Impact in one line" column to the projects index (and showcase cards); consider one flagship per umbrella.</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Half day / index becomes a portfolio, not a catalog</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P2</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Figure-title pass: rename chart titles from metric names to conclusions; color discipline (one accent for the shipped model, grey for the rest); color-blind check.</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1 day / charts start arguing, not just displaying</w:t>
            </w:r>
          </w:p>
        </w:tc>
      </w:tr>
      <w:tr>
        <w:tc>
          <w:tcPr>
            <w:tcW w:type="dxa" w:w="1730"/>
            <w:tcMar>
              <w:top w:type="dxa" w:w="80"/>
              <w:left w:type="dxa" w:w="100"/>
              <w:bottom w:type="dxa" w:w="80"/>
              <w:right w:type="dxa" w:w="100"/>
            </w:tcMar>
          </w:tcPr>
          <w:p>
            <w:pPr>
              <w:spacing w:after="140" w:line="276"/>
            </w:pPr>
            <w:r>
              <w:rPr>
                <w:rFonts w:ascii="Calibri" w:cs="Calibri" w:eastAsia="Microsoft YaHei" w:hAnsi="Calibri"/>
                <w:sz w:val="20"/>
                <w:szCs w:val="20"/>
              </w:rPr>
              <w:t xml:space="preserve">P2</w:t>
            </w:r>
          </w:p>
        </w:tc>
        <w:tc>
          <w:tcPr>
            <w:tcW w:type="dxa" w:w="4600"/>
            <w:tcMar>
              <w:top w:type="dxa" w:w="80"/>
              <w:left w:type="dxa" w:w="100"/>
              <w:bottom w:type="dxa" w:w="80"/>
              <w:right w:type="dxa" w:w="100"/>
            </w:tcMar>
          </w:tcPr>
          <w:p>
            <w:pPr>
              <w:spacing w:after="140" w:line="276"/>
            </w:pPr>
            <w:r>
              <w:rPr>
                <w:rFonts w:ascii="Calibri" w:cs="Calibri" w:eastAsia="Microsoft YaHei" w:hAnsi="Calibri"/>
                <w:sz w:val="20"/>
                <w:szCs w:val="20"/>
              </w:rPr>
              <w:t xml:space="preserve">Write one short Medium/Substack case study per flagship (01, 07) mirroring the six-beat template — extends the portfolio into the channel recruiters actually browse.</w:t>
            </w:r>
          </w:p>
        </w:tc>
        <w:tc>
          <w:tcPr>
            <w:tcW w:type="dxa" w:w="3270"/>
            <w:tcMar>
              <w:top w:type="dxa" w:w="80"/>
              <w:left w:type="dxa" w:w="100"/>
              <w:bottom w:type="dxa" w:w="80"/>
              <w:right w:type="dxa" w:w="100"/>
            </w:tcMar>
          </w:tcPr>
          <w:p>
            <w:pPr>
              <w:spacing w:after="140" w:line="276"/>
            </w:pPr>
            <w:r>
              <w:rPr>
                <w:rFonts w:ascii="Calibri" w:cs="Calibri" w:eastAsia="Microsoft YaHei" w:hAnsi="Calibri"/>
                <w:sz w:val="20"/>
                <w:szCs w:val="20"/>
              </w:rPr>
              <w:t xml:space="preserve">2 days / inbound discovery</w:t>
            </w:r>
          </w:p>
        </w:tc>
      </w:tr>
    </w:tbl>
    <w:p>
      <w:pPr>
        <w:spacing w:after="140" w:line="276"/>
      </w:pPr>
      <w:r>
        <w:rPr>
          <w:rFonts w:ascii="Calibri" w:cs="Calibri" w:eastAsia="Microsoft YaHei" w:hAnsi="Calibri"/>
          <w:sz w:val="22"/>
          <w:szCs w:val="22"/>
        </w:rPr>
        <w:t xml:space="preserve">Closing note: nothing in this report asks for new projects, new models, or softer claims. The portfolio's rigor is already top-decile; the P0/P1 items are about letting a reader meet that rigor in the first ten seconds — and remember it.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40" w:line="276"/>
      <w:jc w:val="center"/>
    </w:pPr>
    <w:r>
      <w:rPr>
        <w:rFonts w:ascii="Calibri" w:cs="Calibri" w:eastAsia="Microsoft YaHe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40" w:line="276"/>
      </w:pPr>
      <w:r>
        <w:rPr>
          <w:rStyle w:val="FootnoteReference"/>
        </w:rPr>
        <w:footnoteRef/>
      </w:r>
      <w:r>
        <w:rPr>
          <w:rFonts w:ascii="Calibri" w:cs="Calibri" w:eastAsia="Microsoft YaHei" w:hAnsi="Calibri"/>
          <w:sz w:val="18"/>
          <w:szCs w:val="18"/>
        </w:rPr>
        <w:t xml:space="preserve">Built In — "What Makes a Data Science Portfolio Stand Out?" (2022): interview with Gianna Driver, Chief HR Officer at Exabeam, and related recruiter guidance. builtin.com/data-science/data-science-portfolios</w:t>
      </w:r>
    </w:p>
  </w:footnote>
  <w:footnote w:id="2">
    <w:p>
      <w:pPr>
        <w:spacing w:after="140" w:line="276"/>
      </w:pPr>
      <w:r>
        <w:rPr>
          <w:rStyle w:val="FootnoteReference"/>
        </w:rPr>
        <w:footnoteRef/>
      </w:r>
      <w:r>
        <w:rPr>
          <w:rFonts w:ascii="Calibri" w:cs="Calibri" w:eastAsia="Microsoft YaHei" w:hAnsi="Calibri"/>
          <w:sz w:val="18"/>
          <w:szCs w:val="18"/>
        </w:rPr>
        <w:t xml:space="preserve">Luke S. J. Howard — "The Formula To Becoming a Top 1% Data Analyst", Medium (2023). lukesjhoward.medium.com/the-formula-to-becoming-a-top-1-data-analyst-c5b135349a06</w:t>
      </w:r>
    </w:p>
  </w:footnote>
  <w:footnote w:id="3">
    <w:p>
      <w:pPr>
        <w:spacing w:after="140" w:line="276"/>
      </w:pPr>
      <w:r>
        <w:rPr>
          <w:rStyle w:val="FootnoteReference"/>
        </w:rPr>
        <w:footnoteRef/>
      </w:r>
      <w:r>
        <w:rPr>
          <w:rFonts w:ascii="Calibri" w:cs="Calibri" w:eastAsia="Microsoft YaHei" w:hAnsi="Calibri"/>
          <w:sz w:val="18"/>
          <w:szCs w:val="18"/>
        </w:rPr>
        <w:t xml:space="preserve">Jobsolv — "Data Storytelling for Marketing Analysts" (2026). jobsolv.com/blog/data-storytelling-for-marketing-analysts</w:t>
      </w:r>
    </w:p>
  </w:footnote>
  <w:footnote w:id="4">
    <w:p>
      <w:pPr>
        <w:spacing w:after="140" w:line="276"/>
      </w:pPr>
      <w:r>
        <w:rPr>
          <w:rStyle w:val="FootnoteReference"/>
        </w:rPr>
        <w:footnoteRef/>
      </w:r>
      <w:r>
        <w:rPr>
          <w:rFonts w:ascii="Calibri" w:cs="Calibri" w:eastAsia="Microsoft YaHei" w:hAnsi="Calibri"/>
          <w:sz w:val="18"/>
          <w:szCs w:val="18"/>
        </w:rPr>
        <w:t xml:space="preserve">InfluenceFlow — "Portfolio Case Study Examples: Complete Guide" (2025). influenceflow.io/resources/portfolio-case-study-examples-complete-guide-with-real-world-samples/</w:t>
      </w:r>
    </w:p>
  </w:footnote>
  <w:footnote w:id="5">
    <w:p>
      <w:pPr>
        <w:spacing w:after="140" w:line="276"/>
      </w:pPr>
      <w:r>
        <w:rPr>
          <w:rStyle w:val="FootnoteReference"/>
        </w:rPr>
        <w:footnoteRef/>
      </w:r>
      <w:r>
        <w:rPr>
          <w:rFonts w:ascii="Calibri" w:cs="Calibri" w:eastAsia="Microsoft YaHei" w:hAnsi="Calibri"/>
          <w:sz w:val="18"/>
          <w:szCs w:val="18"/>
        </w:rPr>
        <w:t xml:space="preserve">NB Data — "The Portfolio Rubric Data Science Hiring Managers Use" (2026), incl. the five-dimension scoring rubric and level definitions. nb-data.com/p/the-portfolio-rubric-data-science</w:t>
      </w:r>
    </w:p>
  </w:footnote>
  <w:footnote w:id="6">
    <w:p>
      <w:pPr>
        <w:spacing w:after="140" w:line="276"/>
      </w:pPr>
      <w:r>
        <w:rPr>
          <w:rStyle w:val="FootnoteReference"/>
        </w:rPr>
        <w:footnoteRef/>
      </w:r>
      <w:r>
        <w:rPr>
          <w:rFonts w:ascii="Calibri" w:cs="Calibri" w:eastAsia="Microsoft YaHei" w:hAnsi="Calibri"/>
          <w:sz w:val="18"/>
          <w:szCs w:val="18"/>
        </w:rPr>
        <w:t xml:space="preserve">Springboard — "How To Build an Awesome Data Science Portfolio" (2022). springboard.com/blog/data-science/data-science-portfolio/</w:t>
      </w:r>
    </w:p>
  </w:footnote>
  <w:footnote w:id="7">
    <w:p>
      <w:pPr>
        <w:spacing w:after="140" w:line="276"/>
      </w:pPr>
      <w:r>
        <w:rPr>
          <w:rStyle w:val="FootnoteReference"/>
        </w:rPr>
        <w:footnoteRef/>
      </w:r>
      <w:r>
        <w:rPr>
          <w:rFonts w:ascii="Calibri" w:cs="Calibri" w:eastAsia="Microsoft YaHei" w:hAnsi="Calibri"/>
          <w:sz w:val="18"/>
          <w:szCs w:val="18"/>
        </w:rPr>
        <w:t xml:space="preserve">Visme — "15 Real-Life Case Study Examples &amp; Best Practices" (2025). visme.co/blog/case-study-examples/</w:t>
      </w:r>
    </w:p>
  </w:footnote>
  <w:footnote w:id="8">
    <w:p>
      <w:pPr>
        <w:spacing w:after="140" w:line="276"/>
      </w:pPr>
      <w:r>
        <w:rPr>
          <w:rStyle w:val="FootnoteReference"/>
        </w:rPr>
        <w:footnoteRef/>
      </w:r>
      <w:r>
        <w:rPr>
          <w:rFonts w:ascii="Calibri" w:cs="Calibri" w:eastAsia="Microsoft YaHei" w:hAnsi="Calibri"/>
          <w:sz w:val="18"/>
          <w:szCs w:val="18"/>
        </w:rPr>
        <w:t xml:space="preserve">Straive — "Data Visualization Best Practices Every Organization Should Know" (2026). straive.com/blogs/data-visualization-best-practices/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line="276"/>
      <w:jc w:val="right"/>
    </w:pPr>
    <w:r>
      <w:rPr>
        <w:rFonts w:ascii="Calibri" w:cs="Calibri" w:eastAsia="Microsoft YaHei" w:hAnsi="Calibri"/>
        <w:color w:val="888888"/>
        <w:sz w:val="18"/>
        <w:szCs w:val="18"/>
      </w:rPr>
      <w:t xml:space="preserve">Portfolio Review Report — amm-ds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2026-10-17T08:35:21.301Z</dcterms:created>
  <dcterms:modified xsi:type="dcterms:W3CDTF">2026-10-17T08:35:21.301Z</dcterms:modified>
</cp:coreProperties>
</file>

<file path=docProps/custom.xml><?xml version="1.0" encoding="utf-8"?>
<Properties xmlns="http://schemas.openxmlformats.org/officeDocument/2006/custom-properties" xmlns:vt="http://schemas.openxmlformats.org/officeDocument/2006/docPropsVTypes"/>
</file>