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2131508534"/>
        <w:docPartObj>
          <w:docPartGallery w:val="Cover Pages"/>
          <w:docPartUnique/>
        </w:docPartObj>
      </w:sdtPr>
      <w:sdtEndPr>
        <w:rPr>
          <w:rFonts w:asciiTheme="majorHAnsi" w:eastAsiaTheme="majorEastAsia" w:hAnsiTheme="majorHAnsi" w:cstheme="majorBidi"/>
          <w:color w:val="0F4761" w:themeColor="accent1" w:themeShade="BF"/>
          <w:sz w:val="40"/>
          <w:szCs w:val="40"/>
          <w:lang w:val="en-US"/>
        </w:rPr>
      </w:sdtEndPr>
      <w:sdtContent>
        <w:p w14:paraId="41904732" w14:textId="288D0E89" w:rsidR="006F4975" w:rsidRDefault="006F4975">
          <w:r>
            <w:rPr>
              <w:noProof/>
            </w:rPr>
            <mc:AlternateContent>
              <mc:Choice Requires="wps">
                <w:drawing>
                  <wp:anchor distT="0" distB="0" distL="114300" distR="114300" simplePos="0" relativeHeight="251660288" behindDoc="1" locked="0" layoutInCell="1" allowOverlap="1" wp14:anchorId="150C7440" wp14:editId="4673561E">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190A2413"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p>
        <w:p w14:paraId="2E2C4D89" w14:textId="6F37DD3A" w:rsidR="006F4975" w:rsidRDefault="00DF0759">
          <w:pPr>
            <w:rPr>
              <w:rFonts w:asciiTheme="majorHAnsi" w:eastAsiaTheme="majorEastAsia" w:hAnsiTheme="majorHAnsi" w:cstheme="majorBidi"/>
              <w:color w:val="0F4761" w:themeColor="accent1" w:themeShade="BF"/>
              <w:sz w:val="40"/>
              <w:szCs w:val="40"/>
              <w:lang w:val="en-US"/>
            </w:rPr>
          </w:pPr>
          <w:r>
            <w:rPr>
              <w:noProof/>
            </w:rPr>
            <mc:AlternateContent>
              <mc:Choice Requires="wps">
                <w:drawing>
                  <wp:anchor distT="0" distB="0" distL="114300" distR="114300" simplePos="0" relativeHeight="251665408" behindDoc="0" locked="0" layoutInCell="1" allowOverlap="1" wp14:anchorId="5B69D989" wp14:editId="70EE3AE5">
                    <wp:simplePos x="0" y="0"/>
                    <wp:positionH relativeFrom="column">
                      <wp:posOffset>115556</wp:posOffset>
                    </wp:positionH>
                    <wp:positionV relativeFrom="paragraph">
                      <wp:posOffset>1976734</wp:posOffset>
                    </wp:positionV>
                    <wp:extent cx="5357495" cy="1457011"/>
                    <wp:effectExtent l="0" t="0" r="1905" b="3810"/>
                    <wp:wrapNone/>
                    <wp:docPr id="1617919672" name="Text Box 3"/>
                    <wp:cNvGraphicFramePr/>
                    <a:graphic xmlns:a="http://schemas.openxmlformats.org/drawingml/2006/main">
                      <a:graphicData uri="http://schemas.microsoft.com/office/word/2010/wordprocessingShape">
                        <wps:wsp>
                          <wps:cNvSpPr txBox="1"/>
                          <wps:spPr>
                            <a:xfrm>
                              <a:off x="0" y="0"/>
                              <a:ext cx="5357495" cy="1457011"/>
                            </a:xfrm>
                            <a:prstGeom prst="rect">
                              <a:avLst/>
                            </a:prstGeom>
                            <a:solidFill>
                              <a:schemeClr val="lt1"/>
                            </a:solidFill>
                            <a:ln w="6350">
                              <a:noFill/>
                            </a:ln>
                          </wps:spPr>
                          <wps:txbx>
                            <w:txbxContent>
                              <w:p w14:paraId="751EB1C7" w14:textId="4BB1C30F" w:rsidR="006F4975" w:rsidRDefault="006F4975">
                                <w:pPr>
                                  <w:rPr>
                                    <w:sz w:val="36"/>
                                    <w:szCs w:val="52"/>
                                  </w:rPr>
                                </w:pPr>
                                <w:r w:rsidRPr="006F4975">
                                  <w:rPr>
                                    <w:sz w:val="36"/>
                                    <w:szCs w:val="52"/>
                                  </w:rPr>
                                  <w:t>Cloud Operations and Management</w:t>
                                </w:r>
                              </w:p>
                              <w:p w14:paraId="242DE09A" w14:textId="77777777" w:rsidR="00DF0759" w:rsidRDefault="006F4975" w:rsidP="00DF0759">
                                <w:pPr>
                                  <w:spacing w:after="120"/>
                                </w:pPr>
                                <w:r w:rsidRPr="006F4975">
                                  <w:rPr>
                                    <w:i/>
                                    <w:iCs/>
                                    <w:sz w:val="36"/>
                                    <w:szCs w:val="52"/>
                                  </w:rPr>
                                  <w:t>Reflections, skills and application to UK healthcare</w:t>
                                </w:r>
                                <w:r w:rsidR="00DF0759">
                                  <w:rPr>
                                    <w:i/>
                                    <w:iCs/>
                                    <w:sz w:val="36"/>
                                    <w:szCs w:val="52"/>
                                  </w:rPr>
                                  <w:br/>
                                </w:r>
                                <w:hyperlink r:id="rId8" w:history="1">
                                  <w:r w:rsidR="00DF0759">
                                    <w:rPr>
                                      <w:rStyle w:val="Hyperlink"/>
                                      <w:rFonts w:eastAsia="Arial" w:cs="Arial"/>
                                      <w:sz w:val="20"/>
                                      <w:szCs w:val="20"/>
                                    </w:rPr>
                                    <w:t>GitHub e-portfolio (all module work): https://github.com/amm9093/e-portfolio</w:t>
                                  </w:r>
                                </w:hyperlink>
                              </w:p>
                              <w:p w14:paraId="0F0E2879" w14:textId="77777777" w:rsidR="00DF0759" w:rsidRDefault="00DF0759" w:rsidP="00DF0759">
                                <w:pPr>
                                  <w:spacing w:after="120"/>
                                </w:pPr>
                                <w:hyperlink r:id="rId9" w:history="1">
                                  <w:r>
                                    <w:rPr>
                                      <w:rStyle w:val="Hyperlink"/>
                                      <w:rFonts w:eastAsia="Arial" w:cs="Arial"/>
                                      <w:sz w:val="20"/>
                                      <w:szCs w:val="20"/>
                                    </w:rPr>
                                    <w:t>Capstone Project folder (report, code, pipeline): https://github.com/amm9093/e-portfolio/tree/main/capstone-project</w:t>
                                  </w:r>
                                </w:hyperlink>
                              </w:p>
                              <w:p w14:paraId="63E0B0D9" w14:textId="2D336A19" w:rsidR="006F4975" w:rsidRPr="006F4975" w:rsidRDefault="006F4975">
                                <w:pPr>
                                  <w:rPr>
                                    <w:i/>
                                    <w:iCs/>
                                    <w:sz w:val="36"/>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69D989" id="_x0000_t202" coordsize="21600,21600" o:spt="202" path="m,l,21600r21600,l21600,xe">
                    <v:stroke joinstyle="miter"/>
                    <v:path gradientshapeok="t" o:connecttype="rect"/>
                  </v:shapetype>
                  <v:shape id="Text Box 3" o:spid="_x0000_s1026" type="#_x0000_t202" style="position:absolute;margin-left:9.1pt;margin-top:155.65pt;width:421.85pt;height:11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" fillcolor="white [3201]" stroked="f" strokeweight=".5pt">
                    <v:textbox>
                      <w:txbxContent>
                        <w:p w14:paraId="751EB1C7" w14:textId="4BB1C30F" w:rsidR="006F4975" w:rsidRDefault="006F4975">
                          <w:pPr>
                            <w:rPr>
                              <w:sz w:val="36"/>
                              <w:szCs w:val="52"/>
                            </w:rPr>
                          </w:pPr>
                          <w:r w:rsidRPr="006F4975">
                            <w:rPr>
                              <w:sz w:val="36"/>
                              <w:szCs w:val="52"/>
                            </w:rPr>
                            <w:t>Cloud Operations and Management</w:t>
                          </w:r>
                        </w:p>
                        <w:p w14:paraId="242DE09A" w14:textId="77777777" w:rsidR="00DF0759" w:rsidRDefault="006F4975" w:rsidP="00DF0759">
                          <w:pPr>
                            <w:spacing w:after="120"/>
                          </w:pPr>
                          <w:r w:rsidRPr="006F4975">
                            <w:rPr>
                              <w:i/>
                              <w:iCs/>
                              <w:sz w:val="36"/>
                              <w:szCs w:val="52"/>
                            </w:rPr>
                            <w:t>Reflections, skills and application to UK healthcare</w:t>
                          </w:r>
                          <w:r w:rsidR="00DF0759">
                            <w:rPr>
                              <w:i/>
                              <w:iCs/>
                              <w:sz w:val="36"/>
                              <w:szCs w:val="52"/>
                            </w:rPr>
                            <w:br/>
                          </w:r>
                          <w:hyperlink r:id="rId10" w:history="1">
                            <w:r w:rsidR="00DF0759">
                              <w:rPr>
                                <w:rStyle w:val="Hyperlink"/>
                                <w:rFonts w:eastAsia="Arial" w:cs="Arial"/>
                                <w:sz w:val="20"/>
                                <w:szCs w:val="20"/>
                              </w:rPr>
                              <w:t>GitHub e-portfolio (all module work): https://github.com/amm9093/e-portfolio</w:t>
                            </w:r>
                          </w:hyperlink>
                        </w:p>
                        <w:p w14:paraId="0F0E2879" w14:textId="77777777" w:rsidR="00DF0759" w:rsidRDefault="00DF0759" w:rsidP="00DF0759">
                          <w:pPr>
                            <w:spacing w:after="120"/>
                          </w:pPr>
                          <w:hyperlink r:id="rId11" w:history="1">
                            <w:r>
                              <w:rPr>
                                <w:rStyle w:val="Hyperlink"/>
                                <w:rFonts w:eastAsia="Arial" w:cs="Arial"/>
                                <w:sz w:val="20"/>
                                <w:szCs w:val="20"/>
                              </w:rPr>
                              <w:t>Capstone Project folder (report, code, pipeline): https://github.com/amm9093/e-portfolio/tree/main/capstone-project</w:t>
                            </w:r>
                          </w:hyperlink>
                        </w:p>
                        <w:p w14:paraId="63E0B0D9" w14:textId="2D336A19" w:rsidR="006F4975" w:rsidRPr="006F4975" w:rsidRDefault="006F4975">
                          <w:pPr>
                            <w:rPr>
                              <w:i/>
                              <w:iCs/>
                              <w:sz w:val="36"/>
                              <w:szCs w:val="52"/>
                            </w:rPr>
                          </w:pPr>
                        </w:p>
                      </w:txbxContent>
                    </v:textbox>
                  </v:shape>
                </w:pict>
              </mc:Fallback>
            </mc:AlternateContent>
          </w:r>
          <w:r w:rsidR="006F4975">
            <w:rPr>
              <w:noProof/>
            </w:rPr>
            <mc:AlternateContent>
              <mc:Choice Requires="wps">
                <w:drawing>
                  <wp:anchor distT="0" distB="0" distL="114300" distR="114300" simplePos="0" relativeHeight="251659264" behindDoc="0" locked="0" layoutInCell="1" allowOverlap="1" wp14:anchorId="05E224A9" wp14:editId="1B313EA7">
                    <wp:simplePos x="0" y="0"/>
                    <wp:positionH relativeFrom="page">
                      <wp:posOffset>-77997</wp:posOffset>
                    </wp:positionH>
                    <wp:positionV relativeFrom="page">
                      <wp:posOffset>2635601</wp:posOffset>
                    </wp:positionV>
                    <wp:extent cx="7850221" cy="808355"/>
                    <wp:effectExtent l="0" t="0" r="0"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7850221" cy="808355"/>
                            </a:xfrm>
                            <a:prstGeom prst="rect">
                              <a:avLst/>
                            </a:prstGeom>
                            <a:noFill/>
                            <a:ln w="6350">
                              <a:noFill/>
                            </a:ln>
                          </wps:spPr>
                          <wps:txbx>
                            <w:txbxContent>
                              <w:sdt>
                                <w:sdtPr>
                                  <w:rPr>
                                    <w:rFonts w:ascii="Arial" w:hAnsi="Arial" w:cs="Arial"/>
                                    <w:iCs/>
                                    <w:caps/>
                                    <w:color w:val="262626" w:themeColor="text1" w:themeTint="D9"/>
                                    <w:sz w:val="56"/>
                                    <w:szCs w:val="5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023632F7" w14:textId="0295A6AE" w:rsidR="006F4975" w:rsidRPr="006F4975" w:rsidRDefault="006F4975" w:rsidP="006F4975">
                                    <w:pPr>
                                      <w:pStyle w:val="NoSpacing"/>
                                      <w:spacing w:after="900"/>
                                      <w:rPr>
                                        <w:rFonts w:ascii="Arial" w:hAnsi="Arial" w:cs="Arial"/>
                                        <w:iCs/>
                                        <w:caps/>
                                        <w:color w:val="262626" w:themeColor="text1" w:themeTint="D9"/>
                                        <w:sz w:val="56"/>
                                        <w:szCs w:val="56"/>
                                      </w:rPr>
                                    </w:pPr>
                                    <w:r w:rsidRPr="006F4975">
                                      <w:rPr>
                                        <w:rFonts w:ascii="Arial" w:hAnsi="Arial" w:cs="Arial"/>
                                        <w:iCs/>
                                        <w:caps/>
                                        <w:color w:val="262626" w:themeColor="text1" w:themeTint="D9"/>
                                        <w:sz w:val="56"/>
                                        <w:szCs w:val="56"/>
                                      </w:rPr>
                                      <w:t>Individual Module e-Portfolio</w:t>
                                    </w:r>
                                  </w:p>
                                </w:sdtContent>
                              </w:sdt>
                              <w:sdt>
                                <w:sdtPr>
                                  <w:rPr>
                                    <w:iCs/>
                                    <w:color w:val="262626" w:themeColor="text1" w:themeTint="D9"/>
                                    <w:sz w:val="36"/>
                                    <w:szCs w:val="36"/>
                                  </w:rPr>
                                  <w:alias w:val="Subtitle"/>
                                  <w:tag w:val=""/>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744DE2C7" w14:textId="792389C9" w:rsidR="006F4975" w:rsidRPr="006F4975" w:rsidRDefault="006F4975" w:rsidP="006F4975">
                                    <w:pPr>
                                      <w:pStyle w:val="NoSpacing"/>
                                      <w:rPr>
                                        <w:iCs/>
                                        <w:color w:val="262626" w:themeColor="text1" w:themeTint="D9"/>
                                        <w:sz w:val="36"/>
                                        <w:szCs w:val="36"/>
                                      </w:rPr>
                                    </w:pPr>
                                    <w:r w:rsidRPr="006F4975">
                                      <w:rPr>
                                        <w:iCs/>
                                        <w:color w:val="262626" w:themeColor="text1" w:themeTint="D9"/>
                                        <w:sz w:val="36"/>
                                        <w:szCs w:val="36"/>
                                      </w:rPr>
                                      <w:t xml:space="preserve">     </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5E224A9" id="Text Box 139" o:spid="_x0000_s1027" type="#_x0000_t202" alt="Title: Title and subtitle" style="position:absolute;margin-left:-6.15pt;margin-top:207.55pt;width:618.15pt;height:63.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" filled="f" stroked="f" strokeweight=".5pt">
                    <v:textbox inset="93.6pt,,0">
                      <w:txbxContent>
                        <w:sdt>
                          <w:sdtPr>
                            <w:rPr>
                              <w:rFonts w:ascii="Arial" w:hAnsi="Arial" w:cs="Arial"/>
                              <w:iCs/>
                              <w:caps/>
                              <w:color w:val="262626" w:themeColor="text1" w:themeTint="D9"/>
                              <w:sz w:val="56"/>
                              <w:szCs w:val="56"/>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023632F7" w14:textId="0295A6AE" w:rsidR="006F4975" w:rsidRPr="006F4975" w:rsidRDefault="006F4975" w:rsidP="006F4975">
                              <w:pPr>
                                <w:pStyle w:val="NoSpacing"/>
                                <w:spacing w:after="900"/>
                                <w:rPr>
                                  <w:rFonts w:ascii="Arial" w:hAnsi="Arial" w:cs="Arial"/>
                                  <w:iCs/>
                                  <w:caps/>
                                  <w:color w:val="262626" w:themeColor="text1" w:themeTint="D9"/>
                                  <w:sz w:val="56"/>
                                  <w:szCs w:val="56"/>
                                </w:rPr>
                              </w:pPr>
                              <w:r w:rsidRPr="006F4975">
                                <w:rPr>
                                  <w:rFonts w:ascii="Arial" w:hAnsi="Arial" w:cs="Arial"/>
                                  <w:iCs/>
                                  <w:caps/>
                                  <w:color w:val="262626" w:themeColor="text1" w:themeTint="D9"/>
                                  <w:sz w:val="56"/>
                                  <w:szCs w:val="56"/>
                                </w:rPr>
                                <w:t>Individual Module e-Portfolio</w:t>
                              </w:r>
                            </w:p>
                          </w:sdtContent>
                        </w:sdt>
                        <w:sdt>
                          <w:sdtPr>
                            <w:rPr>
                              <w:iCs/>
                              <w:color w:val="262626" w:themeColor="text1" w:themeTint="D9"/>
                              <w:sz w:val="36"/>
                              <w:szCs w:val="36"/>
                            </w:rPr>
                            <w:alias w:val="Subtitle"/>
                            <w:tag w:val=""/>
                            <w:id w:val="1143773791"/>
                            <w:showingPlcHdr/>
                            <w:dataBinding w:prefixMappings="xmlns:ns0='http://purl.org/dc/elements/1.1/' xmlns:ns1='http://schemas.openxmlformats.org/package/2006/metadata/core-properties' " w:xpath="/ns1:coreProperties[1]/ns0:subject[1]" w:storeItemID="{6C3C8BC8-F283-45AE-878A-BAB7291924A1}"/>
                            <w15:appearance w15:val="hidden"/>
                            <w:text/>
                          </w:sdtPr>
                          <w:sdtContent>
                            <w:p w14:paraId="744DE2C7" w14:textId="792389C9" w:rsidR="006F4975" w:rsidRPr="006F4975" w:rsidRDefault="006F4975" w:rsidP="006F4975">
                              <w:pPr>
                                <w:pStyle w:val="NoSpacing"/>
                                <w:rPr>
                                  <w:iCs/>
                                  <w:color w:val="262626" w:themeColor="text1" w:themeTint="D9"/>
                                  <w:sz w:val="36"/>
                                  <w:szCs w:val="36"/>
                                </w:rPr>
                              </w:pPr>
                              <w:r w:rsidRPr="006F4975">
                                <w:rPr>
                                  <w:iCs/>
                                  <w:color w:val="262626" w:themeColor="text1" w:themeTint="D9"/>
                                  <w:sz w:val="36"/>
                                  <w:szCs w:val="36"/>
                                </w:rPr>
                                <w:t xml:space="preserve">     </w:t>
                              </w:r>
                            </w:p>
                          </w:sdtContent>
                        </w:sdt>
                      </w:txbxContent>
                    </v:textbox>
                    <w10:wrap anchorx="page" anchory="page"/>
                  </v:shape>
                </w:pict>
              </mc:Fallback>
            </mc:AlternateContent>
          </w:r>
          <w:r w:rsidR="006F4975">
            <w:rPr>
              <w:rFonts w:asciiTheme="majorHAnsi" w:eastAsiaTheme="majorEastAsia" w:hAnsiTheme="majorHAnsi" w:cstheme="majorBidi"/>
              <w:color w:val="0F4761" w:themeColor="accent1" w:themeShade="BF"/>
              <w:sz w:val="40"/>
              <w:szCs w:val="40"/>
              <w:lang w:val="en-US"/>
            </w:rPr>
            <w:br w:type="page"/>
          </w:r>
        </w:p>
      </w:sdtContent>
    </w:sdt>
    <w:p w14:paraId="4212E062" w14:textId="1EA716FD" w:rsidR="000621A0" w:rsidRPr="000621A0" w:rsidRDefault="000621A0" w:rsidP="006F4975">
      <w:pPr>
        <w:pStyle w:val="Heading1"/>
        <w:rPr>
          <w:lang w:val="en-US"/>
        </w:rPr>
      </w:pPr>
      <w:r w:rsidRPr="000621A0">
        <w:rPr>
          <w:lang w:val="en-US"/>
        </w:rPr>
        <w:lastRenderedPageBreak/>
        <w:t>Introduction</w:t>
      </w:r>
    </w:p>
    <w:p w14:paraId="44B1572A" w14:textId="1E5C7BE3" w:rsidR="002D6490" w:rsidRPr="002D6490" w:rsidRDefault="002D6490" w:rsidP="002D6490">
      <w:pPr>
        <w:rPr>
          <w:lang w:val="en-US"/>
        </w:rPr>
      </w:pPr>
      <w:r w:rsidRPr="002D6490">
        <w:rPr>
          <w:lang w:val="en-US"/>
        </w:rPr>
        <w:t>This e-Portfolio is meant to put in one place the skills, plans and reflections that have emerged from the module and to make an accounting of what was covered in its twelve units. NIST defines cloud computing as “a model for enabling ubiquitous, convenient, on-demand network access to a shared pool of configurable computing resources” which the provider can with minimal trouble put in place or remove (Mell and Grance, 2011, p. 2). The first few units were built on such a definition with their three service models: Infrastructure as a Service to rent the networking, storage and compute and handle the balance; Platform as a Service leaving the database and runtime to the provider; and Software as a Service making an application ready for use. Then there is serverless computing, which as Baldini et al. (2017) note, is somewhere between the latter two and has no need of a server. In terms of deployment one has the public, private and community options, and the hybrid, which is a combination of these and proved to be of most relevance to my project.</w:t>
      </w:r>
    </w:p>
    <w:p w14:paraId="0FCCFBCE" w14:textId="5D097F11" w:rsidR="002D6490" w:rsidRPr="002D6490" w:rsidRDefault="002D6490" w:rsidP="002D6490">
      <w:pPr>
        <w:rPr>
          <w:lang w:val="en-US"/>
        </w:rPr>
      </w:pPr>
      <w:r w:rsidRPr="002D6490">
        <w:rPr>
          <w:lang w:val="en-US"/>
        </w:rPr>
        <w:t xml:space="preserve">The module then proceeded from these basics to the design, governance and running of a cloud platform. Unit 2 dealt with architecture frameworks and </w:t>
      </w:r>
      <w:proofErr w:type="spellStart"/>
      <w:r w:rsidRPr="002D6490">
        <w:rPr>
          <w:lang w:val="en-US"/>
        </w:rPr>
        <w:t>IaC</w:t>
      </w:r>
      <w:proofErr w:type="spellEnd"/>
      <w:r w:rsidRPr="002D6490">
        <w:rPr>
          <w:lang w:val="en-US"/>
        </w:rPr>
        <w:t>, Unit 3 with AI, Units 4 and 5 with Kubernetes, the Twelve-Factor App and scripting, Unit 6 with fog, edge and hybrid computing, Unit 7 with compliance and security, and the final units were devoted to such things as agentic AI, post-quantum cryptography and edge intelligence.</w:t>
      </w:r>
    </w:p>
    <w:p w14:paraId="18D1FCEF" w14:textId="0B39C2AC" w:rsidR="006F4975" w:rsidRDefault="006F4975" w:rsidP="002D6490">
      <w:pPr>
        <w:rPr>
          <w:lang w:val="en-US"/>
        </w:rPr>
      </w:pPr>
    </w:p>
    <w:p w14:paraId="0E22F4B7" w14:textId="2AACEB58" w:rsidR="006F4975" w:rsidRPr="00B516B2" w:rsidRDefault="002D6490" w:rsidP="000828DD">
      <w:pPr>
        <w:pStyle w:val="Heading1"/>
        <w:rPr>
          <w:lang w:val="en-US"/>
        </w:rPr>
      </w:pPr>
      <w:r>
        <w:rPr>
          <w:lang w:val="en-US"/>
        </w:rPr>
        <w:br w:type="page"/>
      </w:r>
      <w:r w:rsidR="006F4975" w:rsidRPr="006F4975">
        <w:rPr>
          <w:lang w:val="en-US"/>
        </w:rPr>
        <w:lastRenderedPageBreak/>
        <w:t>Weekly Reflections</w:t>
      </w:r>
    </w:p>
    <w:p w14:paraId="6267A679" w14:textId="77777777" w:rsidR="002D6490" w:rsidRDefault="006F4975" w:rsidP="002D6490">
      <w:pPr>
        <w:rPr>
          <w:lang w:val="en-US"/>
        </w:rPr>
      </w:pPr>
      <w:r w:rsidRPr="006F4975">
        <w:rPr>
          <w:lang w:val="en-US"/>
        </w:rPr>
        <w:t>I have chosen five units whose ideas changed how I work rather than only what I know</w:t>
      </w:r>
    </w:p>
    <w:p w14:paraId="4873868B" w14:textId="2440BB8C" w:rsidR="006F4975" w:rsidRPr="006F4975" w:rsidRDefault="006F4975" w:rsidP="002D6490">
      <w:pPr>
        <w:pStyle w:val="Heading2"/>
        <w:rPr>
          <w:lang w:val="en-US"/>
        </w:rPr>
      </w:pPr>
      <w:r w:rsidRPr="006F4975">
        <w:rPr>
          <w:lang w:val="en-US"/>
        </w:rPr>
        <w:t>Unit 2: Architecture frameworks and Infrastructure as Code</w:t>
      </w:r>
    </w:p>
    <w:p w14:paraId="538D4ABF" w14:textId="4E8717EE" w:rsidR="002D6490" w:rsidRDefault="002D6490" w:rsidP="00DF0759">
      <w:r w:rsidRPr="002D6490">
        <w:t xml:space="preserve">Here the unit </w:t>
      </w:r>
      <w:r>
        <w:t>paired</w:t>
      </w:r>
      <w:r w:rsidRPr="002D6490">
        <w:t xml:space="preserve"> TOGAF’s Architecture Development Method with the SDLC and argued for IaC to put an architecture into practice. Jager (2025) left me thinking at first that TOGAF was all paperwork, the kind of thing a small team would not trouble itself with; it took the report writing to change my mind. Having to state a baseline and a target, and the gap in between, provided justification for my decisions on business grounds rather than technical whim, something Anggraini, Binariswanto and Legowo (2019) observed in a government setting too. The code is what makes the target architecture executable, be it two environment stacks or six Terraform modules, with the plan output serving as an architecture document of record.</w:t>
      </w:r>
    </w:p>
    <w:p w14:paraId="153466B7" w14:textId="2324BDAD" w:rsidR="002D6490" w:rsidRDefault="002D6490" w:rsidP="002D6490">
      <w:pPr>
        <w:pStyle w:val="Heading2"/>
      </w:pPr>
      <w:r>
        <w:t>Unit 3: Artificial intelligence in the cloud</w:t>
      </w:r>
    </w:p>
    <w:p w14:paraId="330480AE" w14:textId="77777777" w:rsidR="00DB632E" w:rsidRDefault="00DB632E" w:rsidP="00DF0759">
      <w:r w:rsidRPr="00DB632E">
        <w:t>One could view AI in a dual capacity: as something the cloud accommodates and also as what is used to run it, be that for predictive scaling or cost reduction by way of anomaly detection. After going through the material I was in a position to distinguish the more heady pronouncements of vendors from the tried and true applications like right-sizing or log anomaly detection. The report made me want to put together an AI scribe of my own, if only for the technical exercise, but the NHS England (2025b) guidance dissuaded me; the hospital would then be regarded as a manufacturer of medical devices. As for AIOps, I have done my evaluation of it but not put it into practice. My code has cost-centre tags and a firm limit on auto-scaling rather than leaving such things to a dashboard, in light of Feitosa et al. (2023) demonstrating how rarely one will see cost factored into IaC artefacts.</w:t>
      </w:r>
    </w:p>
    <w:p w14:paraId="5FDBDEA0" w14:textId="472A0B68" w:rsidR="002D6490" w:rsidRDefault="002D6490" w:rsidP="002D6490">
      <w:pPr>
        <w:pStyle w:val="Heading2"/>
      </w:pPr>
      <w:r>
        <w:t>Unit 5: Cloud-native technology, the Twelve-Factor App and Kubernetes</w:t>
      </w:r>
    </w:p>
    <w:p w14:paraId="7A76E3B0" w14:textId="2AE89307" w:rsidR="00DB632E" w:rsidRDefault="00DB632E" w:rsidP="00DF0759">
      <w:r w:rsidRPr="00DB632E">
        <w:t>The Twelve-Factor App (Wiggins, 2017) has given me a vocabulary for some of the instincts I have been acting on, be it in matters of disposability or having development and production on an equal footing. Yet there was one area of the module with which I could not quite agree: its emphasis on Kubernetes (Poulton and Joglekar, 2017). In the case of Meridian’s patient portal I have opted for ECS Fargate. It is not hard to see why; the portal comprises only a handful of services and the hospital has a small operations staff. One might not make that call if it were not for the fact that it is all the rage, but Hamzaoui et al. (2024) would let you off the hook in their review of what container platforms demand of you, making the point that an orchestrator needs to suit the team.</w:t>
      </w:r>
    </w:p>
    <w:p w14:paraId="2C767056" w14:textId="6F3C618A" w:rsidR="002D6490" w:rsidRDefault="002D6490" w:rsidP="002D6490">
      <w:pPr>
        <w:pStyle w:val="Heading2"/>
      </w:pPr>
      <w:r>
        <w:t>Unit 6: Hybrid cloud, fog and edge computing</w:t>
      </w:r>
    </w:p>
    <w:p w14:paraId="6CF90BCE" w14:textId="3C6A1895" w:rsidR="002D6490" w:rsidRDefault="00DB632E" w:rsidP="002D6490">
      <w:r w:rsidRPr="00DB632E">
        <w:t xml:space="preserve">One might say healthcare is a hybrid by the very nature of things. There is no room for the kind of latency a wide-area link would introduce with theatre systems or imaging modalities, they have to be on the edge or the hospital network proper </w:t>
      </w:r>
      <w:r w:rsidR="00E5016B">
        <w:t>as Bonomi et al. (2014) put forward</w:t>
      </w:r>
      <w:r w:rsidRPr="00DB632E">
        <w:t xml:space="preserve"> the cloud is where you put the portal, analytics and archive. I put it down to a peer on the module forum for that insight. He was having none of my public cloud approach and wanted to know why patient data could not be left on premises. After some initial defensiveness I had to concede he had a point and make up my mind as to which workloads were to be moved, and so the report’s hybrid placement table was born from our discussion. Then there was the matter of vendor lock-in, a more intractable problem. Open interfaces such as containers, the S3 API and PostgreSQL served to allay it, as did showing the code would run unaltered on OpenTofu. Yet with a managed service like Aurora one has to countenance the lock-in for the sake of an easier existence, much the tension Sharma and Kumar (2024) lay out in their account of hybrid IT.</w:t>
      </w:r>
      <w:r w:rsidR="002D6490">
        <w:br w:type="page"/>
      </w:r>
    </w:p>
    <w:p w14:paraId="2DBE4078" w14:textId="3E567F74" w:rsidR="002D6490" w:rsidRDefault="002D6490" w:rsidP="002D6490">
      <w:pPr>
        <w:pStyle w:val="Heading2"/>
      </w:pPr>
      <w:r>
        <w:lastRenderedPageBreak/>
        <w:t>Unit 7: Cloud security and compliance</w:t>
      </w:r>
    </w:p>
    <w:p w14:paraId="7B6F3591" w14:textId="373D4154" w:rsidR="00A13777" w:rsidRDefault="00A13777" w:rsidP="00A13777">
      <w:r w:rsidRPr="00A13777">
        <w:t>The unit covered the shared-responsibility model, ISO/IEC 27001 (ISO, 2022), UK GDPR and the NIST Cybersecurity Framework (NIST, 2024). What stayed with me is that compliance is something the platform has to enforce, not something a document promises. The controls went into code: service control policies that refuse any Region outside the UK and EU, S3 Object Lock in compliance mode so that not even an administrator can delete a backup, and OPA rules that fail the pipeline the moment a database is left unencrypted. Taking the public-access block off a bucket and watching Checkov fail the build did more to convince me than any control matrix. Policy as code is now my default, and I mean to carry it from the plan stage through to runtime.</w:t>
      </w:r>
    </w:p>
    <w:p w14:paraId="66C7B117" w14:textId="09CB7AA4" w:rsidR="00A13777" w:rsidRDefault="00A13777" w:rsidP="00A13777">
      <w:pPr>
        <w:pStyle w:val="Heading1"/>
      </w:pPr>
      <w:r>
        <w:t>Skills Development</w:t>
      </w:r>
    </w:p>
    <w:p w14:paraId="0F1D1288" w14:textId="5E2C8F63" w:rsidR="00A13777" w:rsidRDefault="00A13777" w:rsidP="00A13777">
      <w:r>
        <w:t>For the most part the module’s practical work was geared to the report and in doing so I put four skill sets in place; one can find the proof of this in Appendix A or the repository.</w:t>
      </w:r>
    </w:p>
    <w:p w14:paraId="695CA699" w14:textId="77777777" w:rsidR="00A13777" w:rsidRDefault="00A13777" w:rsidP="00A13777">
      <w:pPr>
        <w:pStyle w:val="Heading2"/>
      </w:pPr>
      <w:r>
        <w:t>Infrastructure as Code</w:t>
      </w:r>
    </w:p>
    <w:p w14:paraId="43CCC10F" w14:textId="24C51181" w:rsidR="00A13777" w:rsidRDefault="00A13777" w:rsidP="00A13777">
      <w:r>
        <w:t>My approach with Terraform has been to move on from a single file to a modular one, with environment stacks taking in their inputs and not much more while making use of six modules that are reusable (an imaging archive, Aurora PostgreSQL and ECS service, workload VPC, network hub and organisation guardrails). In the process I have made use of the provider’s default tags for cost and ownership, a partial S3 backend with state locking done natively and for_each keys whose value is known at plan time. I had a plan fail once which was a salutary lesson in why you cannot make do with unknown keys. Some forty lines in the imaging-archive module, as per Listing A.1, will show how Object Lock, KMS encryption, versioning and storage tiering are laid out.</w:t>
      </w:r>
    </w:p>
    <w:p w14:paraId="21172AE7" w14:textId="77777777" w:rsidR="00A13777" w:rsidRDefault="00A13777" w:rsidP="00A13777">
      <w:pPr>
        <w:pStyle w:val="Heading2"/>
      </w:pPr>
      <w:r>
        <w:t>Testing and validation</w:t>
      </w:r>
    </w:p>
    <w:p w14:paraId="6D89EF98" w14:textId="7EF554D9" w:rsidR="00A13777" w:rsidRDefault="00A13777" w:rsidP="00A13777">
      <w:r>
        <w:t>I devised an eleven point validation plan and put it through its paces (Table A.1): there was linting and formatting, unit tests using Terraform’s mock provider, conftest for policy and a Checkov scan of 220 checks. The moto emulator was used for deployment testing to handle drift, state locking and Object Lock. I have been forthright about what the evidence allows, not putting forward any more than it will support; the emulator is no substitute for evaluating every IAM condition and I have said as much.</w:t>
      </w:r>
    </w:p>
    <w:p w14:paraId="5FB97C39" w14:textId="77777777" w:rsidR="00A13777" w:rsidRDefault="00A13777" w:rsidP="00A13777">
      <w:pPr>
        <w:pStyle w:val="Heading2"/>
      </w:pPr>
      <w:r>
        <w:t>Policy as code and the delivery pipeline</w:t>
      </w:r>
    </w:p>
    <w:p w14:paraId="3F4BD5BC" w14:textId="64B1401C" w:rsidR="00A13777" w:rsidRDefault="00A13777" w:rsidP="00A13777">
      <w:r>
        <w:t>With Rego I have put in rules to turn down unencrypted storage, security groups left open and data-classification tags in short supply after reading a Terraform plan. These are part of a GitHub Actions pipeline along with TFLint and Checkov, one that makes use of OIDC to get into AWS in lieu of stored keys. I have acquired the habit of leaving a written explanation in the code for any finding I choose to suppress.</w:t>
      </w:r>
    </w:p>
    <w:p w14:paraId="5B535DFE" w14:textId="77777777" w:rsidR="00A13777" w:rsidRDefault="00A13777" w:rsidP="00A13777">
      <w:pPr>
        <w:pStyle w:val="Heading2"/>
      </w:pPr>
      <w:r>
        <w:t>Analytical and computational thinking</w:t>
      </w:r>
    </w:p>
    <w:p w14:paraId="63D764B6" w14:textId="56725EBE" w:rsidR="00A13777" w:rsidRDefault="00A13777" w:rsidP="00A13777">
      <w:r>
        <w:t>The module has also served to sharpen my thinking when it comes to sizing up alternatives and putting a case for a decision over and against the options discarded, be it Fargate or Kubernetes, Ansible or Terraform. An inability to download the Terraform binary in the test environment led me to make of it a portability test and switch to OpenTofu.</w:t>
      </w:r>
    </w:p>
    <w:p w14:paraId="7CA976C3" w14:textId="77777777" w:rsidR="00A13777" w:rsidRDefault="00A13777">
      <w:r>
        <w:br w:type="page"/>
      </w:r>
    </w:p>
    <w:p w14:paraId="502FD7B0" w14:textId="3407B28E" w:rsidR="002D6490" w:rsidRDefault="00A13777" w:rsidP="00A13777">
      <w:pPr>
        <w:pStyle w:val="Heading1"/>
      </w:pPr>
      <w:r w:rsidRPr="00A13777">
        <w:lastRenderedPageBreak/>
        <w:t>Application to Industry</w:t>
      </w:r>
    </w:p>
    <w:p w14:paraId="24E79747" w14:textId="2231CF31" w:rsidR="00A13777" w:rsidRDefault="00A13777" w:rsidP="00A13777">
      <w:r>
        <w:t xml:space="preserve">Putting the module to work in the UK healthcare sector has been instructive given how acute the requirements are. One finds hospitals with life-critical systems on old estates and special-category data to be safeguarded under UK GDPR, not to mention they are prime for ransomware attacks. Two London trusts were put back </w:t>
      </w:r>
      <w:r w:rsidR="00E5016B">
        <w:t>more than 800 operations in a single week</w:t>
      </w:r>
      <w:r>
        <w:t xml:space="preserve"> by the 2024 Synnovis affair (Security Affairs, 2024). So it is not a matter of can the cloud be cheaper but if it will see to better governed data and render care more resilient.</w:t>
      </w:r>
    </w:p>
    <w:p w14:paraId="071FAEFE" w14:textId="522F26DF" w:rsidR="00A13777" w:rsidRDefault="00A13777" w:rsidP="00A13777">
      <w:r>
        <w:t>The principles bear most directly on resilience. An hour is all it takes to recover when one has an immutable backup via S3 Object Lock or an AWS Backup Vault Lock and a pipeline to put clean infrastructure in place from a known-good commit; without that it is a matter of days. Then there is the cost savings of elastic capacity and storage tiering over an on-premises array for the volume of imaging. In keeping with what fog and edge computing have predicted (Bonomi et al., 2014), the hybrid approach leaves the modalities with any latency concerns on site while the archive and analytics go to the cloud.</w:t>
      </w:r>
    </w:p>
    <w:p w14:paraId="522734D4" w14:textId="75F313AC" w:rsidR="00A13777" w:rsidRDefault="00A13777" w:rsidP="00A13777">
      <w:r>
        <w:t>AI may be used to triage images or impose some order on clinical notes but this has to be done within a governance framework: the DCB0129 and DCB0160 clinical-safety standards, medical-device regulation where software informs a diagnosis and the data must reside in the London Region.</w:t>
      </w:r>
    </w:p>
    <w:p w14:paraId="5E707FAC" w14:textId="540C5CF9" w:rsidR="00A13777" w:rsidRDefault="00A13777" w:rsidP="00A13777">
      <w:r>
        <w:t xml:space="preserve">Any sound appraisal will factor in the costs. There is lock-in with managed services and egress fees will make an exit expensive; open interfaces and an exit plan that has been put through its paces are the remedy, not shying away from it. A hospital IT staff accustomed to virtual machines will need investment before they can handle Kubernetes or policy as code. And while contractual assurances are fine, guardrails in code are of greater import since the shared-responsibility model means most cloud breaches are the customer’s own misconfigurations. With sovereignty being examined ever more closely, the Data Security and Protection Toolkit </w:t>
      </w:r>
      <w:r w:rsidR="00E5016B">
        <w:t>(NHS England, 2026)</w:t>
      </w:r>
      <w:r w:rsidR="00E5016B">
        <w:t xml:space="preserve"> </w:t>
      </w:r>
      <w:r>
        <w:t>is looking for proof of control, not just a policy statement. Be it FinOps, platform engineering or sovereign regions, the 2026 trends confirm the cloud is relevant to healthcare, provided the governance is part of the platform.</w:t>
      </w:r>
    </w:p>
    <w:p w14:paraId="7645D8E8" w14:textId="4D71F7F5" w:rsidR="00A13777" w:rsidRDefault="00B516B2" w:rsidP="00B516B2">
      <w:pPr>
        <w:pStyle w:val="Heading1"/>
      </w:pPr>
      <w:r w:rsidRPr="00B516B2">
        <w:t>Future Learning Goals</w:t>
      </w:r>
    </w:p>
    <w:p w14:paraId="68340F2E" w14:textId="1A6B6834" w:rsidR="00B516B2" w:rsidRDefault="00B516B2" w:rsidP="00B516B2">
      <w:r w:rsidRPr="00B516B2">
        <w:t xml:space="preserve">With the final units I have covered edge intelligence, post-quantum cryptography and agentic AI. What follows is a plan to address the shortcomings my own reflections have put in evidence and make of them something of an extension to the actions set out in the report’s development plan. Given that I am studying while holding down a full-time job, I have been disciplined about it: one certification per </w:t>
      </w:r>
      <w:r>
        <w:t>year</w:t>
      </w:r>
      <w:r w:rsidRPr="00B516B2">
        <w:t xml:space="preserve"> and objectives which will produce an artefact of some kind.</w:t>
      </w:r>
    </w:p>
    <w:tbl>
      <w:tblPr>
        <w:tblStyle w:val="GridTable4-Accent1"/>
        <w:tblW w:w="9000" w:type="dxa"/>
        <w:tblLook w:val="04A0" w:firstRow="1" w:lastRow="0" w:firstColumn="1" w:lastColumn="0" w:noHBand="0" w:noVBand="1"/>
      </w:tblPr>
      <w:tblGrid>
        <w:gridCol w:w="1900"/>
        <w:gridCol w:w="2300"/>
        <w:gridCol w:w="3700"/>
        <w:gridCol w:w="1100"/>
      </w:tblGrid>
      <w:tr w:rsidR="00B516B2" w14:paraId="214F22CF" w14:textId="77777777" w:rsidTr="00B51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8E2BEA1" w14:textId="77777777" w:rsidR="00B516B2" w:rsidRDefault="00B516B2" w:rsidP="00B516B2">
            <w:r>
              <w:t>Goal</w:t>
            </w:r>
          </w:p>
        </w:tc>
        <w:tc>
          <w:tcPr>
            <w:tcW w:w="2300" w:type="dxa"/>
          </w:tcPr>
          <w:p w14:paraId="1DB7DEE9" w14:textId="77777777" w:rsidR="00B516B2" w:rsidRDefault="00B516B2" w:rsidP="00B516B2">
            <w:pPr>
              <w:cnfStyle w:val="100000000000" w:firstRow="1" w:lastRow="0" w:firstColumn="0" w:lastColumn="0" w:oddVBand="0" w:evenVBand="0" w:oddHBand="0" w:evenHBand="0" w:firstRowFirstColumn="0" w:firstRowLastColumn="0" w:lastRowFirstColumn="0" w:lastRowLastColumn="0"/>
            </w:pPr>
            <w:r>
              <w:t>Where it comes from</w:t>
            </w:r>
          </w:p>
        </w:tc>
        <w:tc>
          <w:tcPr>
            <w:tcW w:w="3700" w:type="dxa"/>
          </w:tcPr>
          <w:p w14:paraId="31EF61DE" w14:textId="77777777" w:rsidR="00B516B2" w:rsidRDefault="00B516B2" w:rsidP="00B516B2">
            <w:pPr>
              <w:cnfStyle w:val="100000000000" w:firstRow="1" w:lastRow="0" w:firstColumn="0" w:lastColumn="0" w:oddVBand="0" w:evenVBand="0" w:oddHBand="0" w:evenHBand="0" w:firstRowFirstColumn="0" w:firstRowLastColumn="0" w:lastRowFirstColumn="0" w:lastRowLastColumn="0"/>
            </w:pPr>
            <w:r>
              <w:t>What I will do</w:t>
            </w:r>
          </w:p>
        </w:tc>
        <w:tc>
          <w:tcPr>
            <w:tcW w:w="1100" w:type="dxa"/>
          </w:tcPr>
          <w:p w14:paraId="478A5797" w14:textId="77777777" w:rsidR="00B516B2" w:rsidRDefault="00B516B2" w:rsidP="00B516B2">
            <w:pPr>
              <w:cnfStyle w:val="100000000000" w:firstRow="1" w:lastRow="0" w:firstColumn="0" w:lastColumn="0" w:oddVBand="0" w:evenVBand="0" w:oddHBand="0" w:evenHBand="0" w:firstRowFirstColumn="0" w:firstRowLastColumn="0" w:lastRowFirstColumn="0" w:lastRowLastColumn="0"/>
            </w:pPr>
            <w:r>
              <w:t>By when</w:t>
            </w:r>
          </w:p>
        </w:tc>
      </w:tr>
      <w:tr w:rsidR="00B516B2" w14:paraId="36685F4B" w14:textId="77777777" w:rsidTr="00B51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3F728B3" w14:textId="77777777" w:rsidR="00B516B2" w:rsidRDefault="00B516B2" w:rsidP="00B516B2">
            <w:r>
              <w:rPr>
                <w:b w:val="0"/>
                <w:bCs w:val="0"/>
                <w:color w:val="000000"/>
              </w:rPr>
              <w:t>Cloud financial management</w:t>
            </w:r>
          </w:p>
        </w:tc>
        <w:tc>
          <w:tcPr>
            <w:tcW w:w="2300" w:type="dxa"/>
          </w:tcPr>
          <w:p w14:paraId="6BE1627F" w14:textId="77777777"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Feitosa et al. (2023): cost is seldom in the code</w:t>
            </w:r>
          </w:p>
        </w:tc>
        <w:tc>
          <w:tcPr>
            <w:tcW w:w="3700" w:type="dxa"/>
          </w:tcPr>
          <w:p w14:paraId="408C8B90" w14:textId="77777777"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FinOps Certified Practitioner; Infracost in every pipeline I own</w:t>
            </w:r>
          </w:p>
        </w:tc>
        <w:tc>
          <w:tcPr>
            <w:tcW w:w="1100" w:type="dxa"/>
          </w:tcPr>
          <w:p w14:paraId="6AD2DCAA" w14:textId="77777777"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December 2026</w:t>
            </w:r>
          </w:p>
        </w:tc>
      </w:tr>
      <w:tr w:rsidR="00B516B2" w14:paraId="7E89BF12" w14:textId="77777777" w:rsidTr="00B516B2">
        <w:tc>
          <w:tcPr>
            <w:cnfStyle w:val="001000000000" w:firstRow="0" w:lastRow="0" w:firstColumn="1" w:lastColumn="0" w:oddVBand="0" w:evenVBand="0" w:oddHBand="0" w:evenHBand="0" w:firstRowFirstColumn="0" w:firstRowLastColumn="0" w:lastRowFirstColumn="0" w:lastRowLastColumn="0"/>
            <w:tcW w:w="1900" w:type="dxa"/>
          </w:tcPr>
          <w:p w14:paraId="5D1C8B8C" w14:textId="77777777" w:rsidR="00B516B2" w:rsidRDefault="00B516B2" w:rsidP="00B516B2">
            <w:r>
              <w:rPr>
                <w:b w:val="0"/>
                <w:bCs w:val="0"/>
                <w:color w:val="000000"/>
              </w:rPr>
              <w:t>Terraform in a real account</w:t>
            </w:r>
          </w:p>
        </w:tc>
        <w:tc>
          <w:tcPr>
            <w:tcW w:w="2300" w:type="dxa"/>
          </w:tcPr>
          <w:p w14:paraId="2B2268C1" w14:textId="77777777"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Report action plan</w:t>
            </w:r>
          </w:p>
        </w:tc>
        <w:tc>
          <w:tcPr>
            <w:tcW w:w="3700" w:type="dxa"/>
          </w:tcPr>
          <w:p w14:paraId="6219875B" w14:textId="77777777"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HashiCorp Certified: Terraform Associate; run the report’s code in full in my own AWS account</w:t>
            </w:r>
          </w:p>
        </w:tc>
        <w:tc>
          <w:tcPr>
            <w:tcW w:w="1100" w:type="dxa"/>
          </w:tcPr>
          <w:p w14:paraId="086AA6B2" w14:textId="77777777"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March 2027</w:t>
            </w:r>
          </w:p>
        </w:tc>
      </w:tr>
      <w:tr w:rsidR="00B516B2" w14:paraId="0973AD44" w14:textId="77777777" w:rsidTr="00B51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05740F87" w14:textId="77777777" w:rsidR="00B516B2" w:rsidRDefault="00B516B2" w:rsidP="00B516B2">
            <w:r>
              <w:rPr>
                <w:b w:val="0"/>
                <w:bCs w:val="0"/>
                <w:color w:val="000000"/>
              </w:rPr>
              <w:t>A mentor</w:t>
            </w:r>
          </w:p>
        </w:tc>
        <w:tc>
          <w:tcPr>
            <w:tcW w:w="2300" w:type="dxa"/>
          </w:tcPr>
          <w:p w14:paraId="5084566E" w14:textId="77777777"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Report action plan</w:t>
            </w:r>
          </w:p>
        </w:tc>
        <w:tc>
          <w:tcPr>
            <w:tcW w:w="3700" w:type="dxa"/>
          </w:tcPr>
          <w:p w14:paraId="7FF49020" w14:textId="77777777"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Secure a mentor in cloud architecture or healthcare IT through the BCS specialist groups</w:t>
            </w:r>
          </w:p>
        </w:tc>
        <w:tc>
          <w:tcPr>
            <w:tcW w:w="1100" w:type="dxa"/>
          </w:tcPr>
          <w:p w14:paraId="644A177B" w14:textId="77777777"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March 2027</w:t>
            </w:r>
          </w:p>
        </w:tc>
      </w:tr>
      <w:tr w:rsidR="00B516B2" w14:paraId="7882B9E5" w14:textId="77777777" w:rsidTr="00B516B2">
        <w:tc>
          <w:tcPr>
            <w:cnfStyle w:val="001000000000" w:firstRow="0" w:lastRow="0" w:firstColumn="1" w:lastColumn="0" w:oddVBand="0" w:evenVBand="0" w:oddHBand="0" w:evenHBand="0" w:firstRowFirstColumn="0" w:firstRowLastColumn="0" w:lastRowFirstColumn="0" w:lastRowLastColumn="0"/>
            <w:tcW w:w="1900" w:type="dxa"/>
          </w:tcPr>
          <w:p w14:paraId="35CACC8A" w14:textId="77777777" w:rsidR="00B516B2" w:rsidRDefault="00B516B2" w:rsidP="00B516B2">
            <w:r>
              <w:rPr>
                <w:b w:val="0"/>
                <w:bCs w:val="0"/>
                <w:color w:val="000000"/>
              </w:rPr>
              <w:t>Governance built in from the off</w:t>
            </w:r>
          </w:p>
        </w:tc>
        <w:tc>
          <w:tcPr>
            <w:tcW w:w="2300" w:type="dxa"/>
          </w:tcPr>
          <w:p w14:paraId="4015A4DF" w14:textId="76B61B43"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Unit 7</w:t>
            </w:r>
          </w:p>
        </w:tc>
        <w:tc>
          <w:tcPr>
            <w:tcW w:w="3700" w:type="dxa"/>
          </w:tcPr>
          <w:p w14:paraId="1962D794" w14:textId="77777777"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Study the NCSC Cyber Assessment Framework; AWS Certified Security – Specialty</w:t>
            </w:r>
          </w:p>
        </w:tc>
        <w:tc>
          <w:tcPr>
            <w:tcW w:w="1100" w:type="dxa"/>
          </w:tcPr>
          <w:p w14:paraId="7FF51710" w14:textId="77777777"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June 2027</w:t>
            </w:r>
          </w:p>
        </w:tc>
      </w:tr>
      <w:tr w:rsidR="00B516B2" w14:paraId="4E3911CC" w14:textId="77777777" w:rsidTr="00B51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4A227469" w14:textId="77777777" w:rsidR="00B516B2" w:rsidRDefault="00B516B2" w:rsidP="00B516B2">
            <w:r>
              <w:rPr>
                <w:b w:val="0"/>
                <w:bCs w:val="0"/>
                <w:color w:val="000000"/>
              </w:rPr>
              <w:t>Edge and fog computing</w:t>
            </w:r>
          </w:p>
        </w:tc>
        <w:tc>
          <w:tcPr>
            <w:tcW w:w="2300" w:type="dxa"/>
          </w:tcPr>
          <w:p w14:paraId="26D8C17A" w14:textId="77777777"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Unit 6 and the closing units</w:t>
            </w:r>
          </w:p>
        </w:tc>
        <w:tc>
          <w:tcPr>
            <w:tcW w:w="3700" w:type="dxa"/>
          </w:tcPr>
          <w:p w14:paraId="64833D49" w14:textId="77777777"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Build an edge inference pipeline with AWS IoT Greengrass; reproduce an iFogSim placement experiment (Gupta et al., 2017)</w:t>
            </w:r>
          </w:p>
        </w:tc>
        <w:tc>
          <w:tcPr>
            <w:tcW w:w="1100" w:type="dxa"/>
          </w:tcPr>
          <w:p w14:paraId="19D2FCCD" w14:textId="77777777"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September 2027</w:t>
            </w:r>
          </w:p>
        </w:tc>
      </w:tr>
      <w:tr w:rsidR="00B516B2" w14:paraId="6A2A1FB0" w14:textId="77777777" w:rsidTr="00B516B2">
        <w:tc>
          <w:tcPr>
            <w:cnfStyle w:val="001000000000" w:firstRow="0" w:lastRow="0" w:firstColumn="1" w:lastColumn="0" w:oddVBand="0" w:evenVBand="0" w:oddHBand="0" w:evenHBand="0" w:firstRowFirstColumn="0" w:firstRowLastColumn="0" w:lastRowFirstColumn="0" w:lastRowLastColumn="0"/>
            <w:tcW w:w="1900" w:type="dxa"/>
          </w:tcPr>
          <w:p w14:paraId="7E6CAA54" w14:textId="77777777" w:rsidR="00B516B2" w:rsidRDefault="00B516B2" w:rsidP="00B516B2">
            <w:r>
              <w:rPr>
                <w:b w:val="0"/>
                <w:bCs w:val="0"/>
                <w:color w:val="000000"/>
              </w:rPr>
              <w:t>Kubernetes in production</w:t>
            </w:r>
          </w:p>
        </w:tc>
        <w:tc>
          <w:tcPr>
            <w:tcW w:w="2300" w:type="dxa"/>
          </w:tcPr>
          <w:p w14:paraId="29CF55F2" w14:textId="77777777"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Unit 5: the gap I owned up to</w:t>
            </w:r>
          </w:p>
        </w:tc>
        <w:tc>
          <w:tcPr>
            <w:tcW w:w="3700" w:type="dxa"/>
          </w:tcPr>
          <w:p w14:paraId="1221014E" w14:textId="77777777"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Run a three-node k3s cluster for a personal project; Certified Kubernetes Administrator</w:t>
            </w:r>
          </w:p>
        </w:tc>
        <w:tc>
          <w:tcPr>
            <w:tcW w:w="1100" w:type="dxa"/>
          </w:tcPr>
          <w:p w14:paraId="173BBF64" w14:textId="77777777"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December 2027</w:t>
            </w:r>
          </w:p>
        </w:tc>
      </w:tr>
      <w:tr w:rsidR="00B516B2" w14:paraId="351E0384" w14:textId="77777777" w:rsidTr="00B51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6D0EA443" w14:textId="77777777" w:rsidR="00B516B2" w:rsidRDefault="00B516B2" w:rsidP="00B516B2">
            <w:r>
              <w:rPr>
                <w:b w:val="0"/>
                <w:bCs w:val="0"/>
                <w:color w:val="000000"/>
              </w:rPr>
              <w:t>AIOps and agentic AI</w:t>
            </w:r>
          </w:p>
        </w:tc>
        <w:tc>
          <w:tcPr>
            <w:tcW w:w="2300" w:type="dxa"/>
          </w:tcPr>
          <w:p w14:paraId="65C08BCF" w14:textId="205206E4"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Unit 3</w:t>
            </w:r>
          </w:p>
        </w:tc>
        <w:tc>
          <w:tcPr>
            <w:tcW w:w="3700" w:type="dxa"/>
          </w:tcPr>
          <w:p w14:paraId="26C06C94" w14:textId="5C407778"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CloudWatch anomaly detection in a lab account with the false positives measured</w:t>
            </w:r>
          </w:p>
        </w:tc>
        <w:tc>
          <w:tcPr>
            <w:tcW w:w="1100" w:type="dxa"/>
          </w:tcPr>
          <w:p w14:paraId="3F121E37" w14:textId="77777777" w:rsidR="00B516B2" w:rsidRDefault="00B516B2" w:rsidP="00B516B2">
            <w:pPr>
              <w:cnfStyle w:val="000000100000" w:firstRow="0" w:lastRow="0" w:firstColumn="0" w:lastColumn="0" w:oddVBand="0" w:evenVBand="0" w:oddHBand="1" w:evenHBand="0" w:firstRowFirstColumn="0" w:firstRowLastColumn="0" w:lastRowFirstColumn="0" w:lastRowLastColumn="0"/>
            </w:pPr>
            <w:r>
              <w:rPr>
                <w:color w:val="000000"/>
              </w:rPr>
              <w:t>December 2027</w:t>
            </w:r>
          </w:p>
        </w:tc>
      </w:tr>
      <w:tr w:rsidR="00B516B2" w14:paraId="659E054E" w14:textId="77777777" w:rsidTr="00B516B2">
        <w:tc>
          <w:tcPr>
            <w:cnfStyle w:val="001000000000" w:firstRow="0" w:lastRow="0" w:firstColumn="1" w:lastColumn="0" w:oddVBand="0" w:evenVBand="0" w:oddHBand="0" w:evenHBand="0" w:firstRowFirstColumn="0" w:firstRowLastColumn="0" w:lastRowFirstColumn="0" w:lastRowLastColumn="0"/>
            <w:tcW w:w="1900" w:type="dxa"/>
          </w:tcPr>
          <w:p w14:paraId="5B79A921" w14:textId="77777777" w:rsidR="00B516B2" w:rsidRDefault="00B516B2" w:rsidP="00B516B2">
            <w:r>
              <w:rPr>
                <w:b w:val="0"/>
                <w:bCs w:val="0"/>
                <w:color w:val="000000"/>
              </w:rPr>
              <w:lastRenderedPageBreak/>
              <w:t>Post-quantum cryptography</w:t>
            </w:r>
          </w:p>
        </w:tc>
        <w:tc>
          <w:tcPr>
            <w:tcW w:w="2300" w:type="dxa"/>
          </w:tcPr>
          <w:p w14:paraId="655A5072" w14:textId="77777777"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Closing units; NCSC (2025) timetable</w:t>
            </w:r>
          </w:p>
        </w:tc>
        <w:tc>
          <w:tcPr>
            <w:tcW w:w="3700" w:type="dxa"/>
          </w:tcPr>
          <w:p w14:paraId="54CD101C" w14:textId="77777777"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Cryptographic inventory of a lab estate; hybrid ML-KEM TLS with OpenSSL 3.5; a written migration plan</w:t>
            </w:r>
          </w:p>
        </w:tc>
        <w:tc>
          <w:tcPr>
            <w:tcW w:w="1100" w:type="dxa"/>
          </w:tcPr>
          <w:p w14:paraId="59EFF52F" w14:textId="77777777" w:rsidR="00B516B2" w:rsidRDefault="00B516B2" w:rsidP="00B516B2">
            <w:pPr>
              <w:cnfStyle w:val="000000000000" w:firstRow="0" w:lastRow="0" w:firstColumn="0" w:lastColumn="0" w:oddVBand="0" w:evenVBand="0" w:oddHBand="0" w:evenHBand="0" w:firstRowFirstColumn="0" w:firstRowLastColumn="0" w:lastRowFirstColumn="0" w:lastRowLastColumn="0"/>
            </w:pPr>
            <w:r>
              <w:rPr>
                <w:color w:val="000000"/>
              </w:rPr>
              <w:t>March 2028</w:t>
            </w:r>
          </w:p>
        </w:tc>
      </w:tr>
    </w:tbl>
    <w:p w14:paraId="29F28351" w14:textId="77777777" w:rsidR="00B516B2" w:rsidRDefault="00B516B2" w:rsidP="00B516B2"/>
    <w:p w14:paraId="768ED835" w14:textId="77777777" w:rsidR="00B516B2" w:rsidRDefault="00B516B2">
      <w:r>
        <w:br w:type="page"/>
      </w:r>
    </w:p>
    <w:p w14:paraId="665993C6" w14:textId="19D32BE0" w:rsidR="00B516B2" w:rsidRDefault="00B516B2" w:rsidP="00B516B2">
      <w:pPr>
        <w:pStyle w:val="Heading1"/>
      </w:pPr>
      <w:r>
        <w:lastRenderedPageBreak/>
        <w:t>References</w:t>
      </w:r>
    </w:p>
    <w:p w14:paraId="06249C23" w14:textId="77777777" w:rsidR="00B516B2" w:rsidRDefault="00B516B2" w:rsidP="00B516B2">
      <w:pPr>
        <w:spacing w:after="120" w:line="276" w:lineRule="auto"/>
        <w:ind w:left="567" w:hanging="567"/>
      </w:pPr>
      <w:r>
        <w:rPr>
          <w:rFonts w:eastAsia="Arial" w:cs="Arial"/>
          <w:sz w:val="20"/>
          <w:szCs w:val="20"/>
        </w:rPr>
        <w:t>Anggraini, N., Binariswanto and Legowo, N. (2019) ‘Cloud computing adoption strategic planning using ROCCA and TOGAF 9.2: a study in government agency’, Procedia Computer Science, 161, pp. 1316–1324.</w:t>
      </w:r>
    </w:p>
    <w:p w14:paraId="4586AC5A" w14:textId="77777777" w:rsidR="00B516B2" w:rsidRDefault="00B516B2" w:rsidP="00B516B2">
      <w:pPr>
        <w:spacing w:after="120" w:line="276" w:lineRule="auto"/>
        <w:ind w:left="567" w:hanging="567"/>
      </w:pPr>
      <w:r>
        <w:rPr>
          <w:rFonts w:eastAsia="Arial" w:cs="Arial"/>
          <w:sz w:val="20"/>
          <w:szCs w:val="20"/>
        </w:rPr>
        <w:t>Baldini, I., Castro, P., Chang, K., Cheng, P., Fink, S., Ishakian, V., Mitchell, N., Muthusamy, V., Rabbah, R., Slominski, A. and Suter, P. (2017) ‘Serverless computing: current trends and open problems’, in Chaudhary, S., Somani, G. and Buyya, R. (eds) Research Advances in Cloud Computing. Singapore: Springer, pp. 1–20.</w:t>
      </w:r>
    </w:p>
    <w:p w14:paraId="5A8ED707" w14:textId="77777777" w:rsidR="00B516B2" w:rsidRDefault="00B516B2" w:rsidP="00B516B2">
      <w:pPr>
        <w:spacing w:after="120" w:line="276" w:lineRule="auto"/>
        <w:ind w:left="567" w:hanging="567"/>
      </w:pPr>
      <w:r>
        <w:rPr>
          <w:rFonts w:eastAsia="Arial" w:cs="Arial"/>
          <w:sz w:val="20"/>
          <w:szCs w:val="20"/>
        </w:rPr>
        <w:t>Bonomi, F., Milito, R., Natarajan, P. and Zhu, J. (2014) ‘Fog computing: a platform for Internet of Things and analytics’, in Bessis, N. and Dobre, C. (eds) Big Data and Internet of Things: A Roadmap for Smart Environments. Cham: Springer, pp. 169–186.</w:t>
      </w:r>
    </w:p>
    <w:p w14:paraId="34DC1BAF" w14:textId="77777777" w:rsidR="00B516B2" w:rsidRDefault="00B516B2" w:rsidP="00B516B2">
      <w:pPr>
        <w:spacing w:after="120" w:line="276" w:lineRule="auto"/>
        <w:ind w:left="567" w:hanging="567"/>
      </w:pPr>
      <w:r>
        <w:rPr>
          <w:rFonts w:eastAsia="Arial" w:cs="Arial"/>
          <w:sz w:val="20"/>
          <w:szCs w:val="20"/>
        </w:rPr>
        <w:t>Feitosa, D., Penca, M.T., Berardi, M., Boza, R.D. and Andrikopoulos, V. (2023) Mining for cost awareness in the Infrastructure as Code artifacts of cloud-based applications: an exploratory study. arXiv preprint arXiv:2304.07531.</w:t>
      </w:r>
    </w:p>
    <w:p w14:paraId="7B1ED0E0" w14:textId="77777777" w:rsidR="00B516B2" w:rsidRDefault="00B516B2" w:rsidP="00B516B2">
      <w:pPr>
        <w:spacing w:after="120" w:line="276" w:lineRule="auto"/>
        <w:ind w:left="567" w:hanging="567"/>
      </w:pPr>
      <w:r>
        <w:rPr>
          <w:rFonts w:eastAsia="Arial" w:cs="Arial"/>
          <w:sz w:val="20"/>
          <w:szCs w:val="20"/>
        </w:rPr>
        <w:t>Gibbs, G. (1988) Learning by Doing: A Guide to Teaching and Learning Methods. Oxford: Further Education Unit, Oxford Polytechnic.</w:t>
      </w:r>
    </w:p>
    <w:p w14:paraId="68402C71" w14:textId="77777777" w:rsidR="00B516B2" w:rsidRDefault="00B516B2" w:rsidP="00B516B2">
      <w:pPr>
        <w:spacing w:after="120" w:line="276" w:lineRule="auto"/>
        <w:ind w:left="567" w:hanging="567"/>
      </w:pPr>
      <w:r>
        <w:rPr>
          <w:rFonts w:eastAsia="Arial" w:cs="Arial"/>
          <w:sz w:val="20"/>
          <w:szCs w:val="20"/>
        </w:rPr>
        <w:t>Gupta, H., Vahid Dastjerdi, A., Ghosh, S.K. and Buyya, R. (2017) ‘iFogSim: a toolkit for modeling and simulation of resource management techniques in the Internet of Things, Edge and Fog computing environments’, Software: Practice and Experience, 47(9), pp. 1275–1296.</w:t>
      </w:r>
    </w:p>
    <w:p w14:paraId="00F5C9B0" w14:textId="77777777" w:rsidR="00B516B2" w:rsidRDefault="00B516B2" w:rsidP="00B516B2">
      <w:pPr>
        <w:spacing w:after="120" w:line="276" w:lineRule="auto"/>
        <w:ind w:left="567" w:hanging="567"/>
      </w:pPr>
      <w:r>
        <w:rPr>
          <w:rFonts w:eastAsia="Arial" w:cs="Arial"/>
          <w:sz w:val="20"/>
          <w:szCs w:val="20"/>
        </w:rPr>
        <w:t>Hamzaoui, I., Duthil, B., Courboulay, V. and Medromi, H. (2024) ‘A topical review on container-based cloud revolution: multi-directional challenges, and future trends’, SN Computer Science, 5(1), pp. 1–20.</w:t>
      </w:r>
    </w:p>
    <w:p w14:paraId="70472838" w14:textId="77777777" w:rsidR="00B516B2" w:rsidRDefault="00B516B2" w:rsidP="00B516B2">
      <w:pPr>
        <w:spacing w:after="120" w:line="276" w:lineRule="auto"/>
        <w:ind w:left="567" w:hanging="567"/>
      </w:pPr>
      <w:r>
        <w:rPr>
          <w:rFonts w:eastAsia="Arial" w:cs="Arial"/>
          <w:sz w:val="20"/>
          <w:szCs w:val="20"/>
        </w:rPr>
        <w:t>ISO (2022) ISO/IEC 27001:2022 Information security, cybersecurity and privacy protection — Information security management systems — Requirements. Geneva: International Organization for Standardization.</w:t>
      </w:r>
    </w:p>
    <w:p w14:paraId="74DEF0E4" w14:textId="77777777" w:rsidR="00B516B2" w:rsidRDefault="00B516B2" w:rsidP="00B516B2">
      <w:pPr>
        <w:spacing w:after="120" w:line="276" w:lineRule="auto"/>
        <w:ind w:left="567" w:hanging="567"/>
      </w:pPr>
      <w:r>
        <w:rPr>
          <w:rFonts w:eastAsia="Arial" w:cs="Arial"/>
          <w:sz w:val="20"/>
          <w:szCs w:val="20"/>
        </w:rPr>
        <w:t>Jager, E. (2025) Mastering the TOGAF® Standard: A Practical Translation of the World’s Leading Architecture Framework. Berkeley, CA: Apress.</w:t>
      </w:r>
    </w:p>
    <w:p w14:paraId="27CC4C7F" w14:textId="77777777" w:rsidR="00B516B2" w:rsidRDefault="00B516B2" w:rsidP="00B516B2">
      <w:pPr>
        <w:spacing w:after="120" w:line="276" w:lineRule="auto"/>
        <w:ind w:left="567" w:hanging="567"/>
      </w:pPr>
      <w:r>
        <w:rPr>
          <w:rFonts w:eastAsia="Arial" w:cs="Arial"/>
          <w:sz w:val="20"/>
          <w:szCs w:val="20"/>
        </w:rPr>
        <w:t>Mell, P. and Grance, T. (2011) The NIST Definition of Cloud Computing. Special Publication 800-145. Gaithersburg, MD: National Institute of Standards and Technology.</w:t>
      </w:r>
    </w:p>
    <w:p w14:paraId="639F6CBE" w14:textId="77777777" w:rsidR="00B516B2" w:rsidRDefault="00B516B2" w:rsidP="00B516B2">
      <w:pPr>
        <w:spacing w:after="120" w:line="276" w:lineRule="auto"/>
        <w:ind w:left="567" w:hanging="567"/>
      </w:pPr>
      <w:r>
        <w:rPr>
          <w:rFonts w:eastAsia="Arial" w:cs="Arial"/>
          <w:sz w:val="20"/>
          <w:szCs w:val="20"/>
        </w:rPr>
        <w:t>NCSC (2025) Timelines for migration to post-quantum (PQC) cryptography. London: National Cyber Security Centre. Available at: https://www.ncsc.gov.uk/guidance/pqc-migration-timelines (Accessed: 18 October 2026).</w:t>
      </w:r>
    </w:p>
    <w:p w14:paraId="761B8F3C" w14:textId="77777777" w:rsidR="00B516B2" w:rsidRDefault="00B516B2" w:rsidP="00B516B2">
      <w:pPr>
        <w:spacing w:after="120" w:line="276" w:lineRule="auto"/>
        <w:ind w:left="567" w:hanging="567"/>
      </w:pPr>
      <w:r>
        <w:rPr>
          <w:rFonts w:eastAsia="Arial" w:cs="Arial"/>
          <w:sz w:val="20"/>
          <w:szCs w:val="20"/>
        </w:rPr>
        <w:t>NHS England (2025b) Guidance on the use of AI-enabled ambient scribing products in health and care settings. Available at: https://www.england.nhs.uk/long-read/guidance-on-the-use-of-ai-enabled-ambient-scribing-products-in-health-and-care-settings (Accessed: 11 October 2026).</w:t>
      </w:r>
    </w:p>
    <w:p w14:paraId="1A52E550" w14:textId="77777777" w:rsidR="00B516B2" w:rsidRDefault="00B516B2" w:rsidP="00B516B2">
      <w:pPr>
        <w:spacing w:after="120" w:line="276" w:lineRule="auto"/>
        <w:ind w:left="567" w:hanging="567"/>
      </w:pPr>
      <w:r>
        <w:rPr>
          <w:rFonts w:eastAsia="Arial" w:cs="Arial"/>
          <w:sz w:val="20"/>
          <w:szCs w:val="20"/>
        </w:rPr>
        <w:t>NHS England (2026) Data Security and Protection Toolkit 2026-27 version 9. Available at: https://www.dsptoolkit.nhs.uk/News/169 (Accessed: 11 October 2026).</w:t>
      </w:r>
    </w:p>
    <w:p w14:paraId="7933F2EB" w14:textId="77777777" w:rsidR="00B516B2" w:rsidRDefault="00B516B2" w:rsidP="00B516B2">
      <w:pPr>
        <w:spacing w:after="120" w:line="276" w:lineRule="auto"/>
        <w:ind w:left="567" w:hanging="567"/>
      </w:pPr>
      <w:r>
        <w:rPr>
          <w:rFonts w:eastAsia="Arial" w:cs="Arial"/>
          <w:sz w:val="20"/>
          <w:szCs w:val="20"/>
        </w:rPr>
        <w:t>NIST (2024) The NIST Cybersecurity Framework (CSF) 2.0. NIST CSWP 29. Gaithersburg, MD: National Institute of Standards and Technology.</w:t>
      </w:r>
    </w:p>
    <w:p w14:paraId="58FB1ECD" w14:textId="77777777" w:rsidR="00B516B2" w:rsidRDefault="00B516B2" w:rsidP="00B516B2">
      <w:pPr>
        <w:spacing w:after="120" w:line="276" w:lineRule="auto"/>
        <w:ind w:left="567" w:hanging="567"/>
      </w:pPr>
      <w:r>
        <w:rPr>
          <w:rFonts w:eastAsia="Arial" w:cs="Arial"/>
          <w:sz w:val="20"/>
          <w:szCs w:val="20"/>
        </w:rPr>
        <w:t>Poulton, N. and Joglekar, P. (2017) The Kubernetes Book. Leanpub.</w:t>
      </w:r>
    </w:p>
    <w:p w14:paraId="34D97ADC" w14:textId="77777777" w:rsidR="00B516B2" w:rsidRDefault="00B516B2" w:rsidP="00B516B2">
      <w:pPr>
        <w:spacing w:after="120" w:line="276" w:lineRule="auto"/>
        <w:ind w:left="567" w:hanging="567"/>
      </w:pPr>
      <w:r>
        <w:rPr>
          <w:rFonts w:eastAsia="Arial" w:cs="Arial"/>
          <w:sz w:val="20"/>
          <w:szCs w:val="20"/>
        </w:rPr>
        <w:lastRenderedPageBreak/>
        <w:t>Security Affairs (2024) London hospitals canceled over 800 operations in the week after Synnovis ransomware attack, 15 June. Available at: https://securityaffairs.com/?p=164541 (Accessed: 11 October 2026).</w:t>
      </w:r>
    </w:p>
    <w:p w14:paraId="164B2257" w14:textId="77777777" w:rsidR="00B516B2" w:rsidRDefault="00B516B2" w:rsidP="00B516B2">
      <w:pPr>
        <w:spacing w:after="120" w:line="276" w:lineRule="auto"/>
        <w:ind w:left="567" w:hanging="567"/>
      </w:pPr>
      <w:r>
        <w:rPr>
          <w:rFonts w:eastAsia="Arial" w:cs="Arial"/>
          <w:sz w:val="20"/>
          <w:szCs w:val="20"/>
        </w:rPr>
        <w:t>Sharma, S.K. and Kumar, P.B.S. (2024) ‘Hybrid IT and multi-cloud: an emerging trend and improved deployment model’, SN Computer Science, 5(1), pp. 1–15.</w:t>
      </w:r>
    </w:p>
    <w:p w14:paraId="5B7123F8" w14:textId="77777777" w:rsidR="00B516B2" w:rsidRDefault="00B516B2" w:rsidP="00B516B2">
      <w:pPr>
        <w:spacing w:after="120" w:line="276" w:lineRule="auto"/>
        <w:ind w:left="567" w:hanging="567"/>
      </w:pPr>
      <w:r>
        <w:rPr>
          <w:rFonts w:eastAsia="Arial" w:cs="Arial"/>
          <w:sz w:val="20"/>
          <w:szCs w:val="20"/>
        </w:rPr>
        <w:t>Wiggins, A. (2017) The Twelve-Factor App. Available at: https://12factor.net (Accessed: 18 October 2026).</w:t>
      </w:r>
    </w:p>
    <w:p w14:paraId="1E7DBC0F" w14:textId="77777777" w:rsidR="00B516B2" w:rsidRDefault="00B516B2" w:rsidP="00B516B2">
      <w:r>
        <w:br w:type="page"/>
      </w:r>
    </w:p>
    <w:p w14:paraId="043526F8" w14:textId="5DB0127C" w:rsidR="00B516B2" w:rsidRDefault="00B516B2">
      <w:r>
        <w:lastRenderedPageBreak/>
        <w:br w:type="page"/>
      </w:r>
    </w:p>
    <w:p w14:paraId="1C27FA9C" w14:textId="77777777" w:rsidR="00B516B2" w:rsidRPr="00B516B2" w:rsidRDefault="00B516B2" w:rsidP="00B516B2">
      <w:pPr>
        <w:pStyle w:val="Heading1"/>
      </w:pPr>
      <w:r w:rsidRPr="00B516B2">
        <w:lastRenderedPageBreak/>
        <w:t>Appendix A: Evidence from the practical work</w:t>
      </w:r>
    </w:p>
    <w:p w14:paraId="1CF567FB" w14:textId="77777777" w:rsidR="00B516B2" w:rsidRDefault="00B516B2" w:rsidP="00B516B2">
      <w:pPr>
        <w:pStyle w:val="Heading2"/>
        <w:spacing w:before="240" w:after="120"/>
      </w:pPr>
      <w:r>
        <w:rPr>
          <w:rFonts w:ascii="Aptos Display" w:eastAsia="Aptos Display" w:hAnsi="Aptos Display" w:cs="Aptos Display"/>
          <w:color w:val="0F4761"/>
        </w:rPr>
        <w:t>A.1 Infrastructure as Code: the imaging-archive module</w:t>
      </w:r>
    </w:p>
    <w:p w14:paraId="0DA2B8D1" w14:textId="77777777" w:rsidR="00B516B2" w:rsidRDefault="00B516B2" w:rsidP="00B516B2">
      <w:pPr>
        <w:spacing w:line="276" w:lineRule="auto"/>
      </w:pPr>
      <w:r>
        <w:rPr>
          <w:rFonts w:eastAsia="Arial" w:cs="Arial"/>
          <w:sz w:val="20"/>
          <w:szCs w:val="20"/>
        </w:rPr>
        <w:t>This Terraform module creates the ransomware-resistant archive for medical images. Object Lock in compliance mode, versioning, customer-managed KMS encryption, a public-access block and storage tiering are declared together, so every environment that calls the module inherits the same controls.</w:t>
      </w:r>
    </w:p>
    <w:p w14:paraId="3698D8FB" w14:textId="77777777" w:rsidR="00B516B2" w:rsidRDefault="00B516B2" w:rsidP="00B516B2">
      <w:pPr>
        <w:shd w:val="clear" w:color="auto" w:fill="F3F3F3"/>
        <w:ind w:left="200" w:right="200"/>
      </w:pPr>
      <w:r>
        <w:rPr>
          <w:rFonts w:ascii="Consolas" w:eastAsia="Consolas" w:hAnsi="Consolas" w:cs="Consolas"/>
          <w:sz w:val="16"/>
          <w:szCs w:val="16"/>
        </w:rPr>
        <w:t># Ransomware-resistant archive for medical images (report: "Terraform implementation", Snippet 3).</w:t>
      </w:r>
    </w:p>
    <w:p w14:paraId="20C8F1B9" w14:textId="77777777" w:rsidR="00B516B2" w:rsidRDefault="00B516B2" w:rsidP="00B516B2">
      <w:pPr>
        <w:shd w:val="clear" w:color="auto" w:fill="F3F3F3"/>
        <w:ind w:left="200" w:right="200"/>
      </w:pPr>
      <w:r>
        <w:rPr>
          <w:rFonts w:ascii="Consolas" w:eastAsia="Consolas" w:hAnsi="Consolas" w:cs="Consolas"/>
          <w:sz w:val="16"/>
          <w:szCs w:val="16"/>
        </w:rPr>
        <w:t># Object Lock in COMPLIANCE mode means no one - including an administrator -</w:t>
      </w:r>
    </w:p>
    <w:p w14:paraId="57EE0632" w14:textId="77777777" w:rsidR="00B516B2" w:rsidRDefault="00B516B2" w:rsidP="00B516B2">
      <w:pPr>
        <w:shd w:val="clear" w:color="auto" w:fill="F3F3F3"/>
        <w:ind w:left="200" w:right="200"/>
      </w:pPr>
      <w:r>
        <w:rPr>
          <w:rFonts w:ascii="Consolas" w:eastAsia="Consolas" w:hAnsi="Consolas" w:cs="Consolas"/>
          <w:sz w:val="16"/>
          <w:szCs w:val="16"/>
        </w:rPr>
        <w:t># can delete or overwrite an object version until its retention period ends.</w:t>
      </w:r>
    </w:p>
    <w:p w14:paraId="61708AA6"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3583DE05" w14:textId="77777777" w:rsidR="00B516B2" w:rsidRDefault="00B516B2" w:rsidP="00B516B2">
      <w:pPr>
        <w:shd w:val="clear" w:color="auto" w:fill="F3F3F3"/>
        <w:ind w:left="200" w:right="200"/>
      </w:pPr>
      <w:r>
        <w:rPr>
          <w:rFonts w:ascii="Consolas" w:eastAsia="Consolas" w:hAnsi="Consolas" w:cs="Consolas"/>
          <w:sz w:val="16"/>
          <w:szCs w:val="16"/>
        </w:rPr>
        <w:t>resource "aws_s3_bucket" "this" {</w:t>
      </w:r>
    </w:p>
    <w:p w14:paraId="1EE925E2" w14:textId="77777777" w:rsidR="00B516B2" w:rsidRDefault="00B516B2" w:rsidP="00B516B2">
      <w:pPr>
        <w:shd w:val="clear" w:color="auto" w:fill="F3F3F3"/>
        <w:ind w:left="200" w:right="200"/>
      </w:pPr>
      <w:r>
        <w:rPr>
          <w:rFonts w:ascii="Consolas" w:eastAsia="Consolas" w:hAnsi="Consolas" w:cs="Consolas"/>
          <w:sz w:val="16"/>
          <w:szCs w:val="16"/>
        </w:rPr>
        <w:t xml:space="preserve">  bucket              = "${var.name_prefix}-imaging-archive"</w:t>
      </w:r>
    </w:p>
    <w:p w14:paraId="715F0E30" w14:textId="77777777" w:rsidR="00B516B2" w:rsidRDefault="00B516B2" w:rsidP="00B516B2">
      <w:pPr>
        <w:shd w:val="clear" w:color="auto" w:fill="F3F3F3"/>
        <w:ind w:left="200" w:right="200"/>
      </w:pPr>
      <w:r>
        <w:rPr>
          <w:rFonts w:ascii="Consolas" w:eastAsia="Consolas" w:hAnsi="Consolas" w:cs="Consolas"/>
          <w:sz w:val="16"/>
          <w:szCs w:val="16"/>
        </w:rPr>
        <w:t xml:space="preserve">  object_lock_enabled = true</w:t>
      </w:r>
    </w:p>
    <w:p w14:paraId="66B04564" w14:textId="77777777" w:rsidR="00B516B2" w:rsidRDefault="00B516B2" w:rsidP="00B516B2">
      <w:pPr>
        <w:shd w:val="clear" w:color="auto" w:fill="F3F3F3"/>
        <w:ind w:left="200" w:right="200"/>
      </w:pPr>
      <w:r>
        <w:rPr>
          <w:rFonts w:ascii="Consolas" w:eastAsia="Consolas" w:hAnsi="Consolas" w:cs="Consolas"/>
          <w:sz w:val="16"/>
          <w:szCs w:val="16"/>
        </w:rPr>
        <w:t xml:space="preserve">  force_destroy       = false</w:t>
      </w:r>
    </w:p>
    <w:p w14:paraId="1362F435" w14:textId="77777777" w:rsidR="00B516B2" w:rsidRDefault="00B516B2" w:rsidP="00B516B2">
      <w:pPr>
        <w:shd w:val="clear" w:color="auto" w:fill="F3F3F3"/>
        <w:ind w:left="200" w:right="200"/>
      </w:pPr>
      <w:r>
        <w:rPr>
          <w:rFonts w:ascii="Consolas" w:eastAsia="Consolas" w:hAnsi="Consolas" w:cs="Consolas"/>
          <w:sz w:val="16"/>
          <w:szCs w:val="16"/>
        </w:rPr>
        <w:t>}</w:t>
      </w:r>
    </w:p>
    <w:p w14:paraId="563F57CA"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5717C59C" w14:textId="77777777" w:rsidR="00B516B2" w:rsidRDefault="00B516B2" w:rsidP="00B516B2">
      <w:pPr>
        <w:shd w:val="clear" w:color="auto" w:fill="F3F3F3"/>
        <w:ind w:left="200" w:right="200"/>
      </w:pPr>
      <w:r>
        <w:rPr>
          <w:rFonts w:ascii="Consolas" w:eastAsia="Consolas" w:hAnsi="Consolas" w:cs="Consolas"/>
          <w:sz w:val="16"/>
          <w:szCs w:val="16"/>
        </w:rPr>
        <w:t>resource "aws_s3_bucket_versioning" "this" {</w:t>
      </w:r>
    </w:p>
    <w:p w14:paraId="4604DAB9" w14:textId="77777777" w:rsidR="00B516B2" w:rsidRDefault="00B516B2" w:rsidP="00B516B2">
      <w:pPr>
        <w:shd w:val="clear" w:color="auto" w:fill="F3F3F3"/>
        <w:ind w:left="200" w:right="200"/>
      </w:pPr>
      <w:r>
        <w:rPr>
          <w:rFonts w:ascii="Consolas" w:eastAsia="Consolas" w:hAnsi="Consolas" w:cs="Consolas"/>
          <w:sz w:val="16"/>
          <w:szCs w:val="16"/>
        </w:rPr>
        <w:t xml:space="preserve">  bucket = aws_s3_bucket.this.id</w:t>
      </w:r>
    </w:p>
    <w:p w14:paraId="4347B802" w14:textId="77777777" w:rsidR="00B516B2" w:rsidRDefault="00B516B2" w:rsidP="00B516B2">
      <w:pPr>
        <w:shd w:val="clear" w:color="auto" w:fill="F3F3F3"/>
        <w:ind w:left="200" w:right="200"/>
      </w:pPr>
      <w:r>
        <w:rPr>
          <w:rFonts w:ascii="Consolas" w:eastAsia="Consolas" w:hAnsi="Consolas" w:cs="Consolas"/>
          <w:sz w:val="16"/>
          <w:szCs w:val="16"/>
        </w:rPr>
        <w:t xml:space="preserve">  versioning_configuration {</w:t>
      </w:r>
    </w:p>
    <w:p w14:paraId="316B0589" w14:textId="77777777" w:rsidR="00B516B2" w:rsidRDefault="00B516B2" w:rsidP="00B516B2">
      <w:pPr>
        <w:shd w:val="clear" w:color="auto" w:fill="F3F3F3"/>
        <w:ind w:left="200" w:right="200"/>
      </w:pPr>
      <w:r>
        <w:rPr>
          <w:rFonts w:ascii="Consolas" w:eastAsia="Consolas" w:hAnsi="Consolas" w:cs="Consolas"/>
          <w:sz w:val="16"/>
          <w:szCs w:val="16"/>
        </w:rPr>
        <w:t xml:space="preserve">    status = "Enabled" # required by Object Lock</w:t>
      </w:r>
    </w:p>
    <w:p w14:paraId="71C02651"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738AF18D" w14:textId="77777777" w:rsidR="00B516B2" w:rsidRDefault="00B516B2" w:rsidP="00B516B2">
      <w:pPr>
        <w:shd w:val="clear" w:color="auto" w:fill="F3F3F3"/>
        <w:ind w:left="200" w:right="200"/>
      </w:pPr>
      <w:r>
        <w:rPr>
          <w:rFonts w:ascii="Consolas" w:eastAsia="Consolas" w:hAnsi="Consolas" w:cs="Consolas"/>
          <w:sz w:val="16"/>
          <w:szCs w:val="16"/>
        </w:rPr>
        <w:t>}</w:t>
      </w:r>
    </w:p>
    <w:p w14:paraId="34619F4A"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2028B778" w14:textId="77777777" w:rsidR="00B516B2" w:rsidRDefault="00B516B2" w:rsidP="00B516B2">
      <w:pPr>
        <w:shd w:val="clear" w:color="auto" w:fill="F3F3F3"/>
        <w:ind w:left="200" w:right="200"/>
      </w:pPr>
      <w:r>
        <w:rPr>
          <w:rFonts w:ascii="Consolas" w:eastAsia="Consolas" w:hAnsi="Consolas" w:cs="Consolas"/>
          <w:sz w:val="16"/>
          <w:szCs w:val="16"/>
        </w:rPr>
        <w:t>resource "aws_s3_bucket_public_access_block" "this" {</w:t>
      </w:r>
    </w:p>
    <w:p w14:paraId="55134B69" w14:textId="77777777" w:rsidR="00B516B2" w:rsidRDefault="00B516B2" w:rsidP="00B516B2">
      <w:pPr>
        <w:shd w:val="clear" w:color="auto" w:fill="F3F3F3"/>
        <w:ind w:left="200" w:right="200"/>
      </w:pPr>
      <w:r>
        <w:rPr>
          <w:rFonts w:ascii="Consolas" w:eastAsia="Consolas" w:hAnsi="Consolas" w:cs="Consolas"/>
          <w:sz w:val="16"/>
          <w:szCs w:val="16"/>
        </w:rPr>
        <w:t xml:space="preserve">  bucket                  = aws_s3_bucket.this.id</w:t>
      </w:r>
    </w:p>
    <w:p w14:paraId="6040ECA9" w14:textId="77777777" w:rsidR="00B516B2" w:rsidRDefault="00B516B2" w:rsidP="00B516B2">
      <w:pPr>
        <w:shd w:val="clear" w:color="auto" w:fill="F3F3F3"/>
        <w:ind w:left="200" w:right="200"/>
      </w:pPr>
      <w:r>
        <w:rPr>
          <w:rFonts w:ascii="Consolas" w:eastAsia="Consolas" w:hAnsi="Consolas" w:cs="Consolas"/>
          <w:sz w:val="16"/>
          <w:szCs w:val="16"/>
        </w:rPr>
        <w:t xml:space="preserve">  block_public_acls       = true</w:t>
      </w:r>
    </w:p>
    <w:p w14:paraId="35C3F05A" w14:textId="77777777" w:rsidR="00B516B2" w:rsidRDefault="00B516B2" w:rsidP="00B516B2">
      <w:pPr>
        <w:shd w:val="clear" w:color="auto" w:fill="F3F3F3"/>
        <w:ind w:left="200" w:right="200"/>
      </w:pPr>
      <w:r>
        <w:rPr>
          <w:rFonts w:ascii="Consolas" w:eastAsia="Consolas" w:hAnsi="Consolas" w:cs="Consolas"/>
          <w:sz w:val="16"/>
          <w:szCs w:val="16"/>
        </w:rPr>
        <w:t xml:space="preserve">  block_public_policy     = true</w:t>
      </w:r>
    </w:p>
    <w:p w14:paraId="38E8882F" w14:textId="77777777" w:rsidR="00B516B2" w:rsidRDefault="00B516B2" w:rsidP="00B516B2">
      <w:pPr>
        <w:shd w:val="clear" w:color="auto" w:fill="F3F3F3"/>
        <w:ind w:left="200" w:right="200"/>
      </w:pPr>
      <w:r>
        <w:rPr>
          <w:rFonts w:ascii="Consolas" w:eastAsia="Consolas" w:hAnsi="Consolas" w:cs="Consolas"/>
          <w:sz w:val="16"/>
          <w:szCs w:val="16"/>
        </w:rPr>
        <w:t xml:space="preserve">  ignore_public_acls      = true</w:t>
      </w:r>
    </w:p>
    <w:p w14:paraId="4BBD4499" w14:textId="77777777" w:rsidR="00B516B2" w:rsidRDefault="00B516B2" w:rsidP="00B516B2">
      <w:pPr>
        <w:shd w:val="clear" w:color="auto" w:fill="F3F3F3"/>
        <w:ind w:left="200" w:right="200"/>
      </w:pPr>
      <w:r>
        <w:rPr>
          <w:rFonts w:ascii="Consolas" w:eastAsia="Consolas" w:hAnsi="Consolas" w:cs="Consolas"/>
          <w:sz w:val="16"/>
          <w:szCs w:val="16"/>
        </w:rPr>
        <w:t xml:space="preserve">  restrict_public_buckets = true</w:t>
      </w:r>
    </w:p>
    <w:p w14:paraId="36FD6D09" w14:textId="77777777" w:rsidR="00B516B2" w:rsidRDefault="00B516B2" w:rsidP="00B516B2">
      <w:pPr>
        <w:shd w:val="clear" w:color="auto" w:fill="F3F3F3"/>
        <w:ind w:left="200" w:right="200"/>
      </w:pPr>
      <w:r>
        <w:rPr>
          <w:rFonts w:ascii="Consolas" w:eastAsia="Consolas" w:hAnsi="Consolas" w:cs="Consolas"/>
          <w:sz w:val="16"/>
          <w:szCs w:val="16"/>
        </w:rPr>
        <w:t>}</w:t>
      </w:r>
    </w:p>
    <w:p w14:paraId="334CC8BD"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23BDC5AA" w14:textId="77777777" w:rsidR="00B516B2" w:rsidRDefault="00B516B2" w:rsidP="00B516B2">
      <w:pPr>
        <w:shd w:val="clear" w:color="auto" w:fill="F3F3F3"/>
        <w:ind w:left="200" w:right="200"/>
      </w:pPr>
      <w:r>
        <w:rPr>
          <w:rFonts w:ascii="Consolas" w:eastAsia="Consolas" w:hAnsi="Consolas" w:cs="Consolas"/>
          <w:sz w:val="16"/>
          <w:szCs w:val="16"/>
        </w:rPr>
        <w:t>resource "aws_s3_bucket_ownership_controls" "this" {</w:t>
      </w:r>
    </w:p>
    <w:p w14:paraId="4254DDC7" w14:textId="77777777" w:rsidR="00B516B2" w:rsidRDefault="00B516B2" w:rsidP="00B516B2">
      <w:pPr>
        <w:shd w:val="clear" w:color="auto" w:fill="F3F3F3"/>
        <w:ind w:left="200" w:right="200"/>
      </w:pPr>
      <w:r>
        <w:rPr>
          <w:rFonts w:ascii="Consolas" w:eastAsia="Consolas" w:hAnsi="Consolas" w:cs="Consolas"/>
          <w:sz w:val="16"/>
          <w:szCs w:val="16"/>
        </w:rPr>
        <w:t xml:space="preserve">  bucket = aws_s3_bucket.this.id</w:t>
      </w:r>
    </w:p>
    <w:p w14:paraId="4CCCFF06" w14:textId="77777777" w:rsidR="00B516B2" w:rsidRDefault="00B516B2" w:rsidP="00B516B2">
      <w:pPr>
        <w:shd w:val="clear" w:color="auto" w:fill="F3F3F3"/>
        <w:ind w:left="200" w:right="200"/>
      </w:pPr>
      <w:r>
        <w:rPr>
          <w:rFonts w:ascii="Consolas" w:eastAsia="Consolas" w:hAnsi="Consolas" w:cs="Consolas"/>
          <w:sz w:val="16"/>
          <w:szCs w:val="16"/>
        </w:rPr>
        <w:t xml:space="preserve">  rule {</w:t>
      </w:r>
    </w:p>
    <w:p w14:paraId="6F6059F3" w14:textId="77777777" w:rsidR="00B516B2" w:rsidRDefault="00B516B2" w:rsidP="00B516B2">
      <w:pPr>
        <w:shd w:val="clear" w:color="auto" w:fill="F3F3F3"/>
        <w:ind w:left="200" w:right="200"/>
      </w:pPr>
      <w:r>
        <w:rPr>
          <w:rFonts w:ascii="Consolas" w:eastAsia="Consolas" w:hAnsi="Consolas" w:cs="Consolas"/>
          <w:sz w:val="16"/>
          <w:szCs w:val="16"/>
        </w:rPr>
        <w:lastRenderedPageBreak/>
        <w:t xml:space="preserve">    object_ownership = "BucketOwnerEnforced" # disables ACLs entirely</w:t>
      </w:r>
    </w:p>
    <w:p w14:paraId="5E67B823"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4C0FF01B" w14:textId="77777777" w:rsidR="00B516B2" w:rsidRDefault="00B516B2" w:rsidP="00B516B2">
      <w:pPr>
        <w:shd w:val="clear" w:color="auto" w:fill="F3F3F3"/>
        <w:ind w:left="200" w:right="200"/>
      </w:pPr>
      <w:r>
        <w:rPr>
          <w:rFonts w:ascii="Consolas" w:eastAsia="Consolas" w:hAnsi="Consolas" w:cs="Consolas"/>
          <w:sz w:val="16"/>
          <w:szCs w:val="16"/>
        </w:rPr>
        <w:t>}</w:t>
      </w:r>
    </w:p>
    <w:p w14:paraId="1A7B0A09"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7D3CC705" w14:textId="77777777" w:rsidR="00B516B2" w:rsidRDefault="00B516B2" w:rsidP="00B516B2">
      <w:pPr>
        <w:shd w:val="clear" w:color="auto" w:fill="F3F3F3"/>
        <w:ind w:left="200" w:right="200"/>
      </w:pPr>
      <w:r>
        <w:rPr>
          <w:rFonts w:ascii="Consolas" w:eastAsia="Consolas" w:hAnsi="Consolas" w:cs="Consolas"/>
          <w:sz w:val="16"/>
          <w:szCs w:val="16"/>
        </w:rPr>
        <w:t>resource "aws_s3_bucket_server_side_encryption_configuration" "this" {</w:t>
      </w:r>
    </w:p>
    <w:p w14:paraId="1FABFD29" w14:textId="77777777" w:rsidR="00B516B2" w:rsidRDefault="00B516B2" w:rsidP="00B516B2">
      <w:pPr>
        <w:shd w:val="clear" w:color="auto" w:fill="F3F3F3"/>
        <w:ind w:left="200" w:right="200"/>
      </w:pPr>
      <w:r>
        <w:rPr>
          <w:rFonts w:ascii="Consolas" w:eastAsia="Consolas" w:hAnsi="Consolas" w:cs="Consolas"/>
          <w:sz w:val="16"/>
          <w:szCs w:val="16"/>
        </w:rPr>
        <w:t xml:space="preserve">  bucket = aws_s3_bucket.this.id</w:t>
      </w:r>
    </w:p>
    <w:p w14:paraId="241BC86A" w14:textId="77777777" w:rsidR="00B516B2" w:rsidRDefault="00B516B2" w:rsidP="00B516B2">
      <w:pPr>
        <w:shd w:val="clear" w:color="auto" w:fill="F3F3F3"/>
        <w:ind w:left="200" w:right="200"/>
      </w:pPr>
      <w:r>
        <w:rPr>
          <w:rFonts w:ascii="Consolas" w:eastAsia="Consolas" w:hAnsi="Consolas" w:cs="Consolas"/>
          <w:sz w:val="16"/>
          <w:szCs w:val="16"/>
        </w:rPr>
        <w:t xml:space="preserve">  rule {</w:t>
      </w:r>
    </w:p>
    <w:p w14:paraId="58E45F07" w14:textId="77777777" w:rsidR="00B516B2" w:rsidRDefault="00B516B2" w:rsidP="00B516B2">
      <w:pPr>
        <w:shd w:val="clear" w:color="auto" w:fill="F3F3F3"/>
        <w:ind w:left="200" w:right="200"/>
      </w:pPr>
      <w:r>
        <w:rPr>
          <w:rFonts w:ascii="Consolas" w:eastAsia="Consolas" w:hAnsi="Consolas" w:cs="Consolas"/>
          <w:sz w:val="16"/>
          <w:szCs w:val="16"/>
        </w:rPr>
        <w:t xml:space="preserve">    apply_server_side_encryption_by_default {</w:t>
      </w:r>
    </w:p>
    <w:p w14:paraId="4C1E6530" w14:textId="77777777" w:rsidR="00B516B2" w:rsidRDefault="00B516B2" w:rsidP="00B516B2">
      <w:pPr>
        <w:shd w:val="clear" w:color="auto" w:fill="F3F3F3"/>
        <w:ind w:left="200" w:right="200"/>
      </w:pPr>
      <w:r>
        <w:rPr>
          <w:rFonts w:ascii="Consolas" w:eastAsia="Consolas" w:hAnsi="Consolas" w:cs="Consolas"/>
          <w:sz w:val="16"/>
          <w:szCs w:val="16"/>
        </w:rPr>
        <w:t xml:space="preserve">      sse_algorithm     = "aws:kms"</w:t>
      </w:r>
    </w:p>
    <w:p w14:paraId="451CAD84" w14:textId="77777777" w:rsidR="00B516B2" w:rsidRDefault="00B516B2" w:rsidP="00B516B2">
      <w:pPr>
        <w:shd w:val="clear" w:color="auto" w:fill="F3F3F3"/>
        <w:ind w:left="200" w:right="200"/>
      </w:pPr>
      <w:r>
        <w:rPr>
          <w:rFonts w:ascii="Consolas" w:eastAsia="Consolas" w:hAnsi="Consolas" w:cs="Consolas"/>
          <w:sz w:val="16"/>
          <w:szCs w:val="16"/>
        </w:rPr>
        <w:t xml:space="preserve">      kms_master_key_id = var.kms_key_arn</w:t>
      </w:r>
    </w:p>
    <w:p w14:paraId="78397AF0"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502E4F29" w14:textId="77777777" w:rsidR="00B516B2" w:rsidRDefault="00B516B2" w:rsidP="00B516B2">
      <w:pPr>
        <w:shd w:val="clear" w:color="auto" w:fill="F3F3F3"/>
        <w:ind w:left="200" w:right="200"/>
      </w:pPr>
      <w:r>
        <w:rPr>
          <w:rFonts w:ascii="Consolas" w:eastAsia="Consolas" w:hAnsi="Consolas" w:cs="Consolas"/>
          <w:sz w:val="16"/>
          <w:szCs w:val="16"/>
        </w:rPr>
        <w:t xml:space="preserve">    bucket_key_enabled = true # reduces KMS request costs</w:t>
      </w:r>
    </w:p>
    <w:p w14:paraId="1B9FA90B"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5724D9F8" w14:textId="77777777" w:rsidR="00B516B2" w:rsidRDefault="00B516B2" w:rsidP="00B516B2">
      <w:pPr>
        <w:shd w:val="clear" w:color="auto" w:fill="F3F3F3"/>
        <w:ind w:left="200" w:right="200"/>
      </w:pPr>
      <w:r>
        <w:rPr>
          <w:rFonts w:ascii="Consolas" w:eastAsia="Consolas" w:hAnsi="Consolas" w:cs="Consolas"/>
          <w:sz w:val="16"/>
          <w:szCs w:val="16"/>
        </w:rPr>
        <w:t>}</w:t>
      </w:r>
    </w:p>
    <w:p w14:paraId="3BCAEA2B"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72863CC0" w14:textId="77777777" w:rsidR="00B516B2" w:rsidRDefault="00B516B2" w:rsidP="00B516B2">
      <w:pPr>
        <w:shd w:val="clear" w:color="auto" w:fill="F3F3F3"/>
        <w:ind w:left="200" w:right="200"/>
      </w:pPr>
      <w:r>
        <w:rPr>
          <w:rFonts w:ascii="Consolas" w:eastAsia="Consolas" w:hAnsi="Consolas" w:cs="Consolas"/>
          <w:sz w:val="16"/>
          <w:szCs w:val="16"/>
        </w:rPr>
        <w:t>resource "aws_s3_bucket_object_lock_configuration" "this" {</w:t>
      </w:r>
    </w:p>
    <w:p w14:paraId="22D57661" w14:textId="77777777" w:rsidR="00B516B2" w:rsidRDefault="00B516B2" w:rsidP="00B516B2">
      <w:pPr>
        <w:shd w:val="clear" w:color="auto" w:fill="F3F3F3"/>
        <w:ind w:left="200" w:right="200"/>
      </w:pPr>
      <w:r>
        <w:rPr>
          <w:rFonts w:ascii="Consolas" w:eastAsia="Consolas" w:hAnsi="Consolas" w:cs="Consolas"/>
          <w:sz w:val="16"/>
          <w:szCs w:val="16"/>
        </w:rPr>
        <w:t xml:space="preserve">  bucket = aws_s3_bucket.this.id</w:t>
      </w:r>
    </w:p>
    <w:p w14:paraId="722B3EFA" w14:textId="77777777" w:rsidR="00B516B2" w:rsidRDefault="00B516B2" w:rsidP="00B516B2">
      <w:pPr>
        <w:shd w:val="clear" w:color="auto" w:fill="F3F3F3"/>
        <w:ind w:left="200" w:right="200"/>
      </w:pPr>
      <w:r>
        <w:rPr>
          <w:rFonts w:ascii="Consolas" w:eastAsia="Consolas" w:hAnsi="Consolas" w:cs="Consolas"/>
          <w:sz w:val="16"/>
          <w:szCs w:val="16"/>
        </w:rPr>
        <w:t xml:space="preserve">  rule {</w:t>
      </w:r>
    </w:p>
    <w:p w14:paraId="001BF190" w14:textId="77777777" w:rsidR="00B516B2" w:rsidRDefault="00B516B2" w:rsidP="00B516B2">
      <w:pPr>
        <w:shd w:val="clear" w:color="auto" w:fill="F3F3F3"/>
        <w:ind w:left="200" w:right="200"/>
      </w:pPr>
      <w:r>
        <w:rPr>
          <w:rFonts w:ascii="Consolas" w:eastAsia="Consolas" w:hAnsi="Consolas" w:cs="Consolas"/>
          <w:sz w:val="16"/>
          <w:szCs w:val="16"/>
        </w:rPr>
        <w:t xml:space="preserve">    default_retention {</w:t>
      </w:r>
    </w:p>
    <w:p w14:paraId="4B0ED4A3" w14:textId="77777777" w:rsidR="00B516B2" w:rsidRDefault="00B516B2" w:rsidP="00B516B2">
      <w:pPr>
        <w:shd w:val="clear" w:color="auto" w:fill="F3F3F3"/>
        <w:ind w:left="200" w:right="200"/>
      </w:pPr>
      <w:r>
        <w:rPr>
          <w:rFonts w:ascii="Consolas" w:eastAsia="Consolas" w:hAnsi="Consolas" w:cs="Consolas"/>
          <w:sz w:val="16"/>
          <w:szCs w:val="16"/>
        </w:rPr>
        <w:t xml:space="preserve">      mode = "COMPLIANCE"</w:t>
      </w:r>
    </w:p>
    <w:p w14:paraId="13005B51" w14:textId="77777777" w:rsidR="00B516B2" w:rsidRDefault="00B516B2" w:rsidP="00B516B2">
      <w:pPr>
        <w:shd w:val="clear" w:color="auto" w:fill="F3F3F3"/>
        <w:ind w:left="200" w:right="200"/>
      </w:pPr>
      <w:r>
        <w:rPr>
          <w:rFonts w:ascii="Consolas" w:eastAsia="Consolas" w:hAnsi="Consolas" w:cs="Consolas"/>
          <w:sz w:val="16"/>
          <w:szCs w:val="16"/>
        </w:rPr>
        <w:t xml:space="preserve">      days = var.retention_days</w:t>
      </w:r>
    </w:p>
    <w:p w14:paraId="0FBBFC15"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39C27A4F"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70416EF7" w14:textId="2D3C9AAC" w:rsidR="00E5016B" w:rsidRPr="00E5016B" w:rsidRDefault="00B516B2" w:rsidP="00E5016B">
      <w:pPr>
        <w:shd w:val="clear" w:color="auto" w:fill="F3F3F3"/>
        <w:ind w:left="200" w:right="200"/>
        <w:rPr>
          <w:rFonts w:ascii="Consolas" w:eastAsia="Consolas" w:hAnsi="Consolas" w:cs="Consolas"/>
          <w:sz w:val="16"/>
          <w:szCs w:val="16"/>
        </w:rPr>
      </w:pPr>
      <w:r>
        <w:rPr>
          <w:rFonts w:ascii="Consolas" w:eastAsia="Consolas" w:hAnsi="Consolas" w:cs="Consolas"/>
          <w:sz w:val="16"/>
          <w:szCs w:val="16"/>
        </w:rPr>
        <w:t xml:space="preserve">  depends_on = [aws_s3_bucket_versioning.this]</w:t>
      </w:r>
    </w:p>
    <w:p w14:paraId="46E8843A" w14:textId="7FBFA184" w:rsidR="00E5016B" w:rsidRPr="00E5016B" w:rsidRDefault="00E5016B" w:rsidP="00E5016B">
      <w:pPr>
        <w:rPr>
          <w:i/>
          <w:iCs/>
        </w:rPr>
      </w:pPr>
      <w:r w:rsidRPr="00E5016B">
        <w:rPr>
          <w:i/>
          <w:iCs/>
        </w:rPr>
        <w:t>Listing A.1: infrastructure/modules/imaging-archive/main.tf</w:t>
      </w:r>
    </w:p>
    <w:p w14:paraId="33CF4BE4" w14:textId="1FA2E2EE" w:rsidR="00B516B2" w:rsidRDefault="00B516B2" w:rsidP="00B516B2">
      <w:pPr>
        <w:pStyle w:val="Heading2"/>
        <w:spacing w:before="240" w:after="120"/>
      </w:pPr>
      <w:r>
        <w:rPr>
          <w:rFonts w:ascii="Aptos Display" w:eastAsia="Aptos Display" w:hAnsi="Aptos Display" w:cs="Aptos Display"/>
          <w:color w:val="0F4761"/>
        </w:rPr>
        <w:t>A.2 Validation plan and results</w:t>
      </w:r>
    </w:p>
    <w:tbl>
      <w:tblPr>
        <w:tblStyle w:val="GridTable4-Accent1"/>
        <w:tblW w:w="9000" w:type="dxa"/>
        <w:tblLook w:val="04A0" w:firstRow="1" w:lastRow="0" w:firstColumn="1" w:lastColumn="0" w:noHBand="0" w:noVBand="1"/>
      </w:tblPr>
      <w:tblGrid>
        <w:gridCol w:w="1900"/>
        <w:gridCol w:w="1100"/>
        <w:gridCol w:w="3400"/>
        <w:gridCol w:w="2600"/>
      </w:tblGrid>
      <w:tr w:rsidR="00B516B2" w14:paraId="7EA89322" w14:textId="77777777" w:rsidTr="00B516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329F429F" w14:textId="77777777" w:rsidR="00B516B2" w:rsidRDefault="00B516B2" w:rsidP="00056115">
            <w:r>
              <w:rPr>
                <w:rFonts w:eastAsia="Arial" w:cs="Arial"/>
                <w:color w:val="FFFFFF"/>
                <w:sz w:val="19"/>
                <w:szCs w:val="19"/>
              </w:rPr>
              <w:t>Test</w:t>
            </w:r>
          </w:p>
        </w:tc>
        <w:tc>
          <w:tcPr>
            <w:tcW w:w="1100" w:type="dxa"/>
          </w:tcPr>
          <w:p w14:paraId="22CB8A9B" w14:textId="77777777" w:rsidR="00B516B2" w:rsidRDefault="00B516B2" w:rsidP="00056115">
            <w:pPr>
              <w:cnfStyle w:val="100000000000" w:firstRow="1" w:lastRow="0" w:firstColumn="0" w:lastColumn="0" w:oddVBand="0" w:evenVBand="0" w:oddHBand="0" w:evenHBand="0" w:firstRowFirstColumn="0" w:firstRowLastColumn="0" w:lastRowFirstColumn="0" w:lastRowLastColumn="0"/>
            </w:pPr>
            <w:r>
              <w:rPr>
                <w:rFonts w:eastAsia="Arial" w:cs="Arial"/>
                <w:color w:val="FFFFFF"/>
                <w:sz w:val="19"/>
                <w:szCs w:val="19"/>
              </w:rPr>
              <w:t>Type</w:t>
            </w:r>
          </w:p>
        </w:tc>
        <w:tc>
          <w:tcPr>
            <w:tcW w:w="3400" w:type="dxa"/>
          </w:tcPr>
          <w:p w14:paraId="759122AA" w14:textId="77777777" w:rsidR="00B516B2" w:rsidRDefault="00B516B2" w:rsidP="00056115">
            <w:pPr>
              <w:cnfStyle w:val="100000000000" w:firstRow="1" w:lastRow="0" w:firstColumn="0" w:lastColumn="0" w:oddVBand="0" w:evenVBand="0" w:oddHBand="0" w:evenHBand="0" w:firstRowFirstColumn="0" w:firstRowLastColumn="0" w:lastRowFirstColumn="0" w:lastRowLastColumn="0"/>
            </w:pPr>
            <w:r>
              <w:rPr>
                <w:rFonts w:eastAsia="Arial" w:cs="Arial"/>
                <w:color w:val="FFFFFF"/>
                <w:sz w:val="19"/>
                <w:szCs w:val="19"/>
              </w:rPr>
              <w:t>What was checked</w:t>
            </w:r>
          </w:p>
        </w:tc>
        <w:tc>
          <w:tcPr>
            <w:tcW w:w="2600" w:type="dxa"/>
          </w:tcPr>
          <w:p w14:paraId="5BEBC31A" w14:textId="77777777" w:rsidR="00B516B2" w:rsidRDefault="00B516B2" w:rsidP="00056115">
            <w:pPr>
              <w:cnfStyle w:val="100000000000" w:firstRow="1" w:lastRow="0" w:firstColumn="0" w:lastColumn="0" w:oddVBand="0" w:evenVBand="0" w:oddHBand="0" w:evenHBand="0" w:firstRowFirstColumn="0" w:firstRowLastColumn="0" w:lastRowFirstColumn="0" w:lastRowLastColumn="0"/>
            </w:pPr>
            <w:r>
              <w:rPr>
                <w:rFonts w:eastAsia="Arial" w:cs="Arial"/>
                <w:color w:val="FFFFFF"/>
                <w:sz w:val="19"/>
                <w:szCs w:val="19"/>
              </w:rPr>
              <w:t>Result</w:t>
            </w:r>
          </w:p>
        </w:tc>
      </w:tr>
      <w:tr w:rsidR="00B516B2" w14:paraId="3BA3B884" w14:textId="77777777" w:rsidTr="00B51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42185A0" w14:textId="77777777" w:rsidR="00B516B2" w:rsidRDefault="00B516B2" w:rsidP="00056115">
            <w:r>
              <w:rPr>
                <w:rFonts w:eastAsia="Arial" w:cs="Arial"/>
                <w:b w:val="0"/>
                <w:bCs w:val="0"/>
                <w:color w:val="000000"/>
                <w:sz w:val="19"/>
                <w:szCs w:val="19"/>
              </w:rPr>
              <w:t>T1 Format, validate, lint</w:t>
            </w:r>
          </w:p>
        </w:tc>
        <w:tc>
          <w:tcPr>
            <w:tcW w:w="1100" w:type="dxa"/>
          </w:tcPr>
          <w:p w14:paraId="351011C9"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Positive</w:t>
            </w:r>
          </w:p>
        </w:tc>
        <w:tc>
          <w:tcPr>
            <w:tcW w:w="3400" w:type="dxa"/>
          </w:tcPr>
          <w:p w14:paraId="44870A83"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terraform fmt, validate and TFLint on all 8 modules and stacks</w:t>
            </w:r>
          </w:p>
        </w:tc>
        <w:tc>
          <w:tcPr>
            <w:tcW w:w="2600" w:type="dxa"/>
          </w:tcPr>
          <w:p w14:paraId="0BAB09CD"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Pass: 0 issues</w:t>
            </w:r>
          </w:p>
        </w:tc>
      </w:tr>
      <w:tr w:rsidR="00B516B2" w14:paraId="525B9F85" w14:textId="77777777" w:rsidTr="00B516B2">
        <w:tc>
          <w:tcPr>
            <w:cnfStyle w:val="001000000000" w:firstRow="0" w:lastRow="0" w:firstColumn="1" w:lastColumn="0" w:oddVBand="0" w:evenVBand="0" w:oddHBand="0" w:evenHBand="0" w:firstRowFirstColumn="0" w:firstRowLastColumn="0" w:lastRowFirstColumn="0" w:lastRowLastColumn="0"/>
            <w:tcW w:w="1900" w:type="dxa"/>
          </w:tcPr>
          <w:p w14:paraId="12EA7EE4" w14:textId="77777777" w:rsidR="00B516B2" w:rsidRDefault="00B516B2" w:rsidP="00056115">
            <w:r>
              <w:rPr>
                <w:rFonts w:eastAsia="Arial" w:cs="Arial"/>
                <w:b w:val="0"/>
                <w:bCs w:val="0"/>
                <w:color w:val="000000"/>
                <w:sz w:val="19"/>
                <w:szCs w:val="19"/>
              </w:rPr>
              <w:t>T2 Production plan</w:t>
            </w:r>
          </w:p>
        </w:tc>
        <w:tc>
          <w:tcPr>
            <w:tcW w:w="1100" w:type="dxa"/>
          </w:tcPr>
          <w:p w14:paraId="4912A9A0"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Positive</w:t>
            </w:r>
          </w:p>
        </w:tc>
        <w:tc>
          <w:tcPr>
            <w:tcW w:w="3400" w:type="dxa"/>
          </w:tcPr>
          <w:p w14:paraId="6C022CD3"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Full plan of the production stack</w:t>
            </w:r>
          </w:p>
        </w:tc>
        <w:tc>
          <w:tcPr>
            <w:tcW w:w="2600" w:type="dxa"/>
          </w:tcPr>
          <w:p w14:paraId="2A7E825B"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Pass: 98 to add, 0 to change, 0 to destroy</w:t>
            </w:r>
          </w:p>
        </w:tc>
      </w:tr>
      <w:tr w:rsidR="00B516B2" w14:paraId="7047A51F" w14:textId="77777777" w:rsidTr="00B51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0038F94" w14:textId="77777777" w:rsidR="00B516B2" w:rsidRDefault="00B516B2" w:rsidP="00056115">
            <w:r>
              <w:rPr>
                <w:rFonts w:eastAsia="Arial" w:cs="Arial"/>
                <w:b w:val="0"/>
                <w:bCs w:val="0"/>
                <w:color w:val="000000"/>
                <w:sz w:val="19"/>
                <w:szCs w:val="19"/>
              </w:rPr>
              <w:t>T3 Public access removed</w:t>
            </w:r>
          </w:p>
        </w:tc>
        <w:tc>
          <w:tcPr>
            <w:tcW w:w="1100" w:type="dxa"/>
          </w:tcPr>
          <w:p w14:paraId="43A7E793"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Negative</w:t>
            </w:r>
          </w:p>
        </w:tc>
        <w:tc>
          <w:tcPr>
            <w:tcW w:w="3400" w:type="dxa"/>
          </w:tcPr>
          <w:p w14:paraId="1B6BBED5"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Checkov must fail the build when the S3 public-access block is deleted</w:t>
            </w:r>
          </w:p>
        </w:tc>
        <w:tc>
          <w:tcPr>
            <w:tcW w:w="2600" w:type="dxa"/>
          </w:tcPr>
          <w:p w14:paraId="0F84AF59"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Pass: build failed as intended</w:t>
            </w:r>
          </w:p>
        </w:tc>
      </w:tr>
      <w:tr w:rsidR="00B516B2" w14:paraId="72257775" w14:textId="77777777" w:rsidTr="00B516B2">
        <w:tc>
          <w:tcPr>
            <w:cnfStyle w:val="001000000000" w:firstRow="0" w:lastRow="0" w:firstColumn="1" w:lastColumn="0" w:oddVBand="0" w:evenVBand="0" w:oddHBand="0" w:evenHBand="0" w:firstRowFirstColumn="0" w:firstRowLastColumn="0" w:lastRowFirstColumn="0" w:lastRowLastColumn="0"/>
            <w:tcW w:w="1900" w:type="dxa"/>
          </w:tcPr>
          <w:p w14:paraId="07969485" w14:textId="77777777" w:rsidR="00B516B2" w:rsidRDefault="00B516B2" w:rsidP="00056115">
            <w:r>
              <w:rPr>
                <w:rFonts w:eastAsia="Arial" w:cs="Arial"/>
                <w:b w:val="0"/>
                <w:bCs w:val="0"/>
                <w:color w:val="000000"/>
                <w:sz w:val="19"/>
                <w:szCs w:val="19"/>
              </w:rPr>
              <w:t>T4 Policy check on plan</w:t>
            </w:r>
          </w:p>
        </w:tc>
        <w:tc>
          <w:tcPr>
            <w:tcW w:w="1100" w:type="dxa"/>
          </w:tcPr>
          <w:p w14:paraId="36CC6857"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Positive</w:t>
            </w:r>
          </w:p>
        </w:tc>
        <w:tc>
          <w:tcPr>
            <w:tcW w:w="3400" w:type="dxa"/>
          </w:tcPr>
          <w:p w14:paraId="5ACBAA05"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OPA rules evaluated against the plan JSON</w:t>
            </w:r>
          </w:p>
        </w:tc>
        <w:tc>
          <w:tcPr>
            <w:tcW w:w="2600" w:type="dxa"/>
          </w:tcPr>
          <w:p w14:paraId="5246688B"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Pass: 5 rules, 0 failures</w:t>
            </w:r>
          </w:p>
        </w:tc>
      </w:tr>
      <w:tr w:rsidR="00B516B2" w14:paraId="12AFE66D" w14:textId="77777777" w:rsidTr="00B51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2264B0FA" w14:textId="77777777" w:rsidR="00B516B2" w:rsidRDefault="00B516B2" w:rsidP="00056115">
            <w:r>
              <w:rPr>
                <w:rFonts w:eastAsia="Arial" w:cs="Arial"/>
                <w:b w:val="0"/>
                <w:bCs w:val="0"/>
                <w:color w:val="000000"/>
                <w:sz w:val="19"/>
                <w:szCs w:val="19"/>
              </w:rPr>
              <w:t>T5 Object Lock</w:t>
            </w:r>
          </w:p>
        </w:tc>
        <w:tc>
          <w:tcPr>
            <w:tcW w:w="1100" w:type="dxa"/>
          </w:tcPr>
          <w:p w14:paraId="0BE628D6"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Exception</w:t>
            </w:r>
          </w:p>
        </w:tc>
        <w:tc>
          <w:tcPr>
            <w:tcW w:w="3400" w:type="dxa"/>
          </w:tcPr>
          <w:p w14:paraId="17B94E32"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Attempt to delete a locked image version</w:t>
            </w:r>
          </w:p>
        </w:tc>
        <w:tc>
          <w:tcPr>
            <w:tcW w:w="2600" w:type="dxa"/>
          </w:tcPr>
          <w:p w14:paraId="3AF98D56"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Pass: deletion denied</w:t>
            </w:r>
          </w:p>
        </w:tc>
      </w:tr>
      <w:tr w:rsidR="00B516B2" w14:paraId="607B5F36" w14:textId="77777777" w:rsidTr="00B516B2">
        <w:tc>
          <w:tcPr>
            <w:cnfStyle w:val="001000000000" w:firstRow="0" w:lastRow="0" w:firstColumn="1" w:lastColumn="0" w:oddVBand="0" w:evenVBand="0" w:oddHBand="0" w:evenHBand="0" w:firstRowFirstColumn="0" w:firstRowLastColumn="0" w:lastRowFirstColumn="0" w:lastRowLastColumn="0"/>
            <w:tcW w:w="1900" w:type="dxa"/>
          </w:tcPr>
          <w:p w14:paraId="01279056" w14:textId="77777777" w:rsidR="00B516B2" w:rsidRDefault="00B516B2" w:rsidP="00056115">
            <w:r>
              <w:rPr>
                <w:rFonts w:eastAsia="Arial" w:cs="Arial"/>
                <w:b w:val="0"/>
                <w:bCs w:val="0"/>
                <w:color w:val="000000"/>
                <w:sz w:val="19"/>
                <w:szCs w:val="19"/>
              </w:rPr>
              <w:lastRenderedPageBreak/>
              <w:t>T6 State locking</w:t>
            </w:r>
          </w:p>
        </w:tc>
        <w:tc>
          <w:tcPr>
            <w:tcW w:w="1100" w:type="dxa"/>
          </w:tcPr>
          <w:p w14:paraId="65D8D136"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Exception</w:t>
            </w:r>
          </w:p>
        </w:tc>
        <w:tc>
          <w:tcPr>
            <w:tcW w:w="3400" w:type="dxa"/>
          </w:tcPr>
          <w:p w14:paraId="49DEF7A2"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Second pipeline run while state is locked</w:t>
            </w:r>
          </w:p>
        </w:tc>
        <w:tc>
          <w:tcPr>
            <w:tcW w:w="2600" w:type="dxa"/>
          </w:tcPr>
          <w:p w14:paraId="09CEE031"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Pass: lock refused</w:t>
            </w:r>
          </w:p>
        </w:tc>
      </w:tr>
      <w:tr w:rsidR="00B516B2" w14:paraId="3B5855CC" w14:textId="77777777" w:rsidTr="00B51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78008948" w14:textId="77777777" w:rsidR="00B516B2" w:rsidRDefault="00B516B2" w:rsidP="00056115">
            <w:r>
              <w:rPr>
                <w:rFonts w:eastAsia="Arial" w:cs="Arial"/>
                <w:b w:val="0"/>
                <w:bCs w:val="0"/>
                <w:color w:val="000000"/>
                <w:sz w:val="19"/>
                <w:szCs w:val="19"/>
              </w:rPr>
              <w:t>T7 Drift detection</w:t>
            </w:r>
          </w:p>
        </w:tc>
        <w:tc>
          <w:tcPr>
            <w:tcW w:w="1100" w:type="dxa"/>
          </w:tcPr>
          <w:p w14:paraId="479F9A39"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Negative</w:t>
            </w:r>
          </w:p>
        </w:tc>
        <w:tc>
          <w:tcPr>
            <w:tcW w:w="3400" w:type="dxa"/>
          </w:tcPr>
          <w:p w14:paraId="50EC5B57"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Change made outside code must be detected</w:t>
            </w:r>
          </w:p>
        </w:tc>
        <w:tc>
          <w:tcPr>
            <w:tcW w:w="2600" w:type="dxa"/>
          </w:tcPr>
          <w:p w14:paraId="16790242"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Pass: drift reported</w:t>
            </w:r>
          </w:p>
        </w:tc>
      </w:tr>
      <w:tr w:rsidR="00B516B2" w14:paraId="61F3B5F8" w14:textId="77777777" w:rsidTr="00B516B2">
        <w:tc>
          <w:tcPr>
            <w:cnfStyle w:val="001000000000" w:firstRow="0" w:lastRow="0" w:firstColumn="1" w:lastColumn="0" w:oddVBand="0" w:evenVBand="0" w:oddHBand="0" w:evenHBand="0" w:firstRowFirstColumn="0" w:firstRowLastColumn="0" w:lastRowFirstColumn="0" w:lastRowLastColumn="0"/>
            <w:tcW w:w="1900" w:type="dxa"/>
          </w:tcPr>
          <w:p w14:paraId="46E05950" w14:textId="77777777" w:rsidR="00B516B2" w:rsidRDefault="00B516B2" w:rsidP="00056115">
            <w:r>
              <w:rPr>
                <w:rFonts w:eastAsia="Arial" w:cs="Arial"/>
                <w:b w:val="0"/>
                <w:bCs w:val="0"/>
                <w:color w:val="000000"/>
                <w:sz w:val="19"/>
                <w:szCs w:val="19"/>
              </w:rPr>
              <w:t>T8 OpenTofu portability</w:t>
            </w:r>
          </w:p>
        </w:tc>
        <w:tc>
          <w:tcPr>
            <w:tcW w:w="1100" w:type="dxa"/>
          </w:tcPr>
          <w:p w14:paraId="27CF229D"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Positive</w:t>
            </w:r>
          </w:p>
        </w:tc>
        <w:tc>
          <w:tcPr>
            <w:tcW w:w="3400" w:type="dxa"/>
          </w:tcPr>
          <w:p w14:paraId="506F9EA0"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Whole suite re-run on OpenTofu with no code changes</w:t>
            </w:r>
          </w:p>
        </w:tc>
        <w:tc>
          <w:tcPr>
            <w:tcW w:w="2600" w:type="dxa"/>
          </w:tcPr>
          <w:p w14:paraId="652545CD"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Pass</w:t>
            </w:r>
          </w:p>
        </w:tc>
      </w:tr>
      <w:tr w:rsidR="00B516B2" w14:paraId="33AFF9C6" w14:textId="77777777" w:rsidTr="00B51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5D98C588" w14:textId="77777777" w:rsidR="00B516B2" w:rsidRDefault="00B516B2" w:rsidP="00056115">
            <w:r>
              <w:rPr>
                <w:rFonts w:eastAsia="Arial" w:cs="Arial"/>
                <w:b w:val="0"/>
                <w:bCs w:val="0"/>
                <w:color w:val="000000"/>
                <w:sz w:val="19"/>
                <w:szCs w:val="19"/>
              </w:rPr>
              <w:t>T9 Module unit tests</w:t>
            </w:r>
          </w:p>
        </w:tc>
        <w:tc>
          <w:tcPr>
            <w:tcW w:w="1100" w:type="dxa"/>
          </w:tcPr>
          <w:p w14:paraId="48DED576"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Positive</w:t>
            </w:r>
          </w:p>
        </w:tc>
        <w:tc>
          <w:tcPr>
            <w:tcW w:w="3400" w:type="dxa"/>
          </w:tcPr>
          <w:p w14:paraId="27AFEEA7"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Mock-provider tests of the imaging-archive module</w:t>
            </w:r>
          </w:p>
        </w:tc>
        <w:tc>
          <w:tcPr>
            <w:tcW w:w="2600" w:type="dxa"/>
          </w:tcPr>
          <w:p w14:paraId="23634DE4"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Pass: 4 of 4</w:t>
            </w:r>
          </w:p>
        </w:tc>
      </w:tr>
      <w:tr w:rsidR="00B516B2" w14:paraId="17C1055E" w14:textId="77777777" w:rsidTr="00B516B2">
        <w:tc>
          <w:tcPr>
            <w:cnfStyle w:val="001000000000" w:firstRow="0" w:lastRow="0" w:firstColumn="1" w:lastColumn="0" w:oddVBand="0" w:evenVBand="0" w:oddHBand="0" w:evenHBand="0" w:firstRowFirstColumn="0" w:firstRowLastColumn="0" w:lastRowFirstColumn="0" w:lastRowLastColumn="0"/>
            <w:tcW w:w="1900" w:type="dxa"/>
          </w:tcPr>
          <w:p w14:paraId="010DE186" w14:textId="77777777" w:rsidR="00B516B2" w:rsidRDefault="00B516B2" w:rsidP="00056115">
            <w:r>
              <w:rPr>
                <w:rFonts w:eastAsia="Arial" w:cs="Arial"/>
                <w:b w:val="0"/>
                <w:bCs w:val="0"/>
                <w:color w:val="000000"/>
                <w:sz w:val="19"/>
                <w:szCs w:val="19"/>
              </w:rPr>
              <w:t>T10 Full security scan</w:t>
            </w:r>
          </w:p>
        </w:tc>
        <w:tc>
          <w:tcPr>
            <w:tcW w:w="1100" w:type="dxa"/>
          </w:tcPr>
          <w:p w14:paraId="0C9174D3"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Stress</w:t>
            </w:r>
          </w:p>
        </w:tc>
        <w:tc>
          <w:tcPr>
            <w:tcW w:w="3400" w:type="dxa"/>
          </w:tcPr>
          <w:p w14:paraId="433B7D66"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Checkov across every resource, 220 checks</w:t>
            </w:r>
          </w:p>
        </w:tc>
        <w:tc>
          <w:tcPr>
            <w:tcW w:w="2600" w:type="dxa"/>
          </w:tcPr>
          <w:p w14:paraId="5C46809E" w14:textId="77777777" w:rsidR="00B516B2" w:rsidRDefault="00B516B2" w:rsidP="00056115">
            <w:pPr>
              <w:cnfStyle w:val="000000000000" w:firstRow="0" w:lastRow="0" w:firstColumn="0" w:lastColumn="0" w:oddVBand="0" w:evenVBand="0" w:oddHBand="0" w:evenHBand="0" w:firstRowFirstColumn="0" w:firstRowLastColumn="0" w:lastRowFirstColumn="0" w:lastRowLastColumn="0"/>
            </w:pPr>
            <w:r>
              <w:rPr>
                <w:rFonts w:eastAsia="Arial" w:cs="Arial"/>
                <w:color w:val="000000"/>
                <w:sz w:val="19"/>
                <w:szCs w:val="19"/>
              </w:rPr>
              <w:t>Pass: 220 passed, 0 failed, 14 justified skips</w:t>
            </w:r>
          </w:p>
        </w:tc>
      </w:tr>
      <w:tr w:rsidR="00B516B2" w14:paraId="72D9EBD0" w14:textId="77777777" w:rsidTr="00B516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0" w:type="dxa"/>
          </w:tcPr>
          <w:p w14:paraId="62F7A410" w14:textId="77777777" w:rsidR="00B516B2" w:rsidRDefault="00B516B2" w:rsidP="00056115">
            <w:r>
              <w:rPr>
                <w:rFonts w:eastAsia="Arial" w:cs="Arial"/>
                <w:b w:val="0"/>
                <w:bCs w:val="0"/>
                <w:color w:val="000000"/>
                <w:sz w:val="19"/>
                <w:szCs w:val="19"/>
              </w:rPr>
              <w:t>T11 Policy unit tests</w:t>
            </w:r>
          </w:p>
        </w:tc>
        <w:tc>
          <w:tcPr>
            <w:tcW w:w="1100" w:type="dxa"/>
          </w:tcPr>
          <w:p w14:paraId="515DED80"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Positive</w:t>
            </w:r>
          </w:p>
        </w:tc>
        <w:tc>
          <w:tcPr>
            <w:tcW w:w="3400" w:type="dxa"/>
          </w:tcPr>
          <w:p w14:paraId="1B6D32BA"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conftest verify of the Rego rules</w:t>
            </w:r>
          </w:p>
        </w:tc>
        <w:tc>
          <w:tcPr>
            <w:tcW w:w="2600" w:type="dxa"/>
          </w:tcPr>
          <w:p w14:paraId="473FBA46" w14:textId="77777777" w:rsidR="00B516B2" w:rsidRDefault="00B516B2" w:rsidP="00056115">
            <w:pPr>
              <w:cnfStyle w:val="000000100000" w:firstRow="0" w:lastRow="0" w:firstColumn="0" w:lastColumn="0" w:oddVBand="0" w:evenVBand="0" w:oddHBand="1" w:evenHBand="0" w:firstRowFirstColumn="0" w:firstRowLastColumn="0" w:lastRowFirstColumn="0" w:lastRowLastColumn="0"/>
            </w:pPr>
            <w:r>
              <w:rPr>
                <w:rFonts w:eastAsia="Arial" w:cs="Arial"/>
                <w:color w:val="000000"/>
                <w:sz w:val="19"/>
                <w:szCs w:val="19"/>
              </w:rPr>
              <w:t>Pass: 7 of 7</w:t>
            </w:r>
          </w:p>
        </w:tc>
      </w:tr>
    </w:tbl>
    <w:p w14:paraId="495E5003" w14:textId="77777777" w:rsidR="00E5016B" w:rsidRPr="00E5016B" w:rsidRDefault="00E5016B" w:rsidP="00E5016B">
      <w:pPr>
        <w:rPr>
          <w:rFonts w:ascii="Times New Roman" w:hAnsi="Times New Roman"/>
          <w:i/>
          <w:iCs/>
          <w:sz w:val="24"/>
        </w:rPr>
      </w:pPr>
      <w:r w:rsidRPr="00E5016B">
        <w:rPr>
          <w:i/>
          <w:iCs/>
        </w:rPr>
        <w:t>Table A.1: Validation plan: test type, what was checked and the observed result.</w:t>
      </w:r>
    </w:p>
    <w:p w14:paraId="46C20433" w14:textId="77777777" w:rsidR="00B516B2" w:rsidRDefault="00B516B2" w:rsidP="00B516B2"/>
    <w:p w14:paraId="0B7563C7" w14:textId="77777777" w:rsidR="00B516B2" w:rsidRDefault="00B516B2" w:rsidP="00B516B2">
      <w:pPr>
        <w:pStyle w:val="Heading2"/>
        <w:spacing w:before="240" w:after="120"/>
      </w:pPr>
      <w:r>
        <w:rPr>
          <w:rFonts w:ascii="Aptos Display" w:eastAsia="Aptos Display" w:hAnsi="Aptos Display" w:cs="Aptos Display"/>
          <w:color w:val="0F4761"/>
        </w:rPr>
        <w:t>A.3 Policy as code: rules that fail the pipeline</w:t>
      </w:r>
    </w:p>
    <w:p w14:paraId="318175BA" w14:textId="77777777" w:rsidR="00B516B2" w:rsidRDefault="00B516B2" w:rsidP="00B516B2">
      <w:pPr>
        <w:spacing w:line="276" w:lineRule="auto"/>
      </w:pPr>
      <w:r>
        <w:rPr>
          <w:rFonts w:eastAsia="Arial" w:cs="Arial"/>
          <w:sz w:val="20"/>
          <w:szCs w:val="20"/>
        </w:rPr>
        <w:t>The pipeline converts the Terraform plan to JSON and evaluates it with these Open Policy Agent rules. A single deny message fails the build.</w:t>
      </w:r>
    </w:p>
    <w:p w14:paraId="4E8E2F65"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3FBD12D4" w14:textId="77777777" w:rsidR="00B516B2" w:rsidRDefault="00B516B2" w:rsidP="00B516B2">
      <w:pPr>
        <w:shd w:val="clear" w:color="auto" w:fill="F3F3F3"/>
        <w:ind w:left="200" w:right="200"/>
      </w:pPr>
      <w:r>
        <w:rPr>
          <w:rFonts w:ascii="Consolas" w:eastAsia="Consolas" w:hAnsi="Consolas" w:cs="Consolas"/>
          <w:sz w:val="16"/>
          <w:szCs w:val="16"/>
        </w:rPr>
        <w:t>import rego.v1</w:t>
      </w:r>
    </w:p>
    <w:p w14:paraId="53882063"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284F59D9" w14:textId="77777777" w:rsidR="00B516B2" w:rsidRDefault="00B516B2" w:rsidP="00B516B2">
      <w:pPr>
        <w:shd w:val="clear" w:color="auto" w:fill="F3F3F3"/>
        <w:ind w:left="200" w:right="200"/>
      </w:pPr>
      <w:r>
        <w:rPr>
          <w:rFonts w:ascii="Consolas" w:eastAsia="Consolas" w:hAnsi="Consolas" w:cs="Consolas"/>
          <w:sz w:val="16"/>
          <w:szCs w:val="16"/>
        </w:rPr>
        <w:t># Resources that are created or updated (deletes have no "after" state).</w:t>
      </w:r>
    </w:p>
    <w:p w14:paraId="0736922F" w14:textId="77777777" w:rsidR="00B516B2" w:rsidRDefault="00B516B2" w:rsidP="00B516B2">
      <w:pPr>
        <w:shd w:val="clear" w:color="auto" w:fill="F3F3F3"/>
        <w:ind w:left="200" w:right="200"/>
      </w:pPr>
      <w:r>
        <w:rPr>
          <w:rFonts w:ascii="Consolas" w:eastAsia="Consolas" w:hAnsi="Consolas" w:cs="Consolas"/>
          <w:sz w:val="16"/>
          <w:szCs w:val="16"/>
        </w:rPr>
        <w:t>changed contains rc if {</w:t>
      </w:r>
    </w:p>
    <w:p w14:paraId="5392B8F7" w14:textId="77777777" w:rsidR="00B516B2" w:rsidRDefault="00B516B2" w:rsidP="00B516B2">
      <w:pPr>
        <w:shd w:val="clear" w:color="auto" w:fill="F3F3F3"/>
        <w:ind w:left="200" w:right="200"/>
      </w:pPr>
      <w:r>
        <w:rPr>
          <w:rFonts w:ascii="Consolas" w:eastAsia="Consolas" w:hAnsi="Consolas" w:cs="Consolas"/>
          <w:sz w:val="16"/>
          <w:szCs w:val="16"/>
        </w:rPr>
        <w:tab/>
        <w:t>some rc in input.resource_changes</w:t>
      </w:r>
    </w:p>
    <w:p w14:paraId="3ECEB5CB" w14:textId="77777777" w:rsidR="00B516B2" w:rsidRDefault="00B516B2" w:rsidP="00B516B2">
      <w:pPr>
        <w:shd w:val="clear" w:color="auto" w:fill="F3F3F3"/>
        <w:ind w:left="200" w:right="200"/>
      </w:pPr>
      <w:r>
        <w:rPr>
          <w:rFonts w:ascii="Consolas" w:eastAsia="Consolas" w:hAnsi="Consolas" w:cs="Consolas"/>
          <w:sz w:val="16"/>
          <w:szCs w:val="16"/>
        </w:rPr>
        <w:tab/>
        <w:t>some action in rc.change.actions</w:t>
      </w:r>
    </w:p>
    <w:p w14:paraId="1B211353" w14:textId="77777777" w:rsidR="00B516B2" w:rsidRDefault="00B516B2" w:rsidP="00B516B2">
      <w:pPr>
        <w:shd w:val="clear" w:color="auto" w:fill="F3F3F3"/>
        <w:ind w:left="200" w:right="200"/>
      </w:pPr>
      <w:r>
        <w:rPr>
          <w:rFonts w:ascii="Consolas" w:eastAsia="Consolas" w:hAnsi="Consolas" w:cs="Consolas"/>
          <w:sz w:val="16"/>
          <w:szCs w:val="16"/>
        </w:rPr>
        <w:tab/>
        <w:t>action in {"create", "update"}</w:t>
      </w:r>
    </w:p>
    <w:p w14:paraId="5EEF242D" w14:textId="77777777" w:rsidR="00B516B2" w:rsidRDefault="00B516B2" w:rsidP="00B516B2">
      <w:pPr>
        <w:shd w:val="clear" w:color="auto" w:fill="F3F3F3"/>
        <w:ind w:left="200" w:right="200"/>
      </w:pPr>
      <w:r>
        <w:rPr>
          <w:rFonts w:ascii="Consolas" w:eastAsia="Consolas" w:hAnsi="Consolas" w:cs="Consolas"/>
          <w:sz w:val="16"/>
          <w:szCs w:val="16"/>
        </w:rPr>
        <w:t>}</w:t>
      </w:r>
    </w:p>
    <w:p w14:paraId="174BC810"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5146CF00" w14:textId="77777777" w:rsidR="00B516B2" w:rsidRDefault="00B516B2" w:rsidP="00B516B2">
      <w:pPr>
        <w:shd w:val="clear" w:color="auto" w:fill="F3F3F3"/>
        <w:ind w:left="200" w:right="200"/>
      </w:pPr>
      <w:r>
        <w:rPr>
          <w:rFonts w:ascii="Consolas" w:eastAsia="Consolas" w:hAnsi="Consolas" w:cs="Consolas"/>
          <w:sz w:val="16"/>
          <w:szCs w:val="16"/>
        </w:rPr>
        <w:t># Rule 1: S3 buckets must be encrypted with KMS, not the default S3-managed key.</w:t>
      </w:r>
    </w:p>
    <w:p w14:paraId="24800DE4" w14:textId="77777777" w:rsidR="00B516B2" w:rsidRDefault="00B516B2" w:rsidP="00B516B2">
      <w:pPr>
        <w:shd w:val="clear" w:color="auto" w:fill="F3F3F3"/>
        <w:ind w:left="200" w:right="200"/>
      </w:pPr>
      <w:r>
        <w:rPr>
          <w:rFonts w:ascii="Consolas" w:eastAsia="Consolas" w:hAnsi="Consolas" w:cs="Consolas"/>
          <w:sz w:val="16"/>
          <w:szCs w:val="16"/>
        </w:rPr>
        <w:t>deny contains msg if {</w:t>
      </w:r>
    </w:p>
    <w:p w14:paraId="5FA1A3F7" w14:textId="77777777" w:rsidR="00B516B2" w:rsidRDefault="00B516B2" w:rsidP="00B516B2">
      <w:pPr>
        <w:shd w:val="clear" w:color="auto" w:fill="F3F3F3"/>
        <w:ind w:left="200" w:right="200"/>
      </w:pPr>
      <w:r>
        <w:rPr>
          <w:rFonts w:ascii="Consolas" w:eastAsia="Consolas" w:hAnsi="Consolas" w:cs="Consolas"/>
          <w:sz w:val="16"/>
          <w:szCs w:val="16"/>
        </w:rPr>
        <w:tab/>
        <w:t>some rc in changed</w:t>
      </w:r>
    </w:p>
    <w:p w14:paraId="571C2727" w14:textId="77777777" w:rsidR="00B516B2" w:rsidRDefault="00B516B2" w:rsidP="00B516B2">
      <w:pPr>
        <w:shd w:val="clear" w:color="auto" w:fill="F3F3F3"/>
        <w:ind w:left="200" w:right="200"/>
      </w:pPr>
      <w:r>
        <w:rPr>
          <w:rFonts w:ascii="Consolas" w:eastAsia="Consolas" w:hAnsi="Consolas" w:cs="Consolas"/>
          <w:sz w:val="16"/>
          <w:szCs w:val="16"/>
        </w:rPr>
        <w:tab/>
        <w:t>rc.type == "aws_s3_bucket_server_side_encryption_configuration"</w:t>
      </w:r>
    </w:p>
    <w:p w14:paraId="6E16D6A3" w14:textId="77777777" w:rsidR="00B516B2" w:rsidRDefault="00B516B2" w:rsidP="00B516B2">
      <w:pPr>
        <w:shd w:val="clear" w:color="auto" w:fill="F3F3F3"/>
        <w:ind w:left="200" w:right="200"/>
      </w:pPr>
      <w:r>
        <w:rPr>
          <w:rFonts w:ascii="Consolas" w:eastAsia="Consolas" w:hAnsi="Consolas" w:cs="Consolas"/>
          <w:sz w:val="16"/>
          <w:szCs w:val="16"/>
        </w:rPr>
        <w:tab/>
        <w:t>some rule in rc.change.after.rule</w:t>
      </w:r>
    </w:p>
    <w:p w14:paraId="7D351263" w14:textId="77777777" w:rsidR="00B516B2" w:rsidRDefault="00B516B2" w:rsidP="00B516B2">
      <w:pPr>
        <w:shd w:val="clear" w:color="auto" w:fill="F3F3F3"/>
        <w:ind w:left="200" w:right="200"/>
      </w:pPr>
      <w:r>
        <w:rPr>
          <w:rFonts w:ascii="Consolas" w:eastAsia="Consolas" w:hAnsi="Consolas" w:cs="Consolas"/>
          <w:sz w:val="16"/>
          <w:szCs w:val="16"/>
        </w:rPr>
        <w:tab/>
        <w:t>some enc in rule.apply_server_side_encryption_by_default</w:t>
      </w:r>
    </w:p>
    <w:p w14:paraId="780F64CF" w14:textId="77777777" w:rsidR="00B516B2" w:rsidRDefault="00B516B2" w:rsidP="00B516B2">
      <w:pPr>
        <w:shd w:val="clear" w:color="auto" w:fill="F3F3F3"/>
        <w:ind w:left="200" w:right="200"/>
      </w:pPr>
      <w:r>
        <w:rPr>
          <w:rFonts w:ascii="Consolas" w:eastAsia="Consolas" w:hAnsi="Consolas" w:cs="Consolas"/>
          <w:sz w:val="16"/>
          <w:szCs w:val="16"/>
        </w:rPr>
        <w:tab/>
        <w:t>enc.sse_algorithm != "aws:kms"</w:t>
      </w:r>
    </w:p>
    <w:p w14:paraId="019B5B5B" w14:textId="77777777" w:rsidR="00B516B2" w:rsidRDefault="00B516B2" w:rsidP="00B516B2">
      <w:pPr>
        <w:shd w:val="clear" w:color="auto" w:fill="F3F3F3"/>
        <w:ind w:left="200" w:right="200"/>
      </w:pPr>
      <w:r>
        <w:rPr>
          <w:rFonts w:ascii="Consolas" w:eastAsia="Consolas" w:hAnsi="Consolas" w:cs="Consolas"/>
          <w:sz w:val="16"/>
          <w:szCs w:val="16"/>
        </w:rPr>
        <w:tab/>
        <w:t>msg := sprintf("%s: S3 encryption must use aws:kms with a customer-managed key", [rc.address])</w:t>
      </w:r>
    </w:p>
    <w:p w14:paraId="400C52CD" w14:textId="77777777" w:rsidR="00B516B2" w:rsidRDefault="00B516B2" w:rsidP="00B516B2">
      <w:pPr>
        <w:shd w:val="clear" w:color="auto" w:fill="F3F3F3"/>
        <w:ind w:left="200" w:right="200"/>
      </w:pPr>
      <w:r>
        <w:rPr>
          <w:rFonts w:ascii="Consolas" w:eastAsia="Consolas" w:hAnsi="Consolas" w:cs="Consolas"/>
          <w:sz w:val="16"/>
          <w:szCs w:val="16"/>
        </w:rPr>
        <w:t>}</w:t>
      </w:r>
    </w:p>
    <w:p w14:paraId="33D16AC6"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03FA0D3E" w14:textId="77777777" w:rsidR="00B516B2" w:rsidRDefault="00B516B2" w:rsidP="00B516B2">
      <w:pPr>
        <w:shd w:val="clear" w:color="auto" w:fill="F3F3F3"/>
        <w:ind w:left="200" w:right="200"/>
      </w:pPr>
      <w:r>
        <w:rPr>
          <w:rFonts w:ascii="Consolas" w:eastAsia="Consolas" w:hAnsi="Consolas" w:cs="Consolas"/>
          <w:sz w:val="16"/>
          <w:szCs w:val="16"/>
        </w:rPr>
        <w:t># Rule 2: databases must be encrypted with a customer-managed key.</w:t>
      </w:r>
    </w:p>
    <w:p w14:paraId="2ADAB8CD" w14:textId="77777777" w:rsidR="00B516B2" w:rsidRDefault="00B516B2" w:rsidP="00B516B2">
      <w:pPr>
        <w:shd w:val="clear" w:color="auto" w:fill="F3F3F3"/>
        <w:ind w:left="200" w:right="200"/>
      </w:pPr>
      <w:r>
        <w:rPr>
          <w:rFonts w:ascii="Consolas" w:eastAsia="Consolas" w:hAnsi="Consolas" w:cs="Consolas"/>
          <w:sz w:val="16"/>
          <w:szCs w:val="16"/>
        </w:rPr>
        <w:lastRenderedPageBreak/>
        <w:t>deny contains msg if {</w:t>
      </w:r>
    </w:p>
    <w:p w14:paraId="23F04992" w14:textId="77777777" w:rsidR="00B516B2" w:rsidRDefault="00B516B2" w:rsidP="00B516B2">
      <w:pPr>
        <w:shd w:val="clear" w:color="auto" w:fill="F3F3F3"/>
        <w:ind w:left="200" w:right="200"/>
      </w:pPr>
      <w:r>
        <w:rPr>
          <w:rFonts w:ascii="Consolas" w:eastAsia="Consolas" w:hAnsi="Consolas" w:cs="Consolas"/>
          <w:sz w:val="16"/>
          <w:szCs w:val="16"/>
        </w:rPr>
        <w:tab/>
        <w:t>some rc in changed</w:t>
      </w:r>
    </w:p>
    <w:p w14:paraId="54432940" w14:textId="77777777" w:rsidR="00B516B2" w:rsidRDefault="00B516B2" w:rsidP="00B516B2">
      <w:pPr>
        <w:shd w:val="clear" w:color="auto" w:fill="F3F3F3"/>
        <w:ind w:left="200" w:right="200"/>
      </w:pPr>
      <w:r>
        <w:rPr>
          <w:rFonts w:ascii="Consolas" w:eastAsia="Consolas" w:hAnsi="Consolas" w:cs="Consolas"/>
          <w:sz w:val="16"/>
          <w:szCs w:val="16"/>
        </w:rPr>
        <w:tab/>
        <w:t>rc.type == "aws_rds_cluster"</w:t>
      </w:r>
    </w:p>
    <w:p w14:paraId="2F925378" w14:textId="77777777" w:rsidR="00B516B2" w:rsidRDefault="00B516B2" w:rsidP="00B516B2">
      <w:pPr>
        <w:shd w:val="clear" w:color="auto" w:fill="F3F3F3"/>
        <w:ind w:left="200" w:right="200"/>
      </w:pPr>
      <w:r>
        <w:rPr>
          <w:rFonts w:ascii="Consolas" w:eastAsia="Consolas" w:hAnsi="Consolas" w:cs="Consolas"/>
          <w:sz w:val="16"/>
          <w:szCs w:val="16"/>
        </w:rPr>
        <w:tab/>
        <w:t>not rc.change.after.storage_encrypted</w:t>
      </w:r>
    </w:p>
    <w:p w14:paraId="1B98E68E" w14:textId="77777777" w:rsidR="00B516B2" w:rsidRDefault="00B516B2" w:rsidP="00B516B2">
      <w:pPr>
        <w:shd w:val="clear" w:color="auto" w:fill="F3F3F3"/>
        <w:ind w:left="200" w:right="200"/>
      </w:pPr>
      <w:r>
        <w:rPr>
          <w:rFonts w:ascii="Consolas" w:eastAsia="Consolas" w:hAnsi="Consolas" w:cs="Consolas"/>
          <w:sz w:val="16"/>
          <w:szCs w:val="16"/>
        </w:rPr>
        <w:tab/>
        <w:t>msg := sprintf("%s: storage_encrypted must be true", [rc.address])</w:t>
      </w:r>
    </w:p>
    <w:p w14:paraId="53D1A5C2" w14:textId="77777777" w:rsidR="00B516B2" w:rsidRDefault="00B516B2" w:rsidP="00B516B2">
      <w:pPr>
        <w:shd w:val="clear" w:color="auto" w:fill="F3F3F3"/>
        <w:ind w:left="200" w:right="200"/>
      </w:pPr>
      <w:r>
        <w:rPr>
          <w:rFonts w:ascii="Consolas" w:eastAsia="Consolas" w:hAnsi="Consolas" w:cs="Consolas"/>
          <w:sz w:val="16"/>
          <w:szCs w:val="16"/>
        </w:rPr>
        <w:t>}</w:t>
      </w:r>
    </w:p>
    <w:p w14:paraId="2CD0EAF4" w14:textId="77777777" w:rsidR="00B516B2" w:rsidRDefault="00B516B2" w:rsidP="00B516B2">
      <w:pPr>
        <w:shd w:val="clear" w:color="auto" w:fill="F3F3F3"/>
        <w:ind w:left="200" w:right="200"/>
      </w:pPr>
      <w:r>
        <w:rPr>
          <w:rFonts w:ascii="Consolas" w:eastAsia="Consolas" w:hAnsi="Consolas" w:cs="Consolas"/>
          <w:sz w:val="16"/>
          <w:szCs w:val="16"/>
        </w:rPr>
        <w:t xml:space="preserve"> </w:t>
      </w:r>
    </w:p>
    <w:p w14:paraId="4877933D" w14:textId="77777777" w:rsidR="00E5016B" w:rsidRPr="00E5016B" w:rsidRDefault="00E5016B" w:rsidP="00E5016B">
      <w:pPr>
        <w:rPr>
          <w:rFonts w:ascii="Times New Roman" w:hAnsi="Times New Roman"/>
          <w:i/>
          <w:iCs/>
          <w:sz w:val="24"/>
        </w:rPr>
      </w:pPr>
      <w:r w:rsidRPr="00E5016B">
        <w:rPr>
          <w:i/>
          <w:iCs/>
        </w:rPr>
        <w:t>Listing A.2: policies/opa/terraform.rego (excerpt).</w:t>
      </w:r>
    </w:p>
    <w:p w14:paraId="1AA372BC" w14:textId="77777777" w:rsidR="00B516B2" w:rsidRDefault="00B516B2" w:rsidP="00B516B2"/>
    <w:p w14:paraId="31B534E0" w14:textId="77777777" w:rsidR="00B516B2" w:rsidRDefault="00B516B2" w:rsidP="00B516B2">
      <w:pPr>
        <w:pStyle w:val="Heading2"/>
        <w:spacing w:before="240" w:after="120"/>
      </w:pPr>
      <w:r>
        <w:rPr>
          <w:rFonts w:ascii="Aptos Display" w:eastAsia="Aptos Display" w:hAnsi="Aptos Display" w:cs="Aptos Display"/>
          <w:color w:val="0F4761"/>
        </w:rPr>
        <w:t>A.4 Links</w:t>
      </w:r>
    </w:p>
    <w:p w14:paraId="0FBA4E78" w14:textId="77777777" w:rsidR="00B516B2" w:rsidRDefault="00B516B2" w:rsidP="00B516B2">
      <w:pPr>
        <w:spacing w:after="120"/>
      </w:pPr>
      <w:hyperlink r:id="rId12" w:history="1">
        <w:r>
          <w:rPr>
            <w:rStyle w:val="Hyperlink"/>
            <w:rFonts w:eastAsia="Arial" w:cs="Arial"/>
            <w:sz w:val="20"/>
            <w:szCs w:val="20"/>
          </w:rPr>
          <w:t>GitHub e-portfolio (all module work): https://github.com/amm9093/e-portfolio</w:t>
        </w:r>
      </w:hyperlink>
    </w:p>
    <w:p w14:paraId="796103F1" w14:textId="77777777" w:rsidR="00B516B2" w:rsidRDefault="00B516B2" w:rsidP="00B516B2">
      <w:pPr>
        <w:spacing w:after="120"/>
      </w:pPr>
      <w:hyperlink r:id="rId13" w:history="1">
        <w:r>
          <w:rPr>
            <w:rStyle w:val="Hyperlink"/>
            <w:rFonts w:eastAsia="Arial" w:cs="Arial"/>
            <w:sz w:val="20"/>
            <w:szCs w:val="20"/>
          </w:rPr>
          <w:t>Capstone Project folder (report, code, pipeline): https://github.com/amm9093/e-portfolio/tree/main/capstone-project</w:t>
        </w:r>
      </w:hyperlink>
    </w:p>
    <w:p w14:paraId="07BFEDDE" w14:textId="77777777" w:rsidR="00B516B2" w:rsidRPr="00B516B2" w:rsidRDefault="00B516B2" w:rsidP="00B516B2"/>
    <w:sectPr w:rsidR="00B516B2" w:rsidRPr="00B516B2" w:rsidSect="006F4975">
      <w:footerReference w:type="even" r:id="rId14"/>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C43867" w14:textId="77777777" w:rsidR="001D60BA" w:rsidRDefault="001D60BA" w:rsidP="00BA6348">
      <w:pPr>
        <w:spacing w:after="0" w:line="240" w:lineRule="auto"/>
      </w:pPr>
      <w:r>
        <w:separator/>
      </w:r>
    </w:p>
  </w:endnote>
  <w:endnote w:type="continuationSeparator" w:id="0">
    <w:p w14:paraId="05507604" w14:textId="77777777" w:rsidR="001D60BA" w:rsidRDefault="001D60BA" w:rsidP="00BA6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41758245"/>
      <w:docPartObj>
        <w:docPartGallery w:val="Page Numbers (Bottom of Page)"/>
        <w:docPartUnique/>
      </w:docPartObj>
    </w:sdtPr>
    <w:sdtContent>
      <w:p w14:paraId="5CB2056B" w14:textId="77777777" w:rsidR="00BA6348" w:rsidRDefault="00BA6348" w:rsidP="007F24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86CAB7" w14:textId="77777777" w:rsidR="00BA6348" w:rsidRDefault="00BA6348" w:rsidP="00BA63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47805197"/>
      <w:docPartObj>
        <w:docPartGallery w:val="Page Numbers (Bottom of Page)"/>
        <w:docPartUnique/>
      </w:docPartObj>
    </w:sdtPr>
    <w:sdtContent>
      <w:p w14:paraId="67800134" w14:textId="77777777" w:rsidR="00BA6348" w:rsidRDefault="00BA6348" w:rsidP="007F24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noProof/>
          </w:rPr>
          <w:t>4</w:t>
        </w:r>
        <w:r>
          <w:rPr>
            <w:rStyle w:val="PageNumber"/>
          </w:rPr>
          <w:fldChar w:fldCharType="end"/>
        </w:r>
      </w:p>
    </w:sdtContent>
  </w:sdt>
  <w:p w14:paraId="34BB1C68" w14:textId="77777777" w:rsidR="00BA6348" w:rsidRDefault="00BA6348" w:rsidP="00BA63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4B1FD7" w14:textId="77777777" w:rsidR="001D60BA" w:rsidRDefault="001D60BA" w:rsidP="00BA6348">
      <w:pPr>
        <w:spacing w:after="0" w:line="240" w:lineRule="auto"/>
      </w:pPr>
      <w:r>
        <w:separator/>
      </w:r>
    </w:p>
  </w:footnote>
  <w:footnote w:type="continuationSeparator" w:id="0">
    <w:p w14:paraId="5348CF63" w14:textId="77777777" w:rsidR="001D60BA" w:rsidRDefault="001D60BA" w:rsidP="00BA63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A9767A"/>
    <w:multiLevelType w:val="hybridMultilevel"/>
    <w:tmpl w:val="D9564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4767A"/>
    <w:multiLevelType w:val="hybridMultilevel"/>
    <w:tmpl w:val="E8524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D160A0"/>
    <w:multiLevelType w:val="hybridMultilevel"/>
    <w:tmpl w:val="26166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182460"/>
    <w:multiLevelType w:val="hybridMultilevel"/>
    <w:tmpl w:val="6D2EE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060EA6"/>
    <w:multiLevelType w:val="hybridMultilevel"/>
    <w:tmpl w:val="2DF45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B96369"/>
    <w:multiLevelType w:val="hybridMultilevel"/>
    <w:tmpl w:val="20025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0137783">
    <w:abstractNumId w:val="1"/>
  </w:num>
  <w:num w:numId="2" w16cid:durableId="1665354336">
    <w:abstractNumId w:val="0"/>
  </w:num>
  <w:num w:numId="3" w16cid:durableId="55520230">
    <w:abstractNumId w:val="3"/>
  </w:num>
  <w:num w:numId="4" w16cid:durableId="1374883506">
    <w:abstractNumId w:val="5"/>
  </w:num>
  <w:num w:numId="5" w16cid:durableId="818613486">
    <w:abstractNumId w:val="2"/>
  </w:num>
  <w:num w:numId="6" w16cid:durableId="190356056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1A0"/>
    <w:rsid w:val="000621A0"/>
    <w:rsid w:val="000828DD"/>
    <w:rsid w:val="001D60BA"/>
    <w:rsid w:val="002C4B60"/>
    <w:rsid w:val="002D6490"/>
    <w:rsid w:val="003F4CC2"/>
    <w:rsid w:val="004538C1"/>
    <w:rsid w:val="00463EE4"/>
    <w:rsid w:val="00495A46"/>
    <w:rsid w:val="004D4C62"/>
    <w:rsid w:val="005D0FE2"/>
    <w:rsid w:val="00650A1D"/>
    <w:rsid w:val="006F4975"/>
    <w:rsid w:val="007751AF"/>
    <w:rsid w:val="007C4078"/>
    <w:rsid w:val="008347AD"/>
    <w:rsid w:val="008E0BC1"/>
    <w:rsid w:val="00970C43"/>
    <w:rsid w:val="009875A0"/>
    <w:rsid w:val="00A13777"/>
    <w:rsid w:val="00A86402"/>
    <w:rsid w:val="00A9172C"/>
    <w:rsid w:val="00A962FA"/>
    <w:rsid w:val="00AB7884"/>
    <w:rsid w:val="00AC64BB"/>
    <w:rsid w:val="00B516B2"/>
    <w:rsid w:val="00B8252C"/>
    <w:rsid w:val="00B87CB3"/>
    <w:rsid w:val="00BA6348"/>
    <w:rsid w:val="00BB2142"/>
    <w:rsid w:val="00C01407"/>
    <w:rsid w:val="00CD2584"/>
    <w:rsid w:val="00D118F6"/>
    <w:rsid w:val="00D266A7"/>
    <w:rsid w:val="00D52AF2"/>
    <w:rsid w:val="00D600D1"/>
    <w:rsid w:val="00DB632E"/>
    <w:rsid w:val="00DC7776"/>
    <w:rsid w:val="00DF0759"/>
    <w:rsid w:val="00E5016B"/>
    <w:rsid w:val="00F31BA5"/>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5A7E"/>
  <w15:chartTrackingRefBased/>
  <w15:docId w15:val="{5CA104FE-3051-8140-9468-D85506D2E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FE2"/>
    <w:rPr>
      <w:rFonts w:ascii="Arial" w:hAnsi="Arial"/>
      <w:sz w:val="18"/>
    </w:rPr>
  </w:style>
  <w:style w:type="paragraph" w:styleId="Heading1">
    <w:name w:val="heading 1"/>
    <w:basedOn w:val="Normal"/>
    <w:next w:val="Normal"/>
    <w:link w:val="Heading1Char"/>
    <w:uiPriority w:val="9"/>
    <w:qFormat/>
    <w:rsid w:val="00062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2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1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1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1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1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1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1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1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2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1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1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1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1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1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1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1A0"/>
    <w:rPr>
      <w:rFonts w:eastAsiaTheme="majorEastAsia" w:cstheme="majorBidi"/>
      <w:color w:val="272727" w:themeColor="text1" w:themeTint="D8"/>
    </w:rPr>
  </w:style>
  <w:style w:type="paragraph" w:styleId="Title">
    <w:name w:val="Title"/>
    <w:basedOn w:val="Normal"/>
    <w:next w:val="Normal"/>
    <w:link w:val="TitleChar"/>
    <w:uiPriority w:val="10"/>
    <w:qFormat/>
    <w:rsid w:val="00062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1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1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1A0"/>
    <w:pPr>
      <w:spacing w:before="160"/>
      <w:jc w:val="center"/>
    </w:pPr>
    <w:rPr>
      <w:i/>
      <w:iCs/>
      <w:color w:val="404040" w:themeColor="text1" w:themeTint="BF"/>
    </w:rPr>
  </w:style>
  <w:style w:type="character" w:customStyle="1" w:styleId="QuoteChar">
    <w:name w:val="Quote Char"/>
    <w:basedOn w:val="DefaultParagraphFont"/>
    <w:link w:val="Quote"/>
    <w:uiPriority w:val="29"/>
    <w:rsid w:val="000621A0"/>
    <w:rPr>
      <w:i/>
      <w:iCs/>
      <w:color w:val="404040" w:themeColor="text1" w:themeTint="BF"/>
    </w:rPr>
  </w:style>
  <w:style w:type="paragraph" w:styleId="ListParagraph">
    <w:name w:val="List Paragraph"/>
    <w:basedOn w:val="Normal"/>
    <w:uiPriority w:val="34"/>
    <w:qFormat/>
    <w:rsid w:val="000621A0"/>
    <w:pPr>
      <w:ind w:left="720"/>
      <w:contextualSpacing/>
    </w:pPr>
  </w:style>
  <w:style w:type="character" w:styleId="IntenseEmphasis">
    <w:name w:val="Intense Emphasis"/>
    <w:basedOn w:val="DefaultParagraphFont"/>
    <w:uiPriority w:val="21"/>
    <w:qFormat/>
    <w:rsid w:val="000621A0"/>
    <w:rPr>
      <w:i/>
      <w:iCs/>
      <w:color w:val="0F4761" w:themeColor="accent1" w:themeShade="BF"/>
    </w:rPr>
  </w:style>
  <w:style w:type="paragraph" w:styleId="IntenseQuote">
    <w:name w:val="Intense Quote"/>
    <w:basedOn w:val="Normal"/>
    <w:next w:val="Normal"/>
    <w:link w:val="IntenseQuoteChar"/>
    <w:uiPriority w:val="30"/>
    <w:qFormat/>
    <w:rsid w:val="00062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1A0"/>
    <w:rPr>
      <w:i/>
      <w:iCs/>
      <w:color w:val="0F4761" w:themeColor="accent1" w:themeShade="BF"/>
    </w:rPr>
  </w:style>
  <w:style w:type="character" w:styleId="IntenseReference">
    <w:name w:val="Intense Reference"/>
    <w:basedOn w:val="DefaultParagraphFont"/>
    <w:uiPriority w:val="32"/>
    <w:qFormat/>
    <w:rsid w:val="000621A0"/>
    <w:rPr>
      <w:b/>
      <w:bCs/>
      <w:smallCaps/>
      <w:color w:val="0F4761" w:themeColor="accent1" w:themeShade="BF"/>
      <w:spacing w:val="5"/>
    </w:rPr>
  </w:style>
  <w:style w:type="table" w:styleId="TableGrid">
    <w:name w:val="Table Grid"/>
    <w:basedOn w:val="TableNormal"/>
    <w:rsid w:val="00062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0621A0"/>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unhideWhenUsed/>
    <w:qFormat/>
    <w:rsid w:val="009875A0"/>
    <w:pPr>
      <w:spacing w:after="200" w:line="240" w:lineRule="auto"/>
    </w:pPr>
    <w:rPr>
      <w:i/>
      <w:iCs/>
      <w:color w:val="0E2841" w:themeColor="text2"/>
      <w:szCs w:val="18"/>
    </w:rPr>
  </w:style>
  <w:style w:type="character" w:styleId="Hyperlink">
    <w:name w:val="Hyperlink"/>
    <w:uiPriority w:val="99"/>
    <w:rsid w:val="00D52AF2"/>
    <w:rPr>
      <w:color w:val="0563C1"/>
      <w:u w:val="single"/>
    </w:rPr>
  </w:style>
  <w:style w:type="table" w:styleId="GridTable4-Accent4">
    <w:name w:val="Grid Table 4 Accent 4"/>
    <w:basedOn w:val="TableNormal"/>
    <w:uiPriority w:val="49"/>
    <w:rsid w:val="00BA634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Header">
    <w:name w:val="header"/>
    <w:basedOn w:val="Normal"/>
    <w:link w:val="HeaderChar"/>
    <w:uiPriority w:val="99"/>
    <w:unhideWhenUsed/>
    <w:rsid w:val="00BA63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348"/>
  </w:style>
  <w:style w:type="paragraph" w:styleId="Footer">
    <w:name w:val="footer"/>
    <w:basedOn w:val="Normal"/>
    <w:link w:val="FooterChar"/>
    <w:uiPriority w:val="99"/>
    <w:unhideWhenUsed/>
    <w:rsid w:val="00BA6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348"/>
  </w:style>
  <w:style w:type="character" w:styleId="PageNumber">
    <w:name w:val="page number"/>
    <w:basedOn w:val="DefaultParagraphFont"/>
    <w:uiPriority w:val="99"/>
    <w:semiHidden/>
    <w:unhideWhenUsed/>
    <w:rsid w:val="00BA6348"/>
  </w:style>
  <w:style w:type="paragraph" w:customStyle="1" w:styleId="Code">
    <w:name w:val="Code"/>
    <w:basedOn w:val="Normal"/>
    <w:link w:val="CodeChar"/>
    <w:rsid w:val="00CD2584"/>
    <w:pPr>
      <w:shd w:val="clear" w:color="auto" w:fill="F5F5F5"/>
      <w:spacing w:after="0" w:line="240" w:lineRule="auto"/>
      <w:contextualSpacing/>
    </w:pPr>
    <w:rPr>
      <w:rFonts w:ascii="Consolas" w:eastAsia="Consolas" w:hAnsi="Consolas" w:cs="Consolas"/>
      <w:kern w:val="0"/>
      <w:sz w:val="20"/>
      <w:szCs w:val="22"/>
      <w:lang w:val="en-US"/>
      <w14:ligatures w14:val="none"/>
    </w:rPr>
  </w:style>
  <w:style w:type="character" w:customStyle="1" w:styleId="CodeChar">
    <w:name w:val="Code Char"/>
    <w:link w:val="Code"/>
    <w:rsid w:val="00CD2584"/>
    <w:rPr>
      <w:rFonts w:ascii="Consolas" w:eastAsia="Consolas" w:hAnsi="Consolas" w:cs="Consolas"/>
      <w:kern w:val="0"/>
      <w:sz w:val="20"/>
      <w:szCs w:val="22"/>
      <w:shd w:val="clear" w:color="auto" w:fill="F5F5F5"/>
      <w:lang w:val="en-US"/>
      <w14:ligatures w14:val="none"/>
    </w:rPr>
  </w:style>
  <w:style w:type="paragraph" w:styleId="HTMLPreformatted">
    <w:name w:val="HTML Preformatted"/>
    <w:basedOn w:val="Normal"/>
    <w:link w:val="HTMLPreformattedChar"/>
    <w:uiPriority w:val="99"/>
    <w:semiHidden/>
    <w:unhideWhenUsed/>
    <w:rsid w:val="00650A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50A1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50A1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650A1D"/>
    <w:rPr>
      <w:color w:val="605E5C"/>
      <w:shd w:val="clear" w:color="auto" w:fill="E1DFDD"/>
    </w:rPr>
  </w:style>
  <w:style w:type="paragraph" w:styleId="NoSpacing">
    <w:name w:val="No Spacing"/>
    <w:link w:val="NoSpacingChar"/>
    <w:uiPriority w:val="1"/>
    <w:qFormat/>
    <w:rsid w:val="006F4975"/>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6F4975"/>
    <w:rPr>
      <w:rFonts w:eastAsiaTheme="minorEastAsia"/>
      <w:kern w:val="0"/>
      <w:sz w:val="22"/>
      <w:szCs w:val="22"/>
      <w:lang w:val="en-US" w:eastAsia="zh-CN"/>
      <w14:ligatures w14:val="none"/>
    </w:rPr>
  </w:style>
  <w:style w:type="paragraph" w:styleId="NormalWeb">
    <w:name w:val="Normal (Web)"/>
    <w:basedOn w:val="Normal"/>
    <w:uiPriority w:val="99"/>
    <w:semiHidden/>
    <w:unhideWhenUsed/>
    <w:rsid w:val="00E5016B"/>
    <w:pPr>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mm9093/e-portfolio" TargetMode="External"/><Relationship Id="rId13" Type="http://schemas.openxmlformats.org/officeDocument/2006/relationships/hyperlink" Target="https://github.com/amm9093/e-portfolio/tree/main/capstone-proj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mm9093/e-portfol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mm9093/e-portfolio/tree/main/capstone-projec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amm9093/e-portfolio" TargetMode="External"/><Relationship Id="rId4" Type="http://schemas.openxmlformats.org/officeDocument/2006/relationships/settings" Target="settings.xml"/><Relationship Id="rId9" Type="http://schemas.openxmlformats.org/officeDocument/2006/relationships/hyperlink" Target="https://github.com/amm9093/e-portfolio/tree/main/capstone-project"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C76D6-2CD1-114D-A797-240CC23AE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3106</Words>
  <Characters>17705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Module e-Portfolio</dc:title>
  <dc:subject/>
  <dc:creator>a a</dc:creator>
  <cp:keywords/>
  <dc:description/>
  <cp:lastModifiedBy>a a</cp:lastModifiedBy>
  <cp:revision>3</cp:revision>
  <dcterms:created xsi:type="dcterms:W3CDTF">2026-10-18T12:32:00Z</dcterms:created>
  <dcterms:modified xsi:type="dcterms:W3CDTF">2026-10-18T12:34:00Z</dcterms:modified>
</cp:coreProperties>
</file>