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lang w:val="en-US"/>
        </w:rPr>
        <w:t>8</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b w:val="false"/>
          <w:bCs w:val="false"/>
          <w:i w:val="false"/>
          <w:iCs w:val="false"/>
          <w:sz w:val="24"/>
          <w:szCs w:val="24"/>
        </w:rPr>
        <w:t>CS 1105-01 - AY2025-T1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Instructor </w:t>
      </w:r>
      <w:r>
        <w:rPr>
          <w:rFonts w:ascii="Times New Roman" w:hAnsi="Times New Roman"/>
          <w:i w:val="false"/>
          <w:iCs w:val="false"/>
          <w:sz w:val="24"/>
          <w:szCs w:val="24"/>
          <w:lang w:val="en-US"/>
        </w:rPr>
        <w:t>Neven Valev</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Thursday</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31</w:t>
      </w:r>
      <w:r>
        <w:rPr>
          <w:rStyle w:val="Strong"/>
          <w:rFonts w:ascii="Times New Roman" w:hAnsi="Times New Roman"/>
          <w:b w:val="false"/>
          <w:bCs w:val="false"/>
          <w:i w:val="false"/>
          <w:iCs w:val="false"/>
          <w:sz w:val="24"/>
          <w:szCs w:val="24"/>
          <w:vertAlign w:val="superscript"/>
          <w:lang w:val="en-US"/>
        </w:rPr>
        <w:t>st</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October</w:t>
      </w:r>
      <w:r>
        <w:rPr>
          <w:rStyle w:val="Strong"/>
          <w:rFonts w:ascii="Times New Roman" w:hAnsi="Times New Roman"/>
          <w:b w:val="false"/>
          <w:bCs w:val="false"/>
          <w:i w:val="false"/>
          <w:iCs w:val="false"/>
          <w:sz w:val="24"/>
          <w:szCs w:val="24"/>
        </w:rPr>
        <w:t xml:space="preserve"> 202</w:t>
      </w:r>
      <w:r>
        <w:rPr>
          <w:rStyle w:val="Strong"/>
          <w:rFonts w:ascii="Times New Roman" w:hAnsi="Times New Roman"/>
          <w:b w:val="false"/>
          <w:bCs w:val="false"/>
          <w:i w:val="false"/>
          <w:iCs w:val="false"/>
          <w:sz w:val="24"/>
          <w:szCs w:val="24"/>
          <w:lang w:val="en-US"/>
        </w:rPr>
        <w:t>4</w:t>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t>Changes in business taxes, personal income, and transfer payments can significantly impact a country's gross domestic product (GDP), a key indicator of economic health. GDP measures the total value of all goods and services produced within a country over a specific period. An increase or decrease in these fiscal policies can alter consumption, investment, and overall economic activity, leading to fluctuations in GDP.</w:t>
      </w:r>
    </w:p>
    <w:p>
      <w:pPr>
        <w:pStyle w:val="BodyText"/>
        <w:bidi w:val="0"/>
        <w:spacing w:lineRule="auto" w:line="276" w:before="0" w:after="140"/>
        <w:jc w:val="start"/>
        <w:rPr/>
      </w:pPr>
      <w:r>
        <w:rPr>
          <w:rStyle w:val="Strong"/>
          <w:rFonts w:ascii="Times New Roman" w:hAnsi="Times New Roman"/>
        </w:rPr>
        <w:t>Business Taxes and GDP</w:t>
      </w:r>
    </w:p>
    <w:p>
      <w:pPr>
        <w:pStyle w:val="BodyText"/>
        <w:bidi w:val="0"/>
        <w:jc w:val="start"/>
        <w:rPr>
          <w:rFonts w:ascii="Times New Roman" w:hAnsi="Times New Roman"/>
        </w:rPr>
      </w:pPr>
      <w:r>
        <w:rPr>
          <w:rFonts w:ascii="Times New Roman" w:hAnsi="Times New Roman"/>
        </w:rPr>
        <w:t>Business taxes directly influence the cost of production for companies. Higher business taxes reduce the after-tax profits of firms, which may lead to decreased investment in capital, hiring, and research and development. This reduction in business activity can slow down economic growth and, consequently, GDP. Conversely, lowering business taxes can stimulate economic activity by allowing companies to retain more of their earnings. This retained capital can be reinvested in the business, leading to increased production, job creation, and, ultimately, a riseLiberation Serif in GDP. A study by Lee and Gordon (2005) highlighted that lower corporate tax rates correlate positively with economic growth, suggesting that tax policy is a vital tool for governments aiming to boost GDP.</w:t>
      </w:r>
    </w:p>
    <w:p>
      <w:pPr>
        <w:pStyle w:val="BodyText"/>
        <w:bidi w:val="0"/>
        <w:spacing w:lineRule="auto" w:line="276" w:before="0" w:after="140"/>
        <w:jc w:val="start"/>
        <w:rPr/>
      </w:pPr>
      <w:r>
        <w:rPr>
          <w:rStyle w:val="Strong"/>
          <w:rFonts w:ascii="Times New Roman" w:hAnsi="Times New Roman"/>
        </w:rPr>
        <w:t>Personal Income and Consumption</w:t>
      </w:r>
    </w:p>
    <w:p>
      <w:pPr>
        <w:pStyle w:val="BodyText"/>
        <w:bidi w:val="0"/>
        <w:jc w:val="start"/>
        <w:rPr>
          <w:rFonts w:ascii="Times New Roman" w:hAnsi="Times New Roman"/>
        </w:rPr>
      </w:pPr>
      <w:r>
        <w:rPr>
          <w:rFonts w:ascii="Times New Roman" w:hAnsi="Times New Roman"/>
        </w:rPr>
        <w:t>Personal income levels also have a profound effect on GDP through consumer spending, which accounts for a significant portion of total economic activity. When personal income rises, households generally have more disposable income to spend on goods and services. This increase in consumption leads to higher demand, prompting businesses to expand production to meet consumer needs. This expansion can create a cycle of growth, as higher production may lead to increased hiring and wages, further enhancing personal income and consumption. Conversely, a decrease in personal income, whether due to economic downturns or higher taxation, can reduce consumer spending, leading to slower GDP growth. According to a report by the Bureau of Economic Analysis (2022), fluctuations in personal income directly correlate with changes in GDP, emphasizing the importance of maintaining a stable income environment to support economic growth.</w:t>
      </w:r>
    </w:p>
    <w:p>
      <w:pPr>
        <w:pStyle w:val="BodyText"/>
        <w:bidi w:val="0"/>
        <w:spacing w:lineRule="auto" w:line="276" w:before="0" w:after="140"/>
        <w:jc w:val="start"/>
        <w:rPr/>
      </w:pPr>
      <w:r>
        <w:rPr>
          <w:rStyle w:val="Strong"/>
          <w:rFonts w:ascii="Times New Roman" w:hAnsi="Times New Roman"/>
        </w:rPr>
        <w:t>Transfer Payments and Economic Stability</w:t>
      </w:r>
    </w:p>
    <w:p>
      <w:pPr>
        <w:pStyle w:val="BodyText"/>
        <w:bidi w:val="0"/>
        <w:jc w:val="start"/>
        <w:rPr>
          <w:rFonts w:ascii="Times New Roman" w:hAnsi="Times New Roman"/>
        </w:rPr>
      </w:pPr>
      <w:r>
        <w:rPr>
          <w:rFonts w:ascii="Times New Roman" w:hAnsi="Times New Roman"/>
        </w:rPr>
        <w:t>Transfer payments, such as unemployment benefits and social security, play a crucial role in stabilizing GDP, especially during economic downturns. These payments provide a safety net for individuals, allowing them to maintain a certain level of consumption even when their income from employment decreases. When the government increases transfer payments, it can boost consumer spending, particularly in lower-income households that are more likely to spend these funds immediately on essential goods and services. This increased spending can help offset declines in GDP during recessions. Conversely, reductions in transfer payments can lead to decreased consumer spending, exacerbating economic contractions. Research by Moffitt (2015) underscores the significance of transfer payments in mitigating economic fluctuations, illustrating how these payments can stabilize GDP by sustaining consumer demand in challenging economic times.</w:t>
      </w:r>
    </w:p>
    <w:p>
      <w:pPr>
        <w:pStyle w:val="BodyText"/>
        <w:bidi w:val="0"/>
        <w:jc w:val="start"/>
        <w:rPr>
          <w:rFonts w:ascii="Times New Roman" w:hAnsi="Times New Roman"/>
        </w:rPr>
      </w:pPr>
      <w:r>
        <w:rPr>
          <w:rFonts w:ascii="Times New Roman" w:hAnsi="Times New Roman"/>
        </w:rPr>
        <w:t>In summary, changes in business taxes, personal income, and transfer payments significantly affect a country’s GDP. Business taxes impact corporate investment and growth potential, while personal income levels directly influence consumer spending and economic demand. Additionally, transfer payments provide essential support during economic downturns, stabilizing GDP by sustaining consumption levels. Together, these factors underscore the interconnectedness of fiscal policy and economic performance.</w:t>
      </w:r>
    </w:p>
    <w:p>
      <w:pPr>
        <w:pStyle w:val="Heading3"/>
        <w:bidi w:val="0"/>
        <w:jc w:val="start"/>
        <w:rPr>
          <w:rFonts w:ascii="Times New Roman" w:hAnsi="Times New Roman"/>
        </w:rPr>
      </w:pPr>
      <w:r>
        <w:rPr>
          <w:rFonts w:ascii="Times New Roman" w:hAnsi="Times New Roman"/>
        </w:rPr>
        <w:t>References</w:t>
      </w:r>
    </w:p>
    <w:p>
      <w:pPr>
        <w:pStyle w:val="BodyText"/>
        <w:bidi w:val="0"/>
        <w:jc w:val="start"/>
        <w:rPr/>
      </w:pPr>
      <w:r>
        <w:rPr>
          <w:rFonts w:ascii="Times New Roman" w:hAnsi="Times New Roman"/>
        </w:rPr>
        <w:t xml:space="preserve">Bureau of Economic Analysis. (2022). </w:t>
      </w:r>
      <w:r>
        <w:rPr>
          <w:rStyle w:val="Emphasis"/>
          <w:rFonts w:ascii="Times New Roman" w:hAnsi="Times New Roman"/>
        </w:rPr>
        <w:t>National income and product accounts: Overview of revisions</w:t>
      </w:r>
      <w:r>
        <w:rPr>
          <w:rFonts w:ascii="Times New Roman" w:hAnsi="Times New Roman"/>
        </w:rPr>
        <w:t xml:space="preserve">. </w:t>
      </w:r>
      <w:hyperlink r:id="rId2" w:tgtFrame="_new">
        <w:r>
          <w:rPr>
            <w:rStyle w:val="Hyperlink"/>
            <w:rFonts w:ascii="Times New Roman" w:hAnsi="Times New Roman"/>
          </w:rPr>
          <w:t>https://www.bea.gov</w:t>
        </w:r>
      </w:hyperlink>
    </w:p>
    <w:p>
      <w:pPr>
        <w:pStyle w:val="BodyText"/>
        <w:bidi w:val="0"/>
        <w:jc w:val="start"/>
        <w:rPr/>
      </w:pPr>
      <w:r>
        <w:rPr>
          <w:rFonts w:ascii="Times New Roman" w:hAnsi="Times New Roman"/>
        </w:rPr>
        <w:t xml:space="preserve">Lee, Y., &amp; Gordon, R. H. (2005). Tax structure and economic growth. </w:t>
      </w:r>
      <w:r>
        <w:rPr>
          <w:rStyle w:val="Emphasis"/>
          <w:rFonts w:ascii="Times New Roman" w:hAnsi="Times New Roman"/>
        </w:rPr>
        <w:t>Journal of Public Economics</w:t>
      </w:r>
      <w:r>
        <w:rPr>
          <w:rFonts w:ascii="Times New Roman" w:hAnsi="Times New Roman"/>
        </w:rPr>
        <w:t>, 89(5-6), 1027-1043. https://doi.org/10.1016/j.jpubeco.2004.07.002</w:t>
      </w:r>
    </w:p>
    <w:p>
      <w:pPr>
        <w:pStyle w:val="BodyText"/>
        <w:bidi w:val="0"/>
        <w:jc w:val="start"/>
        <w:rPr/>
      </w:pPr>
      <w:r>
        <w:rPr>
          <w:rFonts w:ascii="Times New Roman" w:hAnsi="Times New Roman"/>
        </w:rPr>
        <w:t xml:space="preserve">Moffitt, R. A. (2015). The temporary assistance for needy families program. </w:t>
      </w:r>
      <w:r>
        <w:rPr>
          <w:rStyle w:val="Emphasis"/>
          <w:rFonts w:ascii="Times New Roman" w:hAnsi="Times New Roman"/>
        </w:rPr>
        <w:t>The Future of Children</w:t>
      </w:r>
      <w:r>
        <w:rPr>
          <w:rFonts w:ascii="Times New Roman" w:hAnsi="Times New Roman"/>
        </w:rPr>
        <w:t>, 25(1), 143-165. https://doi.org/10.1353/foc.2015.0005</w:t>
      </w:r>
    </w:p>
    <w:p>
      <w:pPr>
        <w:pStyle w:val="Normal"/>
        <w:bidi w:val="0"/>
        <w:jc w:val="start"/>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us-ascii"/>
    <w:family w:val="roman"/>
    <w:pitch w:val="variable"/>
  </w:font>
  <w:font w:name="Liberation Sans">
    <w:altName w:val="Arial"/>
    <w:charset w:val="00" w:characterSet="us-ascii"/>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ea.gov/"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LibreOffice/24.8.2.1$Linux_X86_64 LibreOffice_project/480$Build-1</Application>
  <AppVersion>15.0000</AppVersion>
  <Pages>2</Pages>
  <Words>590</Words>
  <Characters>3674</Characters>
  <CharactersWithSpaces>4247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2024-10-31T23:44:19Z</dcterms:created>
  <dc:creator/>
  <dc:description/>
  <dc:language>en-GB</dc:language>
  <cp:lastModifiedBy/>
  <dcterms:modified xsi:type="dcterms:W3CDTF">2024-10-31T23:45:33Z</dcterms:modified>
  <cp:revision>1</cp:revision>
  <dc:subject/>
  <dc:title/>
</cp:coreProperties>
</file>