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WORLD INTELLECTUAL PROPERTY ORGANIZATION</w:t>
      </w:r>
      <w:r>
        <w:t xml:space="preserve"> </w:t>
      </w:r>
      <w:r>
        <w:rPr>
          <w:b/>
          <w:bCs/>
        </w:rPr>
        <w:t xml:space="preserve">ARBITRATION AND MEDIATION CENTER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Complainant:</w:t>
            </w:r>
          </w:p>
        </w:tc>
        <w:tc>
          <w:tcPr/>
          <w:p>
            <w:pPr>
              <w:pStyle w:val="Compact"/>
              <w:jc w:val="left"/>
            </w:pPr>
            <w:r>
              <w:t xml:space="preserve">The Roof Store, [Address], [City, State, Zip], [Country]</w:t>
            </w:r>
          </w:p>
        </w:tc>
      </w:tr>
      <w:tr>
        <w:tc>
          <w:tcPr/>
          <w:p>
            <w:pPr>
              <w:pStyle w:val="Compact"/>
              <w:jc w:val="left"/>
            </w:pPr>
            <w:r>
              <w:rPr>
                <w:b/>
                <w:bCs/>
              </w:rPr>
              <w:t xml:space="preserve">Respondent:</w:t>
            </w:r>
          </w:p>
        </w:tc>
        <w:tc>
          <w:tcPr/>
          <w:p>
            <w:pPr>
              <w:pStyle w:val="Compact"/>
              <w:jc w:val="left"/>
            </w:pPr>
            <w:r>
              <w:t xml:space="preserve">[Registrant Name of theroof.store], [Registrant Address per WHOIS]</w:t>
            </w:r>
          </w:p>
        </w:tc>
      </w:tr>
      <w:tr>
        <w:tc>
          <w:tcPr/>
          <w:p>
            <w:pPr>
              <w:pStyle w:val="Compact"/>
              <w:jc w:val="left"/>
            </w:pPr>
            <w:r>
              <w:rPr>
                <w:b/>
                <w:bCs/>
              </w:rPr>
              <w:t xml:space="preserve">Disputed Domain Name:</w:t>
            </w:r>
          </w:p>
        </w:tc>
        <w:tc>
          <w:tcPr/>
          <w:p>
            <w:pPr>
              <w:pStyle w:val="Compact"/>
              <w:jc w:val="left"/>
            </w:pPr>
            <w:r>
              <w:t xml:space="preserve">theroof.store</w:t>
            </w:r>
          </w:p>
        </w:tc>
      </w:tr>
      <w:tr>
        <w:tc>
          <w:tcPr/>
          <w:p>
            <w:pPr>
              <w:pStyle w:val="Compact"/>
              <w:jc w:val="left"/>
            </w:pPr>
            <w:r>
              <w:rPr>
                <w:b/>
                <w:bCs/>
              </w:rPr>
              <w:t xml:space="preserve">Date:</w:t>
            </w:r>
          </w:p>
        </w:tc>
        <w:tc>
          <w:tcPr/>
          <w:p>
            <w:pPr>
              <w:pStyle w:val="Compact"/>
              <w:jc w:val="left"/>
            </w:pPr>
            <w:r>
              <w:t xml:space="preserve">August 2, 2026</w:t>
            </w:r>
          </w:p>
        </w:tc>
      </w:tr>
    </w:tbl>
    <w:p>
      <w:pPr>
        <w:pStyle w:val="Body Text"/>
      </w:pPr>
      <w:r>
        <w:rPr>
          <w:b/>
          <w:bCs/>
        </w:rPr>
        <w:t xml:space="preserve">COMPLAINT IN ACCORDANCE WITH THE UNIFORM DOMAIN NAME DISPUTE RESOLUTION POLICY</w:t>
      </w:r>
    </w:p>
    <w:p>
      <w:pPr>
        <w:pStyle w:val="Body Text"/>
      </w:pPr>
      <w:r>
        <w:rPr>
          <w:b/>
          <w:bCs/>
        </w:rPr>
        <w:t xml:space="preserve">I. INTRODUCTION</w:t>
      </w:r>
    </w:p>
    <w:p>
      <w:pPr>
        <w:numPr>
          <w:ilvl w:val="0"/>
          <w:numId w:val="1001"/>
        </w:numPr>
      </w:pPr>
      <w:r>
        <w:t xml:space="preserve">This Complaint is submitted for a decision in accordance with the Uniform Domain Name Dispute Resolution Policy (the</w:t>
      </w:r>
      <w:r>
        <w:t xml:space="preserve"> </w:t>
      </w:r>
      <w:r>
        <w:t xml:space="preserve">“</w:t>
      </w:r>
      <w:r>
        <w:t xml:space="preserve">Policy</w:t>
      </w:r>
      <w:r>
        <w:t xml:space="preserve">”</w:t>
      </w:r>
      <w:r>
        <w:t xml:space="preserve">), the Rules for Uniform Domain Name Dispute Resolution Policy (the</w:t>
      </w:r>
      <w:r>
        <w:t xml:space="preserve"> </w:t>
      </w:r>
      <w:r>
        <w:t xml:space="preserve">“</w:t>
      </w:r>
      <w:r>
        <w:t xml:space="preserve">Rules</w:t>
      </w:r>
      <w:r>
        <w:t xml:space="preserve">”</w:t>
      </w:r>
      <w:r>
        <w:t xml:space="preserve">), and the WIPO Supplemental Rules for Uniform Domain Name Dispute Resolution Policy (the</w:t>
      </w:r>
      <w:r>
        <w:t xml:space="preserve"> </w:t>
      </w:r>
      <w:r>
        <w:t xml:space="preserve">“</w:t>
      </w:r>
      <w:r>
        <w:t xml:space="preserve">Supplemental Rules</w:t>
      </w:r>
      <w:r>
        <w:t xml:space="preserve">”</w:t>
      </w:r>
      <w:r>
        <w:t xml:space="preserve">), all approved by the Internet Corporation for Assigned Names and Numbers (ICANN) on October 24, 1999.</w:t>
      </w:r>
    </w:p>
    <w:p>
      <w:pPr>
        <w:numPr>
          <w:ilvl w:val="0"/>
          <w:numId w:val="1001"/>
        </w:numPr>
      </w:pPr>
      <w:r>
        <w:t xml:space="preserve">The Complainant, The Roof Store, requests that the Administrative Panel appointed in this proceeding issue a decision directing that the disputed domain name</w:t>
      </w:r>
      <w:r>
        <w:t xml:space="preserve"> </w:t>
      </w:r>
      <w:r>
        <w:rPr>
          <w:b/>
          <w:bCs/>
        </w:rPr>
        <w:t xml:space="preserve">theroof.store</w:t>
      </w:r>
      <w:r>
        <w:t xml:space="preserve"> </w:t>
      </w:r>
      <w:r>
        <w:t xml:space="preserve">(the</w:t>
      </w:r>
      <w:r>
        <w:t xml:space="preserve"> </w:t>
      </w:r>
      <w:r>
        <w:t xml:space="preserve">“</w:t>
      </w:r>
      <w:r>
        <w:t xml:space="preserve">Disputed Domain Name</w:t>
      </w:r>
      <w:r>
        <w:t xml:space="preserve">”</w:t>
      </w:r>
      <w:r>
        <w:t xml:space="preserve">) be transferred to the Complainant.</w:t>
      </w:r>
    </w:p>
    <w:p>
      <w:pPr>
        <w:pStyle w:val="FirstParagraph"/>
      </w:pPr>
      <w:r>
        <w:rPr>
          <w:b/>
          <w:bCs/>
        </w:rPr>
        <w:t xml:space="preserve">II. PARTIES AND THE DISPUTED DOMAIN NAME</w:t>
      </w:r>
    </w:p>
    <w:p>
      <w:pPr>
        <w:pStyle w:val="Body Text"/>
      </w:pPr>
      <w:r>
        <w:rPr>
          <w:b/>
          <w:bCs/>
        </w:rPr>
        <w:t xml:space="preserve">A. The Complainant</w:t>
      </w:r>
    </w:p>
    <w:p>
      <w:pPr>
        <w:pStyle w:val="Compact"/>
        <w:numPr>
          <w:ilvl w:val="0"/>
          <w:numId w:val="1002"/>
        </w:numPr>
      </w:pPr>
      <w:r>
        <w:t xml:space="preserve">The Complainant is The Roof Store.</w:t>
      </w:r>
    </w:p>
    <w:p>
      <w:pPr>
        <w:pStyle w:val="Compact"/>
        <w:numPr>
          <w:ilvl w:val="1"/>
          <w:numId w:val="1003"/>
        </w:numPr>
      </w:pPr>
      <w:r>
        <w:t xml:space="preserve">Address: [Address], [City, State, Zip], [Country]</w:t>
      </w:r>
    </w:p>
    <w:p>
      <w:pPr>
        <w:pStyle w:val="Compact"/>
        <w:numPr>
          <w:ilvl w:val="1"/>
          <w:numId w:val="1003"/>
        </w:numPr>
      </w:pPr>
      <w:r>
        <w:t xml:space="preserve">Telephone: [Phone]</w:t>
      </w:r>
    </w:p>
    <w:p>
      <w:pPr>
        <w:pStyle w:val="Compact"/>
        <w:numPr>
          <w:ilvl w:val="1"/>
          <w:numId w:val="1003"/>
        </w:numPr>
      </w:pPr>
      <w:r>
        <w:t xml:space="preserve">Email: [Email]</w:t>
      </w:r>
    </w:p>
    <w:p>
      <w:pPr>
        <w:pStyle w:val="Compact"/>
        <w:numPr>
          <w:ilvl w:val="1"/>
          <w:numId w:val="1003"/>
        </w:numPr>
      </w:pPr>
      <w:r>
        <w:t xml:space="preserve">Authorized Representative: [Counsel Name and Contact Information]</w:t>
      </w:r>
    </w:p>
    <w:p>
      <w:pPr>
        <w:pStyle w:val="FirstParagraph"/>
      </w:pPr>
      <w:r>
        <w:rPr>
          <w:b/>
          <w:bCs/>
        </w:rPr>
        <w:t xml:space="preserve">B. The Respondent</w:t>
      </w:r>
    </w:p>
    <w:p>
      <w:pPr>
        <w:pStyle w:val="Compact"/>
        <w:numPr>
          <w:ilvl w:val="0"/>
          <w:numId w:val="1004"/>
        </w:numPr>
      </w:pPr>
      <w:r>
        <w:t xml:space="preserve">The Respondent is [Registrant Name], the registrant of the Disputed Domain Name,</w:t>
      </w:r>
      <w:r>
        <w:t xml:space="preserve"> </w:t>
      </w:r>
      <w:r>
        <w:rPr>
          <w:b/>
          <w:bCs/>
        </w:rPr>
        <w:t xml:space="preserve">theroof.store</w:t>
      </w:r>
      <w:r>
        <w:t xml:space="preserve">.</w:t>
      </w:r>
    </w:p>
    <w:p>
      <w:pPr>
        <w:pStyle w:val="Compact"/>
        <w:numPr>
          <w:ilvl w:val="1"/>
          <w:numId w:val="1005"/>
        </w:numPr>
      </w:pPr>
      <w:r>
        <w:t xml:space="preserve">Address: [Address per WHOIS]</w:t>
      </w:r>
    </w:p>
    <w:p>
      <w:pPr>
        <w:pStyle w:val="Compact"/>
        <w:numPr>
          <w:ilvl w:val="1"/>
          <w:numId w:val="1005"/>
        </w:numPr>
      </w:pPr>
      <w:r>
        <w:t xml:space="preserve">Email: [Email per WHOIS]</w:t>
      </w:r>
    </w:p>
    <w:p>
      <w:pPr>
        <w:pStyle w:val="FirstParagraph"/>
      </w:pPr>
      <w:r>
        <w:rPr>
          <w:b/>
          <w:bCs/>
        </w:rPr>
        <w:t xml:space="preserve">III. PROCEDURAL HISTORY</w:t>
      </w:r>
    </w:p>
    <w:p>
      <w:pPr>
        <w:pStyle w:val="Compact"/>
        <w:numPr>
          <w:ilvl w:val="0"/>
          <w:numId w:val="1006"/>
        </w:numPr>
      </w:pPr>
      <w:r>
        <w:t xml:space="preserve">This is the first complaint filed by the Complainant against the Respondent regarding the Disputed Domain Name.</w:t>
      </w:r>
    </w:p>
    <w:p>
      <w:pPr>
        <w:pStyle w:val="FirstParagraph"/>
      </w:pPr>
      <w:r>
        <w:rPr>
          <w:b/>
          <w:bCs/>
        </w:rPr>
        <w:t xml:space="preserve">IV. FACTUAL BACKGROUND</w:t>
      </w:r>
    </w:p>
    <w:p>
      <w:pPr>
        <w:numPr>
          <w:ilvl w:val="0"/>
          <w:numId w:val="1007"/>
        </w:numPr>
      </w:pPr>
      <w:r>
        <w:t xml:space="preserve">Complainant, The Roof Store, has used its trade name THE ROOF STORE continuously and exclusively in commerce since 1994 in connection with the sale of roofing materials and related services.</w:t>
      </w:r>
    </w:p>
    <w:p>
      <w:pPr>
        <w:numPr>
          <w:ilvl w:val="0"/>
          <w:numId w:val="1007"/>
        </w:numPr>
      </w:pPr>
      <w:r>
        <w:t xml:space="preserve">Complainant established its digital presence by registering the domain name</w:t>
      </w:r>
      <w:r>
        <w:t xml:space="preserve"> </w:t>
      </w:r>
      <w:r>
        <w:rPr>
          <w:i/>
          <w:iCs/>
        </w:rPr>
        <w:t xml:space="preserve">theroofstore.net</w:t>
      </w:r>
      <w:r>
        <w:t xml:space="preserve"> </w:t>
      </w:r>
      <w:r>
        <w:t xml:space="preserve">on July 29, 2002. Records from the Internet Archive confirm a continuous web presence under its mark since at least April 2001 (Annex 1).</w:t>
      </w:r>
    </w:p>
    <w:p>
      <w:pPr>
        <w:numPr>
          <w:ilvl w:val="0"/>
          <w:numId w:val="1007"/>
        </w:numPr>
      </w:pPr>
      <w:r>
        <w:t xml:space="preserve">Complainant operates a substantial physical facility and factory in Broward County, Florida, under THE ROOF STORE name (Annex 2). Through over three decades of operation, Complainant has developed significant goodwill and brand recognition, as evidenced by a verified Google Business Profile, decades of established customer relationships, and a significant body of indexed web content under its mark (Annex 3).</w:t>
      </w:r>
    </w:p>
    <w:p>
      <w:pPr>
        <w:numPr>
          <w:ilvl w:val="0"/>
          <w:numId w:val="1007"/>
        </w:numPr>
      </w:pPr>
      <w:r>
        <w:t xml:space="preserve">On August 13, 2021—more than 27 years after Complainant commenced use of its mark and 20 years after establishing its web presence—Respondent registered the Disputed Domain Name,</w:t>
      </w:r>
      <w:r>
        <w:t xml:space="preserve"> </w:t>
      </w:r>
      <w:r>
        <w:rPr>
          <w:b/>
          <w:bCs/>
        </w:rPr>
        <w:t xml:space="preserve">theroof.store</w:t>
      </w:r>
      <w:r>
        <w:t xml:space="preserve">.</w:t>
      </w:r>
    </w:p>
    <w:p>
      <w:pPr>
        <w:numPr>
          <w:ilvl w:val="0"/>
          <w:numId w:val="1007"/>
        </w:numPr>
      </w:pPr>
      <w:r>
        <w:t xml:space="preserve">Respondent registered the Disputed Domain Name with actual knowledge of Complainant and its senior rights. On July 28, 2026, Respondent sent a direct commercial solicitation to Complainant, proving that Respondent knew of Complainant’s existence, trade name, and line of business (Annex S).</w:t>
      </w:r>
    </w:p>
    <w:p>
      <w:pPr>
        <w:numPr>
          <w:ilvl w:val="0"/>
          <w:numId w:val="1007"/>
        </w:numPr>
      </w:pPr>
      <w:r>
        <w:t xml:space="preserve">Respondent uses the Disputed Domain Name to market and sell competing roofing products directly into Florida, including South Florida, the precise geographic market where Complainant’s common-law rights are strongest.</w:t>
      </w:r>
    </w:p>
    <w:p>
      <w:pPr>
        <w:numPr>
          <w:ilvl w:val="0"/>
          <w:numId w:val="1007"/>
        </w:numPr>
      </w:pPr>
      <w:r>
        <w:t xml:space="preserve">Complainant’s mark is so well-established in the marketplace that Google’s AI systems associate the mark</w:t>
      </w:r>
      <w:r>
        <w:t xml:space="preserve"> </w:t>
      </w:r>
      <w:r>
        <w:t xml:space="preserve">“</w:t>
      </w:r>
      <w:r>
        <w:t xml:space="preserve">The Roof Store</w:t>
      </w:r>
      <w:r>
        <w:t xml:space="preserve">”</w:t>
      </w:r>
      <w:r>
        <w:t xml:space="preserve"> </w:t>
      </w:r>
      <w:r>
        <w:t xml:space="preserve">with Complainant’s single company profile, demonstrating the mark’s function as a source identifier.</w:t>
      </w:r>
    </w:p>
    <w:p>
      <w:pPr>
        <w:numPr>
          <w:ilvl w:val="0"/>
          <w:numId w:val="1007"/>
        </w:numPr>
      </w:pPr>
      <w:r>
        <w:t xml:space="preserve">Respondent’s activities have caused actual consumer confusion. Exhibit T documents an instance where a South Florida consumer, querying about Spanish tile roofing—a specialty of Complainant—received an AI-generated response misattributing Respondent’s product details (including</w:t>
      </w:r>
      <w:r>
        <w:t xml:space="preserve"> </w:t>
      </w:r>
      <w:r>
        <w:t xml:space="preserve">“</w:t>
      </w:r>
      <w:r>
        <w:t xml:space="preserve">ASTM D8257</w:t>
      </w:r>
      <w:r>
        <w:t xml:space="preserve">”</w:t>
      </w:r>
      <w:r>
        <w:t xml:space="preserve"> </w:t>
      </w:r>
      <w:r>
        <w:t xml:space="preserve">and</w:t>
      </w:r>
      <w:r>
        <w:t xml:space="preserve"> </w:t>
      </w:r>
      <w:r>
        <w:t xml:space="preserve">“</w:t>
      </w:r>
      <w:r>
        <w:t xml:space="preserve">Florida Approval # 48228</w:t>
      </w:r>
      <w:r>
        <w:t xml:space="preserve">”</w:t>
      </w:r>
      <w:r>
        <w:t xml:space="preserve">) to Complainant (Annex T). These technical specifications match Respondent’s own published product listing verbatim.</w:t>
      </w:r>
    </w:p>
    <w:p>
      <w:pPr>
        <w:numPr>
          <w:ilvl w:val="0"/>
          <w:numId w:val="1007"/>
        </w:numPr>
      </w:pPr>
      <w:r>
        <w:t xml:space="preserve">In a brazen act of passing off, Respondent has titled one of its own products</w:t>
      </w:r>
      <w:r>
        <w:t xml:space="preserve"> </w:t>
      </w:r>
      <w:r>
        <w:t xml:space="preserve">“</w:t>
      </w:r>
      <w:r>
        <w:t xml:space="preserve">The Roof Store Synthetic Roofing Underlayment</w:t>
      </w:r>
      <w:r>
        <w:t xml:space="preserve">”</w:t>
      </w:r>
      <w:r>
        <w:t xml:space="preserve"> </w:t>
      </w:r>
      <w:r>
        <w:t xml:space="preserve">(Annex U). This embeds Complainant’s exact trade name into a product offered in direct competition, deliberately calculated to trade on Complainant’s goodwill.</w:t>
      </w:r>
    </w:p>
    <w:p>
      <w:pPr>
        <w:pStyle w:val="FirstParagraph"/>
      </w:pPr>
      <w:r>
        <w:rPr>
          <w:b/>
          <w:bCs/>
        </w:rPr>
        <w:t xml:space="preserve">V. LEGAL GROUNDS</w:t>
      </w:r>
    </w:p>
    <w:p>
      <w:pPr>
        <w:pStyle w:val="Body Text"/>
      </w:pPr>
      <w:r>
        <w:t xml:space="preserve">This Complaint is based on the following grounds, pursuant to Paragraph 4(a) of the Policy:</w:t>
      </w:r>
    </w:p>
    <w:p>
      <w:pPr>
        <w:pStyle w:val="Compact"/>
        <w:numPr>
          <w:ilvl w:val="0"/>
          <w:numId w:val="1008"/>
        </w:numPr>
      </w:pPr>
      <w:r>
        <w:t xml:space="preserve">The Disputed Domain Name is identical or confusingly similar to a trademark or service mark in which the Complainant has rights;</w:t>
      </w:r>
    </w:p>
    <w:p>
      <w:pPr>
        <w:pStyle w:val="Compact"/>
        <w:numPr>
          <w:ilvl w:val="0"/>
          <w:numId w:val="1008"/>
        </w:numPr>
      </w:pPr>
      <w:r>
        <w:t xml:space="preserve">The Respondent has no rights or legitimate interests in respect of the Disputed Domain Name; and</w:t>
      </w:r>
    </w:p>
    <w:p>
      <w:pPr>
        <w:pStyle w:val="Compact"/>
        <w:numPr>
          <w:ilvl w:val="0"/>
          <w:numId w:val="1008"/>
        </w:numPr>
      </w:pPr>
      <w:r>
        <w:t xml:space="preserve">The Disputed Domain Name has been registered and is being used in bad faith.</w:t>
      </w:r>
    </w:p>
    <w:p>
      <w:pPr>
        <w:pStyle w:val="FirstParagraph"/>
      </w:pPr>
      <w:r>
        <w:rPr>
          <w:b/>
          <w:bCs/>
        </w:rPr>
        <w:t xml:space="preserve">A. Complainant Has Rights in THE ROOF STORE Mark</w:t>
      </w:r>
    </w:p>
    <w:p>
      <w:pPr>
        <w:numPr>
          <w:ilvl w:val="0"/>
          <w:numId w:val="1009"/>
        </w:numPr>
      </w:pPr>
      <w:r>
        <w:t xml:space="preserve">Policy Paragraph 4(a)(i) requires the Complainant to establish that it has rights in a trademark or service mark. These rights can be established through common law. Here, Complainant has established strong common-law rights in the mark THE ROOF STORE through its acquisition of secondary meaning.</w:t>
      </w:r>
    </w:p>
    <w:p>
      <w:pPr>
        <w:numPr>
          <w:ilvl w:val="0"/>
          <w:numId w:val="1009"/>
        </w:numPr>
      </w:pPr>
      <w:r>
        <w:t xml:space="preserve">The mark THE ROOF STORE is descriptive of Complainant’s services. A descriptive mark becomes protectable upon a showing that it has acquired secondary meaning.</w:t>
      </w:r>
      <w:r>
        <w:t xml:space="preserve"> </w:t>
      </w:r>
      <w:r>
        <w:rPr>
          <w:i/>
          <w:iCs/>
        </w:rPr>
        <w:t xml:space="preserve">See Noveshen v. Bridgewater Associates, LP</w:t>
      </w:r>
      <w:r>
        <w:t xml:space="preserve">, 47 F. Supp. 3d 1367 (S.D. Fla. 2014) (https://www.cetient.com/case/noveshen-v-bridgewater-associates-lp-7308872) (noting that for an unregistered mark to be protectable, it must have acquired secondary meaning).</w:t>
      </w:r>
    </w:p>
    <w:p>
      <w:pPr>
        <w:numPr>
          <w:ilvl w:val="0"/>
          <w:numId w:val="1009"/>
        </w:numPr>
      </w:pPr>
      <w:r>
        <w:t xml:space="preserve">Complainant’s mark is descriptive, not generic. Generic terms, which refer to the genus of which the particular product is a species, can never acquire trademark protection.</w:t>
      </w:r>
      <w:r>
        <w:t xml:space="preserve"> </w:t>
      </w:r>
      <w:r>
        <w:rPr>
          <w:i/>
          <w:iCs/>
        </w:rPr>
        <w:t xml:space="preserve">United Oil Heat, Inc. v. M.J. Meehan Excavating, Inc.</w:t>
      </w:r>
      <w:r>
        <w:t xml:space="preserve">, 95 Mass. App. Ct. 579 (2019) (https://www.cetient.com/case/united-oil-heat-inc-v-mj-meehan-excavating-inc-4639402).</w:t>
      </w:r>
      <w:r>
        <w:t xml:space="preserve"> </w:t>
      </w:r>
      <w:r>
        <w:t xml:space="preserve">“</w:t>
      </w:r>
      <w:r>
        <w:t xml:space="preserve">The Roof Store</w:t>
      </w:r>
      <w:r>
        <w:t xml:space="preserve">”</w:t>
      </w:r>
      <w:r>
        <w:t xml:space="preserve"> </w:t>
      </w:r>
      <w:r>
        <w:t xml:space="preserve">does not refer to the genus of all roofing material providers; rather, it describes the</w:t>
      </w:r>
      <w:r>
        <w:t xml:space="preserve"> </w:t>
      </w:r>
      <w:r>
        <w:rPr>
          <w:i/>
          <w:iCs/>
        </w:rPr>
        <w:t xml:space="preserve">type</w:t>
      </w:r>
      <w:r>
        <w:t xml:space="preserve"> </w:t>
      </w:r>
      <w:r>
        <w:t xml:space="preserve">of retail service offered and is capable of identifying a single source.</w:t>
      </w:r>
    </w:p>
    <w:p>
      <w:pPr>
        <w:numPr>
          <w:ilvl w:val="0"/>
          <w:numId w:val="1009"/>
        </w:numPr>
      </w:pPr>
      <w:r>
        <w:t xml:space="preserve">Complainant has established secondary meaning through decades of exclusive use. Courts evaluate factors including: (1) direct consumer testimony; (2) consumer surveys; (3) exclusivity, length, and manner of use; (4) amount and manner of advertising; (5) amount of sales and number of customers; (6) established place in the market; and (7) proof of intentional copying.</w:t>
      </w:r>
      <w:r>
        <w:t xml:space="preserve"> </w:t>
      </w:r>
      <w:r>
        <w:rPr>
          <w:i/>
          <w:iCs/>
        </w:rPr>
        <w:t xml:space="preserve">See DeGidio v. West Group Corp.</w:t>
      </w:r>
      <w:r>
        <w:t xml:space="preserve">, 355 F.3d 506 (6th Cir. 2004) (https://www.cetient.com/case/degidio-v-west-group-corp-2971086);</w:t>
      </w:r>
      <w:r>
        <w:t xml:space="preserve"> </w:t>
      </w:r>
      <w:r>
        <w:rPr>
          <w:i/>
          <w:iCs/>
        </w:rPr>
        <w:t xml:space="preserve">Dudley v. HealthSource Chiropractic, Inc.</w:t>
      </w:r>
      <w:r>
        <w:t xml:space="preserve">, 585 F. Supp. 2d 433 (W.D.N.Y. 2008) (https://www.cetient.com/case/dudley-v-healthsource-chiropractic-inc-1406240).</w:t>
      </w:r>
    </w:p>
    <w:p>
      <w:pPr>
        <w:numPr>
          <w:ilvl w:val="0"/>
          <w:numId w:val="1009"/>
        </w:numPr>
      </w:pPr>
      <w:r>
        <w:t xml:space="preserve">Here, Complainant’s evidence is overwhelming:</w:t>
      </w:r>
    </w:p>
    <w:p>
      <w:pPr>
        <w:pStyle w:val="Compact"/>
        <w:numPr>
          <w:ilvl w:val="1"/>
          <w:numId w:val="1010"/>
        </w:numPr>
      </w:pPr>
      <w:r>
        <w:rPr>
          <w:b/>
          <w:bCs/>
        </w:rPr>
        <w:t xml:space="preserve">Exclusivity, Length, and Manner of Use:</w:t>
      </w:r>
      <w:r>
        <w:t xml:space="preserve"> </w:t>
      </w:r>
      <w:r>
        <w:t xml:space="preserve">30+ years of continuous, exclusive use since 1994 in the same geographic market.</w:t>
      </w:r>
    </w:p>
    <w:p>
      <w:pPr>
        <w:pStyle w:val="Compact"/>
        <w:numPr>
          <w:ilvl w:val="1"/>
          <w:numId w:val="1010"/>
        </w:numPr>
      </w:pPr>
      <w:r>
        <w:rPr>
          <w:b/>
          <w:bCs/>
        </w:rPr>
        <w:t xml:space="preserve">Established Place in the Market:</w:t>
      </w:r>
      <w:r>
        <w:t xml:space="preserve"> </w:t>
      </w:r>
      <w:r>
        <w:t xml:space="preserve">A physical facility, factory, verified business profile, and decades-long customer relationships in South Florida.</w:t>
      </w:r>
    </w:p>
    <w:p>
      <w:pPr>
        <w:pStyle w:val="Compact"/>
        <w:numPr>
          <w:ilvl w:val="1"/>
          <w:numId w:val="1010"/>
        </w:numPr>
      </w:pPr>
      <w:r>
        <w:rPr>
          <w:b/>
          <w:bCs/>
        </w:rPr>
        <w:t xml:space="preserve">Proof of Intentional Copying:</w:t>
      </w:r>
      <w:r>
        <w:t xml:space="preserve"> </w:t>
      </w:r>
      <w:r>
        <w:t xml:space="preserve">Respondent’s own conduct—soliciting Complainant directly (Annex S) and embedding its exact name in a product title (Annex U)—is the most compelling proof of intentional copying and recognition of the mark’s value.</w:t>
      </w:r>
    </w:p>
    <w:p>
      <w:pPr>
        <w:pStyle w:val="Compact"/>
        <w:numPr>
          <w:ilvl w:val="1"/>
          <w:numId w:val="1010"/>
        </w:numPr>
      </w:pPr>
      <w:r>
        <w:rPr>
          <w:b/>
          <w:bCs/>
        </w:rPr>
        <w:t xml:space="preserve">Marketplace Recognition:</w:t>
      </w:r>
      <w:r>
        <w:t xml:space="preserve"> </w:t>
      </w:r>
      <w:r>
        <w:t xml:space="preserve">The fact that Google’s AI associates the mark with a single source is direct evidence of secondary meaning.</w:t>
      </w:r>
    </w:p>
    <w:p>
      <w:pPr>
        <w:numPr>
          <w:ilvl w:val="0"/>
          <w:numId w:val="1009"/>
        </w:numPr>
      </w:pPr>
      <w:r>
        <w:t xml:space="preserve">Because the evidence establishes that the mark has acquired distinctiveness, it is protectable.</w:t>
      </w:r>
      <w:r>
        <w:t xml:space="preserve"> </w:t>
      </w:r>
      <w:r>
        <w:rPr>
          <w:i/>
          <w:iCs/>
        </w:rPr>
        <w:t xml:space="preserve">See In Re Seats, Inc.</w:t>
      </w:r>
      <w:r>
        <w:t xml:space="preserve">, 757 F.2d 274 (Fed. Cir. 1985) (https://www.cetient.com/case/in-re-seats-inc-449360);</w:t>
      </w:r>
      <w:r>
        <w:t xml:space="preserve"> </w:t>
      </w:r>
      <w:r>
        <w:rPr>
          <w:i/>
          <w:iCs/>
        </w:rPr>
        <w:t xml:space="preserve">In Re Bush Brothers &amp; Company</w:t>
      </w:r>
      <w:r>
        <w:t xml:space="preserve">, 884 F.2d 569 (Fed. Cir. 1989) (https://www.cetient.com/case/in-re-bush-brothers-company-528556);</w:t>
      </w:r>
      <w:r>
        <w:t xml:space="preserve"> </w:t>
      </w:r>
      <w:r>
        <w:rPr>
          <w:i/>
          <w:iCs/>
        </w:rPr>
        <w:t xml:space="preserve">Application of the Chesapeake Corporation of Virginia</w:t>
      </w:r>
      <w:r>
        <w:t xml:space="preserve">, 420 F.2d 754 (C.C.P.A. 1970) (https://www.cetient.com/case/application-of-the-chesapeake-corporation-of-virginia-288029). Complainant has therefore established rights in the mark THE ROOF STORE.</w:t>
      </w:r>
    </w:p>
    <w:p>
      <w:pPr>
        <w:pStyle w:val="FirstParagraph"/>
      </w:pPr>
      <w:r>
        <w:rPr>
          <w:b/>
          <w:bCs/>
        </w:rPr>
        <w:t xml:space="preserve">B. Element 1: The Disputed Domain Name is Identical or Confusingly Similar to Complainant’s Mark (Policy, ¶ 4(a)(i))</w:t>
      </w:r>
    </w:p>
    <w:p>
      <w:pPr>
        <w:numPr>
          <w:ilvl w:val="0"/>
          <w:numId w:val="1011"/>
        </w:numPr>
      </w:pPr>
      <w:r>
        <w:t xml:space="preserve">The test for confusing similarity under the Policy involves a straightforward comparison between the mark and the domain name. The Disputed Domain Name,</w:t>
      </w:r>
      <w:r>
        <w:t xml:space="preserve"> </w:t>
      </w:r>
      <w:r>
        <w:rPr>
          <w:b/>
          <w:bCs/>
        </w:rPr>
        <w:t xml:space="preserve">theroof.store</w:t>
      </w:r>
      <w:r>
        <w:t xml:space="preserve">, is confusingly similar to Complainant’s THE ROOF STORE mark.</w:t>
      </w:r>
    </w:p>
    <w:p>
      <w:pPr>
        <w:numPr>
          <w:ilvl w:val="0"/>
          <w:numId w:val="1011"/>
        </w:numPr>
      </w:pPr>
      <w:r>
        <w:t xml:space="preserve">The Disputed Domain Name incorporates the dominant and distinctive elements of Complainant’s mark in its entirety. The only differences are the omission of the space between</w:t>
      </w:r>
      <w:r>
        <w:t xml:space="preserve"> </w:t>
      </w:r>
      <w:r>
        <w:t xml:space="preserve">“</w:t>
      </w:r>
      <w:r>
        <w:t xml:space="preserve">roof</w:t>
      </w:r>
      <w:r>
        <w:t xml:space="preserve">”</w:t>
      </w:r>
      <w:r>
        <w:t xml:space="preserve"> </w:t>
      </w:r>
      <w:r>
        <w:t xml:space="preserve">and</w:t>
      </w:r>
      <w:r>
        <w:t xml:space="preserve"> </w:t>
      </w:r>
      <w:r>
        <w:t xml:space="preserve">“</w:t>
      </w:r>
      <w:r>
        <w:t xml:space="preserve">store</w:t>
      </w:r>
      <w:r>
        <w:t xml:space="preserve">”</w:t>
      </w:r>
      <w:r>
        <w:t xml:space="preserve"> </w:t>
      </w:r>
      <w:r>
        <w:t xml:space="preserve">and the addition of the generic top-level domain (</w:t>
      </w:r>
      <w:r>
        <w:t xml:space="preserve">“</w:t>
      </w:r>
      <w:r>
        <w:t xml:space="preserve">.store</w:t>
      </w:r>
      <w:r>
        <w:t xml:space="preserve">”</w:t>
      </w:r>
      <w:r>
        <w:t xml:space="preserve">), neither of which is sufficient to distinguish the domain name from the mark.</w:t>
      </w:r>
    </w:p>
    <w:p>
      <w:pPr>
        <w:numPr>
          <w:ilvl w:val="0"/>
          <w:numId w:val="1011"/>
        </w:numPr>
      </w:pPr>
      <w:r>
        <w:t xml:space="preserve">Adding descriptive terms or qualifiers does not negate confusing similarity.</w:t>
      </w:r>
      <w:r>
        <w:t xml:space="preserve"> </w:t>
      </w:r>
      <w:r>
        <w:rPr>
          <w:i/>
          <w:iCs/>
        </w:rPr>
        <w:t xml:space="preserve">See Smith v. Airbnb Incorporated</w:t>
      </w:r>
      <w:r>
        <w:t xml:space="preserve">, No. CV-23-01995, 2024 WL 13812836 (D. Ariz. Dec. 19, 2024) (https://www.cetient.com/case/smith-v-airbnb-incorporated-10297773);</w:t>
      </w:r>
      <w:r>
        <w:t xml:space="preserve"> </w:t>
      </w:r>
      <w:r>
        <w:rPr>
          <w:i/>
          <w:iCs/>
        </w:rPr>
        <w:t xml:space="preserve">Venetian Casino Resort, LLC v. Venetiangold.Com</w:t>
      </w:r>
      <w:r>
        <w:t xml:space="preserve">, 380 F. Supp. 2d 737 (E.D. Va. 2005) (https://www.cetient.com/case/venetian-casino-resort-llc-v-venetiangold-com-2461337). The gTLD</w:t>
      </w:r>
      <w:r>
        <w:t xml:space="preserve"> </w:t>
      </w:r>
      <w:r>
        <w:t xml:space="preserve">“</w:t>
      </w:r>
      <w:r>
        <w:t xml:space="preserve">.store</w:t>
      </w:r>
      <w:r>
        <w:t xml:space="preserve">”</w:t>
      </w:r>
      <w:r>
        <w:t xml:space="preserve"> </w:t>
      </w:r>
      <w:r>
        <w:t xml:space="preserve">is particularly confusing here, as it reinforces the commercial nature of Complainant’s mark.</w:t>
      </w:r>
    </w:p>
    <w:p>
      <w:pPr>
        <w:numPr>
          <w:ilvl w:val="0"/>
          <w:numId w:val="1011"/>
        </w:numPr>
      </w:pPr>
      <w:r>
        <w:t xml:space="preserve">Respondent’s adoption of a name that is, for all practical purposes, identical—</w:t>
      </w:r>
      <w:r>
        <w:t xml:space="preserve">“</w:t>
      </w:r>
      <w:r>
        <w:t xml:space="preserve">letter for letter</w:t>
      </w:r>
      <w:r>
        <w:t xml:space="preserve">”</w:t>
      </w:r>
      <w:r>
        <w:t xml:space="preserve">—is evidence of confusing similarity.</w:t>
      </w:r>
      <w:r>
        <w:t xml:space="preserve"> </w:t>
      </w:r>
      <w:r>
        <w:rPr>
          <w:i/>
          <w:iCs/>
        </w:rPr>
        <w:t xml:space="preserve">See Ready Capital Corporation v. READY CAPITAL CORPORATION</w:t>
      </w:r>
      <w:r>
        <w:t xml:space="preserve">, No. 20-CV-00788, 2020 WL 13337953 (S.D.N.Y. May 18, 2020) (https://www.cetient.com/case/ready-capital-corporation-v-ready-capital-corporation-9747356). Indeed, Respondent’s own product title,</w:t>
      </w:r>
      <w:r>
        <w:t xml:space="preserve"> </w:t>
      </w:r>
      <w:r>
        <w:t xml:space="preserve">“</w:t>
      </w:r>
      <w:r>
        <w:t xml:space="preserve">The Roof Store Synthetic Roofing Underlayment</w:t>
      </w:r>
      <w:r>
        <w:t xml:space="preserve">”</w:t>
      </w:r>
      <w:r>
        <w:t xml:space="preserve"> </w:t>
      </w:r>
      <w:r>
        <w:t xml:space="preserve">(Annex U), restores the space, demonstrating its awareness of and intent to copy the exact mark.</w:t>
      </w:r>
    </w:p>
    <w:p>
      <w:pPr>
        <w:pStyle w:val="FirstParagraph"/>
      </w:pPr>
      <w:r>
        <w:rPr>
          <w:b/>
          <w:bCs/>
        </w:rPr>
        <w:t xml:space="preserve">C. Element 2: Respondent Has No Rights or Legitimate Interests in the Disputed Domain Name (Policy, ¶ 4(a)(ii))</w:t>
      </w:r>
    </w:p>
    <w:p>
      <w:pPr>
        <w:numPr>
          <w:ilvl w:val="0"/>
          <w:numId w:val="1012"/>
        </w:numPr>
      </w:pPr>
      <w:r>
        <w:t xml:space="preserve">Respondent has no rights or legitimate interests in the Disputed Domain Name. The burden is on Complainant to make a</w:t>
      </w:r>
      <w:r>
        <w:t xml:space="preserve"> </w:t>
      </w:r>
      <w:r>
        <w:rPr>
          <w:i/>
          <w:iCs/>
        </w:rPr>
        <w:t xml:space="preserve">prima facie</w:t>
      </w:r>
      <w:r>
        <w:t xml:space="preserve"> </w:t>
      </w:r>
      <w:r>
        <w:t xml:space="preserve">case, after which the burden shifts to Respondent to demonstrate its rights or legitimate interests under Policy Paragraph 4(c).</w:t>
      </w:r>
    </w:p>
    <w:p>
      <w:pPr>
        <w:numPr>
          <w:ilvl w:val="0"/>
          <w:numId w:val="1012"/>
        </w:numPr>
      </w:pPr>
      <w:r>
        <w:t xml:space="preserve">Respondent is not commonly known by the Disputed Domain Name, and the name does not consist of Respondent’s legal name.</w:t>
      </w:r>
      <w:r>
        <w:t xml:space="preserve"> </w:t>
      </w:r>
      <w:r>
        <w:rPr>
          <w:i/>
          <w:iCs/>
        </w:rPr>
        <w:t xml:space="preserve">See Mira Holdings, Inc. v. ZoomerMedia, Ltd.</w:t>
      </w:r>
      <w:r>
        <w:t xml:space="preserve">, No. 22-CV-01865, 2023 WL 3862412 (D. Colo. June 7, 2023) (https://www.cetient.com/case/mira-holdings-inc-v-zoomermedia-ltd-9627556) (listing lack of IP rights and non-legal name as bad faith factors). Any adoption of the name post-dates the registration of the domain and cannot confer legitimacy.</w:t>
      </w:r>
      <w:r>
        <w:t xml:space="preserve"> </w:t>
      </w:r>
      <w:r>
        <w:rPr>
          <w:i/>
          <w:iCs/>
        </w:rPr>
        <w:t xml:space="preserve">See Blair v. Automobili Lamborghini S.p.A.</w:t>
      </w:r>
      <w:r>
        <w:t xml:space="preserve">, No. CV-24-00632, 2024 WL 14214227 (D. Ariz. Oct. 17, 2024) (https://www.cetient.com/case/blair-v-automobili-lamborghini-spa-10167275).</w:t>
      </w:r>
    </w:p>
    <w:p>
      <w:pPr>
        <w:numPr>
          <w:ilvl w:val="0"/>
          <w:numId w:val="1012"/>
        </w:numPr>
      </w:pPr>
      <w:r>
        <w:t xml:space="preserve">Complainant has never licensed, authorized, or otherwise permitted Respondent to use its THE ROOF STORE mark.</w:t>
      </w:r>
    </w:p>
    <w:p>
      <w:pPr>
        <w:numPr>
          <w:ilvl w:val="0"/>
          <w:numId w:val="1012"/>
        </w:numPr>
      </w:pPr>
      <w:r>
        <w:t xml:space="preserve">Respondent is not making a</w:t>
      </w:r>
      <w:r>
        <w:t xml:space="preserve"> </w:t>
      </w:r>
      <w:r>
        <w:rPr>
          <w:i/>
          <w:iCs/>
        </w:rPr>
        <w:t xml:space="preserve">bona fide</w:t>
      </w:r>
      <w:r>
        <w:t xml:space="preserve"> </w:t>
      </w:r>
      <w:r>
        <w:t xml:space="preserve">offering of goods or services or a legitimate noncommercial or fair use. Instead, Respondent is using the Disputed Domain Name to sell competing products, trading on the goodwill of Complainant’s mark to divert customers. This infringing use can never be considered</w:t>
      </w:r>
      <w:r>
        <w:t xml:space="preserve"> </w:t>
      </w:r>
      <w:r>
        <w:rPr>
          <w:i/>
          <w:iCs/>
        </w:rPr>
        <w:t xml:space="preserve">bona fide</w:t>
      </w:r>
      <w:r>
        <w:t xml:space="preserve">.</w:t>
      </w:r>
    </w:p>
    <w:p>
      <w:pPr>
        <w:pStyle w:val="FirstParagraph"/>
      </w:pPr>
      <w:r>
        <w:rPr>
          <w:b/>
          <w:bCs/>
        </w:rPr>
        <w:t xml:space="preserve">D. Element 3: The Disputed Domain Name Was Registered and is Being Used in Bad Faith (Policy, ¶ 4(a)(iii))</w:t>
      </w:r>
    </w:p>
    <w:p>
      <w:pPr>
        <w:numPr>
          <w:ilvl w:val="0"/>
          <w:numId w:val="1013"/>
        </w:numPr>
      </w:pPr>
      <w:r>
        <w:t xml:space="preserve">Respondent registered and is using the Disputed Domain Name in bad faith. Policy Paragraph 4(b) provides a non-exhaustive list of circumstances evidencing bad faith. Respondent’s conduct falls squarely within at least three of these provisions.</w:t>
      </w:r>
    </w:p>
    <w:p>
      <w:pPr>
        <w:numPr>
          <w:ilvl w:val="0"/>
          <w:numId w:val="1013"/>
        </w:numPr>
      </w:pPr>
      <w:r>
        <w:rPr>
          <w:b/>
          <w:bCs/>
        </w:rPr>
        <w:t xml:space="preserve">(Policy, ¶ 4(b)(iii)) Registration Primarily to Disrupt a Competitor’s Business.</w:t>
      </w:r>
      <w:r>
        <w:t xml:space="preserve"> </w:t>
      </w:r>
      <w:r>
        <w:t xml:space="preserve">Respondent uses the Disputed Domain Name for a website that offers products directly competitive with Complainant’s, targeting the same geographic market (South Florida). This is a clear attempt to disrupt Complainant’s business.</w:t>
      </w:r>
    </w:p>
    <w:p>
      <w:pPr>
        <w:numPr>
          <w:ilvl w:val="0"/>
          <w:numId w:val="1013"/>
        </w:numPr>
      </w:pPr>
      <w:r>
        <w:rPr>
          <w:b/>
          <w:bCs/>
        </w:rPr>
        <w:t xml:space="preserve">(Policy, ¶ 4(b)(iv)) Intentional Attempt to Attract Internet Users for Commercial Gain by Creating a Likelihood of Confusion.</w:t>
      </w:r>
      <w:r>
        <w:t xml:space="preserve"> </w:t>
      </w:r>
      <w:r>
        <w:t xml:space="preserve">Respondent’s entire business model with respect to the Disputed Domain Name is predicated on creating consumer confusion. By using a confusingly similar domain and embedding Complainant’s exact mark in its product titles (Annex U), Respondent intentionally creates a likelihood of confusion as to the source, sponsorship, affiliation, or endorsement of its website and products. The actual confusion documented in Annex T is the direct, intended result of this strategy. This constitutes a classic case of initial interest confusion.</w:t>
      </w:r>
      <w:r>
        <w:t xml:space="preserve"> </w:t>
      </w:r>
      <w:r>
        <w:rPr>
          <w:i/>
          <w:iCs/>
        </w:rPr>
        <w:t xml:space="preserve">See Jenzabar, Inc. v. Long Bow Group, Inc.</w:t>
      </w:r>
      <w:r>
        <w:t xml:space="preserve">, 82 Mass. App. Ct. 648 (2012) (https://www.cetient.com/case/jenzabar-inc-v-long-bow-group-inc-6589843).</w:t>
      </w:r>
    </w:p>
    <w:p>
      <w:pPr>
        <w:numPr>
          <w:ilvl w:val="0"/>
          <w:numId w:val="1013"/>
        </w:numPr>
      </w:pPr>
      <w:r>
        <w:rPr>
          <w:b/>
          <w:bCs/>
        </w:rPr>
        <w:t xml:space="preserve">Additional Evidence of Bad Faith:</w:t>
      </w:r>
    </w:p>
    <w:p>
      <w:pPr>
        <w:pStyle w:val="Compact"/>
        <w:numPr>
          <w:ilvl w:val="1"/>
          <w:numId w:val="1014"/>
        </w:numPr>
      </w:pPr>
      <w:r>
        <w:rPr>
          <w:b/>
          <w:bCs/>
        </w:rPr>
        <w:t xml:space="preserve">Actual Knowledge and Willful Blindness:</w:t>
      </w:r>
      <w:r>
        <w:t xml:space="preserve"> </w:t>
      </w:r>
      <w:r>
        <w:t xml:space="preserve">Respondent had actual knowledge of Complainant’s senior rights, as proven by the direct commercial solicitation in Annex S. Even without this</w:t>
      </w:r>
      <w:r>
        <w:t xml:space="preserve"> </w:t>
      </w:r>
      <w:r>
        <w:t xml:space="preserve">“</w:t>
      </w:r>
      <w:r>
        <w:t xml:space="preserve">smoking gun,</w:t>
      </w:r>
      <w:r>
        <w:t xml:space="preserve">”</w:t>
      </w:r>
      <w:r>
        <w:t xml:space="preserve"> </w:t>
      </w:r>
      <w:r>
        <w:t xml:space="preserve">any basic search would have revealed Complainant’s 27-year history and 20-year web presence. Failure to conduct such a search constitutes willful blindness.</w:t>
      </w:r>
      <w:r>
        <w:t xml:space="preserve"> </w:t>
      </w:r>
      <w:r>
        <w:rPr>
          <w:i/>
          <w:iCs/>
        </w:rPr>
        <w:t xml:space="preserve">See Eurotech, Inc. v. Cosmos European Travels Aktiengesellschaft</w:t>
      </w:r>
      <w:r>
        <w:t xml:space="preserve">, 213 F. Supp. 2d 612 (E.D. Va. 2002) (https://www.cetient.com/case/eurotech-inc-v-cosmos-european-travels-aktiengesellschaft-2361870). Bad faith applies at the time of registration and any re-registration.</w:t>
      </w:r>
      <w:r>
        <w:t xml:space="preserve"> </w:t>
      </w:r>
      <w:r>
        <w:rPr>
          <w:i/>
          <w:iCs/>
        </w:rPr>
        <w:t xml:space="preserve">See Xereas v. Heiss</w:t>
      </w:r>
      <w:r>
        <w:t xml:space="preserve">, 933 F. Supp. 2d 1 (D.D.C. 2013) (https://www.cetient.com/case/xereas-v-heiss-2660868).</w:t>
      </w:r>
    </w:p>
    <w:p>
      <w:pPr>
        <w:pStyle w:val="Compact"/>
        <w:numPr>
          <w:ilvl w:val="1"/>
          <w:numId w:val="1014"/>
        </w:numPr>
      </w:pPr>
      <w:r>
        <w:rPr>
          <w:b/>
          <w:bCs/>
        </w:rPr>
        <w:t xml:space="preserve">Passing Off:</w:t>
      </w:r>
      <w:r>
        <w:t xml:space="preserve"> </w:t>
      </w:r>
      <w:r>
        <w:t xml:space="preserve">Respondent’s use of</w:t>
      </w:r>
      <w:r>
        <w:t xml:space="preserve"> </w:t>
      </w:r>
      <w:r>
        <w:t xml:space="preserve">“</w:t>
      </w:r>
      <w:r>
        <w:t xml:space="preserve">The Roof Store Synthetic Roofing Underlayment</w:t>
      </w:r>
      <w:r>
        <w:t xml:space="preserve">”</w:t>
      </w:r>
      <w:r>
        <w:t xml:space="preserve"> </w:t>
      </w:r>
      <w:r>
        <w:t xml:space="preserve">is a direct act of passing off, intended to misappropriate Complainant’s goodwill.</w:t>
      </w:r>
      <w:r>
        <w:t xml:space="preserve"> </w:t>
      </w:r>
      <w:r>
        <w:rPr>
          <w:i/>
          <w:iCs/>
        </w:rPr>
        <w:t xml:space="preserve">See American Chicle Co. v. Topps Chewing Gum, Inc.</w:t>
      </w:r>
      <w:r>
        <w:t xml:space="preserve">, 210 F.2d 680 (2d Cir. 1954) (https://www.cetient.com/case/american-chicle-co-v-topps-chewing-gum-inc-233477).</w:t>
      </w:r>
    </w:p>
    <w:p>
      <w:pPr>
        <w:pStyle w:val="Compact"/>
        <w:numPr>
          <w:ilvl w:val="1"/>
          <w:numId w:val="1014"/>
        </w:numPr>
      </w:pPr>
      <w:r>
        <w:rPr>
          <w:b/>
          <w:bCs/>
        </w:rPr>
        <w:t xml:space="preserve">Actual Commercial Injury:</w:t>
      </w:r>
      <w:r>
        <w:t xml:space="preserve"> </w:t>
      </w:r>
      <w:r>
        <w:t xml:space="preserve">The documented confusion (Annex T) inflicted direct commercial injury by displacing Complainant’s product with Respondent’s at the moment of a purchase decision.</w:t>
      </w:r>
      <w:r>
        <w:t xml:space="preserve"> </w:t>
      </w:r>
      <w:r>
        <w:rPr>
          <w:i/>
          <w:iCs/>
        </w:rPr>
        <w:t xml:space="preserve">See Lion-Aire Corp. v. Lion Air Installation, Inc.</w:t>
      </w:r>
      <w:r>
        <w:t xml:space="preserve">, No. 22-CV-05047, 2024 WL 13490795 (E.D.N.Y. Aug. 27, 2024) (https://www.cetient.com/case/lion-aire-corp-v-lion-air-installation-inc-10192667). This is far more than a misdirected inquiry.</w:t>
      </w:r>
      <w:r>
        <w:t xml:space="preserve"> </w:t>
      </w:r>
      <w:r>
        <w:rPr>
          <w:i/>
          <w:iCs/>
        </w:rPr>
        <w:t xml:space="preserve">Cf. Sunenblick v. Harrell</w:t>
      </w:r>
      <w:r>
        <w:t xml:space="preserve">, 895 F. Supp. 616 (S.D.N.Y. 1995) (https://www.cetient.com/case/sunenblick-v-harrell-1570620);</w:t>
      </w:r>
      <w:r>
        <w:t xml:space="preserve"> </w:t>
      </w:r>
      <w:r>
        <w:rPr>
          <w:i/>
          <w:iCs/>
        </w:rPr>
        <w:t xml:space="preserve">RVC Floor Decor, Ltd. v. Floor &amp; Decor Holdings, Inc.</w:t>
      </w:r>
      <w:r>
        <w:t xml:space="preserve">, No. 19-CV-04192, 2023 WL 2388701 (E.D.N.Y. Mar. 7, 2023) (https://www.cetient.com/case/rvc-floor-decor-ltd-v-floor-decor-holdings-inc-9842702).</w:t>
      </w:r>
    </w:p>
    <w:p>
      <w:pPr>
        <w:numPr>
          <w:ilvl w:val="0"/>
          <w:numId w:val="1013"/>
        </w:numPr>
      </w:pPr>
      <w:r>
        <w:t xml:space="preserve">Considering the totality of the circumstances—including the long-standing use by Complainant, Respondent’s actual knowledge, the direct competition, the identical product naming, and the documented confusion—Respondent’s bad faith is undeniable.</w:t>
      </w:r>
      <w:r>
        <w:t xml:space="preserve"> </w:t>
      </w:r>
      <w:r>
        <w:rPr>
          <w:i/>
          <w:iCs/>
        </w:rPr>
        <w:t xml:space="preserve">See Bulbs 4 East Side, Inc. v. Ricks</w:t>
      </w:r>
      <w:r>
        <w:t xml:space="preserve">, 199 F. Supp. 3d 1151 (S.D. Tex. 2016) (https://www.cetient.com/case/bulbs-4-east-side-inc-v-ricks-7321436).</w:t>
      </w:r>
    </w:p>
    <w:p>
      <w:pPr>
        <w:pStyle w:val="FirstParagraph"/>
      </w:pPr>
      <w:r>
        <w:rPr>
          <w:b/>
          <w:bCs/>
        </w:rPr>
        <w:t xml:space="preserve">VI. RELIEF REQUESTED</w:t>
      </w:r>
    </w:p>
    <w:p>
      <w:pPr>
        <w:pStyle w:val="Compact"/>
        <w:numPr>
          <w:ilvl w:val="0"/>
          <w:numId w:val="1015"/>
        </w:numPr>
      </w:pPr>
      <w:r>
        <w:t xml:space="preserve">For all of the foregoing reasons, Complainant requests that the Administrative Panel appointed in this matter issue a decision that the Disputed Domain Name,</w:t>
      </w:r>
      <w:r>
        <w:t xml:space="preserve"> </w:t>
      </w:r>
      <w:r>
        <w:rPr>
          <w:b/>
          <w:bCs/>
        </w:rPr>
        <w:t xml:space="preserve">theroof.store</w:t>
      </w:r>
      <w:r>
        <w:t xml:space="preserve">, be transferred to the Complainant.</w:t>
      </w:r>
    </w:p>
    <w:p>
      <w:pPr>
        <w:pStyle w:val="FirstParagraph"/>
      </w:pPr>
      <w:r>
        <w:rPr>
          <w:b/>
          <w:bCs/>
        </w:rPr>
        <w:t xml:space="preserve">VII. CERTIFICATIONS AND SUBMISSION</w:t>
      </w:r>
    </w:p>
    <w:p>
      <w:pPr>
        <w:pStyle w:val="Body Text"/>
      </w:pPr>
      <w:r>
        <w:t xml:space="preserve">Complainant agrees that its claims and remedies concerning the registration of the Disputed Domain Name, the dispute, or the dispute’s resolution shall be solely against the domain-name holder and waives all such claims and remedies against (a) the dispute-resolution provider and panelists, except in the case of deliberate wrongdoing, (b) the registrar, (c) the registry administrator, and (d) the Internet Corporation for Assigned Names and Numbers, as well as their directors, officers, employees, and agents.</w:t>
      </w:r>
    </w:p>
    <w:p>
      <w:pPr>
        <w:pStyle w:val="Body Text"/>
      </w:pPr>
      <w:r>
        <w:t xml:space="preserve">Complainant certifies that the information contained in this Complaint is to the best of Complainant’s knowledge complete and accurate, that this Complaint is not being presented for any improper purpose, such as to harass, and that the assertions in this Complaint are warranted under the Rules and under applicable law, as it now exists or as it may be extended by a good-faith and reasonable argument.</w:t>
      </w:r>
    </w:p>
    <w:p>
      <w:pPr>
        <w:pStyle w:val="Body Text"/>
      </w:pPr>
      <w:r>
        <w:t xml:space="preserve">Respectfully submitted,</w:t>
      </w:r>
    </w:p>
    <w:p>
      <w:pPr>
        <w:pStyle w:val="Body Text"/>
      </w:pPr>
      <w:r>
        <w:t xml:space="preserve">/s/ [Counsel for Complainant]</w:t>
      </w:r>
      <w:r>
        <w:t xml:space="preserve"> </w:t>
      </w:r>
      <w:r>
        <w:t xml:space="preserve">[Counsel Name]</w:t>
      </w:r>
      <w:r>
        <w:t xml:space="preserve"> </w:t>
      </w:r>
      <w:r>
        <w:t xml:space="preserve">[Firm Name]</w:t>
      </w:r>
      <w:r>
        <w:t xml:space="preserve"> </w:t>
      </w:r>
      <w:r>
        <w:t xml:space="preserve">[Address]</w:t>
      </w:r>
      <w:r>
        <w:t xml:space="preserve"> </w:t>
      </w:r>
      <w:r>
        <w:t xml:space="preserve">[Phone]</w:t>
      </w:r>
      <w:r>
        <w:t xml:space="preserve"> </w:t>
      </w:r>
      <w:r>
        <w:t xml:space="preserve">[Email]</w:t>
      </w:r>
      <w:r>
        <w:t xml:space="preserve"> </w:t>
      </w:r>
      <w:r>
        <w:t xml:space="preserve">Attorneys for Complainant, The Roof Store</w:t>
      </w:r>
      <w:r>
        <w:t xml:space="preserve"> </w:t>
      </w:r>
      <w:r>
        <w:t xml:space="preserve">Dated: August 2, 2026</w:t>
      </w:r>
    </w:p>
    <w:p>
      <w:pPr>
        <w:pStyle w:val="Body Text"/>
      </w:pPr>
      <w:r>
        <w:rPr>
          <w:b/>
          <w:bCs/>
        </w:rPr>
        <w:t xml:space="preserve">VIII. ANNEXES</w:t>
      </w:r>
    </w:p>
    <w:p>
      <w:pPr>
        <w:pStyle w:val="Compact"/>
        <w:numPr>
          <w:ilvl w:val="0"/>
          <w:numId w:val="1016"/>
        </w:numPr>
      </w:pPr>
      <w:r>
        <w:t xml:space="preserve">Internet Archive records for</w:t>
      </w:r>
      <w:r>
        <w:t xml:space="preserve"> </w:t>
      </w:r>
      <w:r>
        <w:rPr>
          <w:i/>
          <w:iCs/>
        </w:rPr>
        <w:t xml:space="preserve">theroofstore.net</w:t>
      </w:r>
    </w:p>
    <w:p>
      <w:pPr>
        <w:pStyle w:val="Compact"/>
        <w:numPr>
          <w:ilvl w:val="0"/>
          <w:numId w:val="1016"/>
        </w:numPr>
      </w:pPr>
      <w:r>
        <w:t xml:space="preserve">Photographs of Complainant’s physical facility in Broward County, Florida</w:t>
      </w:r>
    </w:p>
    <w:p>
      <w:pPr>
        <w:pStyle w:val="Compact"/>
        <w:numPr>
          <w:ilvl w:val="0"/>
          <w:numId w:val="1016"/>
        </w:numPr>
      </w:pPr>
      <w:r>
        <w:t xml:space="preserve">Screenshot of Complainant’s verified Google Business Profile</w:t>
      </w:r>
    </w:p>
    <w:p>
      <w:pPr>
        <w:pStyle w:val="Compact"/>
        <w:numPr>
          <w:ilvl w:val="0"/>
          <w:numId w:val="1016"/>
        </w:numPr>
      </w:pPr>
      <w:r>
        <w:t xml:space="preserve">Annex S: Copy of commercial solicitation from Respondent to Complainant</w:t>
      </w:r>
    </w:p>
    <w:p>
      <w:pPr>
        <w:pStyle w:val="Compact"/>
        <w:numPr>
          <w:ilvl w:val="0"/>
          <w:numId w:val="1016"/>
        </w:numPr>
      </w:pPr>
      <w:r>
        <w:t xml:space="preserve">Annex T: Screenshot and documentation of AI-generated consumer confusion</w:t>
      </w:r>
    </w:p>
    <w:p>
      <w:pPr>
        <w:pStyle w:val="Compact"/>
        <w:numPr>
          <w:ilvl w:val="0"/>
          <w:numId w:val="1016"/>
        </w:numPr>
      </w:pPr>
      <w:r>
        <w:t xml:space="preserve">Annex U: Screenshot of Respondent’s website showing the product</w:t>
      </w:r>
      <w:r>
        <w:t xml:space="preserve"> </w:t>
      </w:r>
      <w:r>
        <w:t xml:space="preserve">“</w:t>
      </w:r>
      <w:r>
        <w:t xml:space="preserve">The Roof Store Synthetic Roofing Underlayment</w:t>
      </w:r>
      <w:r>
        <w:t xml:space="preserve">”</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1"/>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Normal" w:type="paragraph">
    <w:name w:val="Normal"/>
    <w:next w:val="Normal"/>
    <w:qFormat/>
    <w:pPr>
      <w:spacing w:after="0" w:before="0" w:line="480"/>
    </w:pPr>
    <w:rPr>
      <w:rFonts w:ascii="Times New Roman" w:cs="Times New Roman" w:eastAsia="Times New Roman" w:hAnsi="Times New Roman"/>
      <w:sz w:val="24"/>
      <w:szCs w:val="24"/>
    </w:rPr>
  </w:style>
  <w:style w:styleId="Body Text" w:type="paragraph">
    <w:name w:val="Body Text"/>
    <w:next w:val="Body Text"/>
    <w:qFormat/>
    <w:pPr>
      <w:spacing w:after="0" w:before="0" w:line="48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2026-08-02T22:41:59Z</dcterms:created>
  <dcterms:modified xsi:type="dcterms:W3CDTF">2026-08-02T22:41:59Z</dcterms:modified>
</cp:coreProperties>
</file>

<file path=docProps/custom.xml><?xml version="1.0" encoding="utf-8"?>
<Properties xmlns="http://schemas.openxmlformats.org/officeDocument/2006/custom-properties" xmlns:vt="http://schemas.openxmlformats.org/officeDocument/2006/docPropsVTypes"/>
</file>