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BRIEF OF COMPLAINANT THE ROOF STORE IN SUPPORT OF CLAIM OF TRADEMARK INFRINGEMENT, UNFAIR COMPETITION, AND BAD-FAITH DOMAIN REGISTRATION</w:t>
      </w:r>
    </w:p>
    <w:p>
      <w:pPr>
        <w:pStyle w:val="Body Text"/>
      </w:pPr>
      <w:r>
        <w:rPr>
          <w:b/>
          <w:bCs/>
        </w:rPr>
        <w:t xml:space="preserve">PRELIMINARY STATEMENT</w:t>
      </w:r>
    </w:p>
    <w:p>
      <w:pPr>
        <w:pStyle w:val="Body Text"/>
      </w:pPr>
      <w:r>
        <w:t xml:space="preserve">Complainant, The Roof Store, has used its trade name in commerce since 1994 and has maintained a continuous web presence at theroofstore.net since at least April 2001 (Internet Archive). Respondent registered theroof.store on August 13, 2021, and has since used it to market competing roofing products into Complainant’s established territory. This brief demonstrates that Complainant’s mark has acquired secondary meaning; that Complainant holds senior common-law rights in Florida; that Respondent acted in bad faith; that Respondent’s product titling constitutes passing off; and that actual consumer confusion has been documented. For the reasons set forth herein, Complainant respectfully requests that the domain</w:t>
      </w:r>
      <w:r>
        <w:t xml:space="preserve"> </w:t>
      </w:r>
      <w:r>
        <w:rPr>
          <w:i/>
          <w:iCs/>
        </w:rPr>
        <w:t xml:space="preserve">theroof.store</w:t>
      </w:r>
      <w:r>
        <w:t xml:space="preserve"> </w:t>
      </w:r>
      <w:r>
        <w:t xml:space="preserve">be transferred and that appropriate injunctive relief be granted.</w:t>
      </w:r>
    </w:p>
    <w:p>
      <w:pPr>
        <w:pStyle w:val="Body Text"/>
      </w:pPr>
      <w:r>
        <w:rPr>
          <w:b/>
          <w:bCs/>
        </w:rPr>
        <w:t xml:space="preserve">STATEMENT OF FACTS</w:t>
      </w:r>
    </w:p>
    <w:p>
      <w:pPr>
        <w:pStyle w:val="Compact"/>
        <w:numPr>
          <w:ilvl w:val="0"/>
          <w:numId w:val="1001"/>
        </w:numPr>
      </w:pPr>
      <w:r>
        <w:t xml:space="preserve">Complainant has used</w:t>
      </w:r>
      <w:r>
        <w:t xml:space="preserve"> </w:t>
      </w:r>
      <w:r>
        <w:t xml:space="preserve">“</w:t>
      </w:r>
      <w:r>
        <w:t xml:space="preserve">The Roof Store</w:t>
      </w:r>
      <w:r>
        <w:t xml:space="preserve">”</w:t>
      </w:r>
      <w:r>
        <w:t xml:space="preserve"> </w:t>
      </w:r>
      <w:r>
        <w:t xml:space="preserve">continuously in commerce since 1994 in connection with the sale of roofing materials and related services.</w:t>
      </w:r>
    </w:p>
    <w:p>
      <w:pPr>
        <w:pStyle w:val="Compact"/>
        <w:numPr>
          <w:ilvl w:val="0"/>
          <w:numId w:val="1001"/>
        </w:numPr>
      </w:pPr>
      <w:r>
        <w:t xml:space="preserve">Complainant registered the domain name</w:t>
      </w:r>
      <w:r>
        <w:t xml:space="preserve"> </w:t>
      </w:r>
      <w:r>
        <w:rPr>
          <w:i/>
          <w:iCs/>
        </w:rPr>
        <w:t xml:space="preserve">theroofstore.net</w:t>
      </w:r>
      <w:r>
        <w:t xml:space="preserve"> </w:t>
      </w:r>
      <w:r>
        <w:t xml:space="preserve">on July 29, 2002, and has maintained a continuous web presence since at least April 2001, per records from the Internet Archive.</w:t>
      </w:r>
    </w:p>
    <w:p>
      <w:pPr>
        <w:pStyle w:val="Compact"/>
        <w:numPr>
          <w:ilvl w:val="0"/>
          <w:numId w:val="1001"/>
        </w:numPr>
      </w:pPr>
      <w:r>
        <w:t xml:space="preserve">Complainant operates an established physical facility and factory operations in Broward County, Florida, under The Roof Store name.</w:t>
      </w:r>
    </w:p>
    <w:p>
      <w:pPr>
        <w:pStyle w:val="Compact"/>
        <w:numPr>
          <w:ilvl w:val="0"/>
          <w:numId w:val="1001"/>
        </w:numPr>
      </w:pPr>
      <w:r>
        <w:t xml:space="preserve">Complainant maintains a verified Google Business Profile, enjoys decades of established customer relationships in South Florida, and has created an indexed body of web content under its mark.</w:t>
      </w:r>
    </w:p>
    <w:p>
      <w:pPr>
        <w:pStyle w:val="Compact"/>
        <w:numPr>
          <w:ilvl w:val="0"/>
          <w:numId w:val="1001"/>
        </w:numPr>
      </w:pPr>
      <w:r>
        <w:t xml:space="preserve">Respondent registered the domain name</w:t>
      </w:r>
      <w:r>
        <w:t xml:space="preserve"> </w:t>
      </w:r>
      <w:r>
        <w:rPr>
          <w:i/>
          <w:iCs/>
        </w:rPr>
        <w:t xml:space="preserve">theroof.store</w:t>
      </w:r>
      <w:r>
        <w:t xml:space="preserve"> </w:t>
      </w:r>
      <w:r>
        <w:t xml:space="preserve">on August 13, 2021, more than 27 years after Complainant commenced use of its mark and nearly 20 years after Complainant established its digital footprint.</w:t>
      </w:r>
    </w:p>
    <w:p>
      <w:pPr>
        <w:pStyle w:val="Compact"/>
        <w:numPr>
          <w:ilvl w:val="0"/>
          <w:numId w:val="1001"/>
        </w:numPr>
      </w:pPr>
      <w:r>
        <w:t xml:space="preserve">On July 28, 2026, Respondent sent a direct commercial solicitation to Complainant’s business address. (</w:t>
      </w:r>
      <w:r>
        <w:rPr>
          <w:i/>
          <w:iCs/>
        </w:rPr>
        <w:t xml:space="preserve">See</w:t>
      </w:r>
      <w:r>
        <w:t xml:space="preserve"> </w:t>
      </w:r>
      <w:r>
        <w:t xml:space="preserve">Exhibit S). This solicitation demonstrates Respondent’s actual knowledge of Complainant’s existence, its trade name, and its line of business prior to this action.</w:t>
      </w:r>
    </w:p>
    <w:p>
      <w:pPr>
        <w:pStyle w:val="Compact"/>
        <w:numPr>
          <w:ilvl w:val="0"/>
          <w:numId w:val="1001"/>
        </w:numPr>
      </w:pPr>
      <w:r>
        <w:t xml:space="preserve">Respondent markets and sells competing roofing products directly into the State of Florida, including in South Florida, the precise geographic market where Complainant’s common-law rights are strongest.</w:t>
      </w:r>
    </w:p>
    <w:p>
      <w:pPr>
        <w:pStyle w:val="Compact"/>
        <w:numPr>
          <w:ilvl w:val="0"/>
          <w:numId w:val="1001"/>
        </w:numPr>
      </w:pPr>
      <w:r>
        <w:t xml:space="preserve">Marketplace recognition of Complainant’s mark is so strong that Google’s AI systems associate the mark</w:t>
      </w:r>
      <w:r>
        <w:t xml:space="preserve"> </w:t>
      </w:r>
      <w:r>
        <w:t xml:space="preserve">“</w:t>
      </w:r>
      <w:r>
        <w:t xml:space="preserve">The Roof Store</w:t>
      </w:r>
      <w:r>
        <w:t xml:space="preserve">”</w:t>
      </w:r>
      <w:r>
        <w:t xml:space="preserve"> </w:t>
      </w:r>
      <w:r>
        <w:t xml:space="preserve">with Complainant’s single company profile.</w:t>
      </w:r>
    </w:p>
    <w:p>
      <w:pPr>
        <w:pStyle w:val="Compact"/>
        <w:numPr>
          <w:ilvl w:val="0"/>
          <w:numId w:val="1001"/>
        </w:numPr>
      </w:pPr>
      <w:r>
        <w:t xml:space="preserve">On a date captured in Exhibit T, a consumer in South Florida performing a query about Spanish tile roofing—a specialty of Complainant—received an AI-generated response that misattributed Respondent’s product details to Complainant. The response contained technical specifications, including</w:t>
      </w:r>
      <w:r>
        <w:t xml:space="preserve"> </w:t>
      </w:r>
      <w:r>
        <w:t xml:space="preserve">“</w:t>
      </w:r>
      <w:r>
        <w:t xml:space="preserve">ASTM D8257</w:t>
      </w:r>
      <w:r>
        <w:t xml:space="preserve">”</w:t>
      </w:r>
      <w:r>
        <w:t xml:space="preserve"> </w:t>
      </w:r>
      <w:r>
        <w:t xml:space="preserve">and</w:t>
      </w:r>
      <w:r>
        <w:t xml:space="preserve"> </w:t>
      </w:r>
      <w:r>
        <w:t xml:space="preserve">“</w:t>
      </w:r>
      <w:r>
        <w:t xml:space="preserve">Florida Approval # 48228,</w:t>
      </w:r>
      <w:r>
        <w:t xml:space="preserve">”</w:t>
      </w:r>
      <w:r>
        <w:t xml:space="preserve"> </w:t>
      </w:r>
      <w:r>
        <w:t xml:space="preserve">which match Respondent’s own published product listing verbatim. (</w:t>
      </w:r>
      <w:r>
        <w:rPr>
          <w:i/>
          <w:iCs/>
        </w:rPr>
        <w:t xml:space="preserve">Compare</w:t>
      </w:r>
      <w:r>
        <w:t xml:space="preserve"> </w:t>
      </w:r>
      <w:r>
        <w:t xml:space="preserve">Exhibit T</w:t>
      </w:r>
      <w:r>
        <w:t xml:space="preserve"> </w:t>
      </w:r>
      <w:r>
        <w:rPr>
          <w:i/>
          <w:iCs/>
        </w:rPr>
        <w:t xml:space="preserve">with</w:t>
      </w:r>
      <w:r>
        <w:t xml:space="preserve"> </w:t>
      </w:r>
      <w:r>
        <w:t xml:space="preserve">Exhibit U).</w:t>
      </w:r>
    </w:p>
    <w:p>
      <w:pPr>
        <w:pStyle w:val="Compact"/>
        <w:numPr>
          <w:ilvl w:val="0"/>
          <w:numId w:val="1001"/>
        </w:numPr>
      </w:pPr>
      <w:r>
        <w:t xml:space="preserve">Respondent has titled one of its products</w:t>
      </w:r>
      <w:r>
        <w:t xml:space="preserve"> </w:t>
      </w:r>
      <w:r>
        <w:t xml:space="preserve">“</w:t>
      </w:r>
      <w:r>
        <w:t xml:space="preserve">The Roof Store Synthetic Roofing Underlayment.</w:t>
      </w:r>
      <w:r>
        <w:t xml:space="preserve">”</w:t>
      </w:r>
      <w:r>
        <w:t xml:space="preserve"> </w:t>
      </w:r>
      <w:r>
        <w:t xml:space="preserve">(</w:t>
      </w:r>
      <w:r>
        <w:rPr>
          <w:i/>
          <w:iCs/>
        </w:rPr>
        <w:t xml:space="preserve">See</w:t>
      </w:r>
      <w:r>
        <w:t xml:space="preserve"> </w:t>
      </w:r>
      <w:r>
        <w:t xml:space="preserve">Exhibit U). This product title embeds Complainant’s exact trade name, with the space between words restored, into a product offered in direct competition with Complainant.</w:t>
      </w:r>
    </w:p>
    <w:p>
      <w:pPr>
        <w:pStyle w:val="FirstParagraph"/>
      </w:pPr>
      <w:r>
        <w:rPr>
          <w:b/>
          <w:bCs/>
        </w:rPr>
        <w:t xml:space="preserve">ARGUMENT</w:t>
      </w:r>
    </w:p>
    <w:p>
      <w:pPr>
        <w:pStyle w:val="Body Text"/>
      </w:pPr>
      <w:r>
        <w:rPr>
          <w:b/>
          <w:bCs/>
        </w:rPr>
        <w:t xml:space="preserve">I. THE MARK</w:t>
      </w:r>
      <w:r>
        <w:rPr>
          <w:b/>
          <w:bCs/>
        </w:rPr>
        <w:t xml:space="preserve"> </w:t>
      </w:r>
      <w:r>
        <w:rPr>
          <w:b/>
          <w:bCs/>
        </w:rPr>
        <w:t xml:space="preserve">“</w:t>
      </w:r>
      <w:r>
        <w:rPr>
          <w:b/>
          <w:bCs/>
        </w:rPr>
        <w:t xml:space="preserve">THE ROOF STORE</w:t>
      </w:r>
      <w:r>
        <w:rPr>
          <w:b/>
          <w:bCs/>
        </w:rPr>
        <w:t xml:space="preserve">”</w:t>
      </w:r>
      <w:r>
        <w:rPr>
          <w:b/>
          <w:bCs/>
        </w:rPr>
        <w:t xml:space="preserve"> </w:t>
      </w:r>
      <w:r>
        <w:rPr>
          <w:b/>
          <w:bCs/>
        </w:rPr>
        <w:t xml:space="preserve">HAS ACQUIRED SECONDARY MEANING THROUGH MORE THAN THREE DECADES OF CONTINUOUS, EXCLUSIVE USE</w:t>
      </w:r>
    </w:p>
    <w:p>
      <w:pPr>
        <w:pStyle w:val="Body Text"/>
      </w:pPr>
      <w:r>
        <w:t xml:space="preserve">While a descriptive mark is not inherently distinctive, it becomes protectable under common law once it has acquired</w:t>
      </w:r>
      <w:r>
        <w:t xml:space="preserve"> </w:t>
      </w:r>
      <w:r>
        <w:t xml:space="preserve">“</w:t>
      </w:r>
      <w:r>
        <w:t xml:space="preserve">secondary meaning</w:t>
      </w:r>
      <w:r>
        <w:t xml:space="preserve">”</w:t>
      </w:r>
      <w:r>
        <w:t xml:space="preserve">—that is, when</w:t>
      </w:r>
      <w:r>
        <w:t xml:space="preserve"> </w:t>
      </w:r>
      <w:r>
        <w:t xml:space="preserve">“</w:t>
      </w:r>
      <w:r>
        <w:t xml:space="preserve">in the minds of the public, the primary significance of a product feature or term is to identify the source of the product rather than the product itself.</w:t>
      </w:r>
      <w:r>
        <w:t xml:space="preserve">”</w:t>
      </w:r>
      <w:r>
        <w:t xml:space="preserve"> </w:t>
      </w:r>
      <w:r>
        <w:rPr>
          <w:i/>
          <w:iCs/>
        </w:rPr>
        <w:t xml:space="preserve">Inwood Labs., Inc. v. Ives Labs., Inc.</w:t>
      </w:r>
      <w:r>
        <w:t xml:space="preserve">, 456 U.S. 844, 851 n.11 (1982). Here, more than three decades of continuous and exclusive use have imbued</w:t>
      </w:r>
      <w:r>
        <w:t xml:space="preserve"> </w:t>
      </w:r>
      <w:r>
        <w:t xml:space="preserve">“</w:t>
      </w:r>
      <w:r>
        <w:t xml:space="preserve">The Roof Store</w:t>
      </w:r>
      <w:r>
        <w:t xml:space="preserve">”</w:t>
      </w:r>
      <w:r>
        <w:t xml:space="preserve"> </w:t>
      </w:r>
      <w:r>
        <w:t xml:space="preserve">with robust secondary meaning.</w:t>
      </w:r>
    </w:p>
    <w:p>
      <w:pPr>
        <w:pStyle w:val="Body Text"/>
      </w:pPr>
      <w:r>
        <w:t xml:space="preserve">The Federal Circuit has made clear that the threshold question is not whether a term</w:t>
      </w:r>
      <w:r>
        <w:t xml:space="preserve"> </w:t>
      </w:r>
      <w:r>
        <w:rPr>
          <w:i/>
          <w:iCs/>
        </w:rPr>
        <w:t xml:space="preserve">could</w:t>
      </w:r>
      <w:r>
        <w:t xml:space="preserve"> </w:t>
      </w:r>
      <w:r>
        <w:t xml:space="preserve">acquire distinctiveness, but whether the evidence shows it</w:t>
      </w:r>
      <w:r>
        <w:t xml:space="preserve"> </w:t>
      </w:r>
      <w:r>
        <w:rPr>
          <w:i/>
          <w:iCs/>
        </w:rPr>
        <w:t xml:space="preserve">has</w:t>
      </w:r>
      <w:r>
        <w:t xml:space="preserve">.</w:t>
      </w:r>
      <w:r>
        <w:t xml:space="preserve"> </w:t>
      </w:r>
      <w:r>
        <w:rPr>
          <w:i/>
          <w:iCs/>
        </w:rPr>
        <w:t xml:space="preserve">See In Re Seats, Inc.</w:t>
      </w:r>
      <w:r>
        <w:t xml:space="preserve">, 757 F.2d 274, 277 (Fed. Cir. 1985) (https://www.cetient.com/case/in-re-seats-inc-449360) (</w:t>
      </w:r>
      <w:r>
        <w:t xml:space="preserve">“</w:t>
      </w:r>
      <w:r>
        <w:t xml:space="preserve">Whether terms not sought to be registered could or could not acquire distinctiveness is irrelevant where, as here, the claim is that the mark sought to be registered has acquired distinctiveness and the Board has found that the evidence establishes the truth of that claim.</w:t>
      </w:r>
      <w:r>
        <w:t xml:space="preserve">”</w:t>
      </w:r>
      <w:r>
        <w:t xml:space="preserve">). The inquiry is a factual one.</w:t>
      </w:r>
      <w:r>
        <w:t xml:space="preserve"> </w:t>
      </w:r>
      <w:r>
        <w:rPr>
          <w:i/>
          <w:iCs/>
        </w:rPr>
        <w:t xml:space="preserve">See In Re Bush Brothers &amp; Company</w:t>
      </w:r>
      <w:r>
        <w:t xml:space="preserve">, 884 F.2d 569, 572 n.3 (Fed. Cir. 1989) (https://www.cetient.com/case/in-re-bush-brothers-company-528556) (</w:t>
      </w:r>
      <w:r>
        <w:t xml:space="preserve">“</w:t>
      </w:r>
      <w:r>
        <w:t xml:space="preserve">[W]hether a particular term has the capability of acquiring secondary meaning is no more a question of policy than is any other determination based on specific facts.</w:t>
      </w:r>
      <w:r>
        <w:t xml:space="preserve">”</w:t>
      </w:r>
      <w:r>
        <w:t xml:space="preserve">). Even a highly descriptive unitary designation can acquire distinctiveness when it is</w:t>
      </w:r>
      <w:r>
        <w:t xml:space="preserve"> </w:t>
      </w:r>
      <w:r>
        <w:t xml:space="preserve">“</w:t>
      </w:r>
      <w:r>
        <w:t xml:space="preserve">considered to be distinctive of appellant’s goods by those in the trade.</w:t>
      </w:r>
      <w:r>
        <w:t xml:space="preserve">”</w:t>
      </w:r>
      <w:r>
        <w:t xml:space="preserve"> </w:t>
      </w:r>
      <w:r>
        <w:rPr>
          <w:i/>
          <w:iCs/>
        </w:rPr>
        <w:t xml:space="preserve">Application of the Chesapeake Corporation of Virginia</w:t>
      </w:r>
      <w:r>
        <w:t xml:space="preserve">, 420 F.2d 754, 757 (C.C.P.A. 1970) (https://www.cetient.com/case/application-of-the-chesapeake-corporation-of-virginia-288029).</w:t>
      </w:r>
    </w:p>
    <w:p>
      <w:pPr>
        <w:pStyle w:val="Body Text"/>
      </w:pPr>
      <w:r>
        <w:t xml:space="preserve">Courts evaluate secondary meaning by considering factors such as: (1) advertising expenditures, (2) length and exclusivity of use, (3) manner of use, (4) consumer studies, (5) sales success, and (6) media recognition.</w:t>
      </w:r>
      <w:r>
        <w:t xml:space="preserve"> </w:t>
      </w:r>
      <w:r>
        <w:rPr>
          <w:i/>
          <w:iCs/>
        </w:rPr>
        <w:t xml:space="preserve">Dudley v. HealthSource Chiropractic, Inc.</w:t>
      </w:r>
      <w:r>
        <w:t xml:space="preserve">, 585 F. Supp. 2d 433, 441 (W.D.N.Y. 2008) (https://www.cetient.com/case/dudley-v-healthsource-chiropractic-inc-1406240). Here, the evidence overwhelmingly favors Complainant:</w:t>
      </w:r>
    </w:p>
    <w:p>
      <w:pPr>
        <w:pStyle w:val="Compact"/>
        <w:numPr>
          <w:ilvl w:val="0"/>
          <w:numId w:val="1002"/>
        </w:numPr>
      </w:pPr>
      <w:r>
        <w:rPr>
          <w:b/>
          <w:bCs/>
        </w:rPr>
        <w:t xml:space="preserve">Length and Exclusivity of Use:</w:t>
      </w:r>
      <w:r>
        <w:t xml:space="preserve"> </w:t>
      </w:r>
      <w:r>
        <w:t xml:space="preserve">Complainant used</w:t>
      </w:r>
      <w:r>
        <w:t xml:space="preserve"> </w:t>
      </w:r>
      <w:r>
        <w:t xml:space="preserve">“</w:t>
      </w:r>
      <w:r>
        <w:t xml:space="preserve">The Roof Store</w:t>
      </w:r>
      <w:r>
        <w:t xml:space="preserve">”</w:t>
      </w:r>
      <w:r>
        <w:t xml:space="preserve"> </w:t>
      </w:r>
      <w:r>
        <w:t xml:space="preserve">exclusively in the Florida market for over 27 years before Respondent’s registration.</w:t>
      </w:r>
    </w:p>
    <w:p>
      <w:pPr>
        <w:pStyle w:val="Compact"/>
        <w:numPr>
          <w:ilvl w:val="0"/>
          <w:numId w:val="1002"/>
        </w:numPr>
      </w:pPr>
      <w:r>
        <w:rPr>
          <w:b/>
          <w:bCs/>
        </w:rPr>
        <w:t xml:space="preserve">Manner of Use:</w:t>
      </w:r>
      <w:r>
        <w:t xml:space="preserve"> </w:t>
      </w:r>
      <w:r>
        <w:t xml:space="preserve">Complainant operates a substantial physical facility and factory in Broward County under the mark and maintains a verified Google Business Profile, an indexed body of web content, and decades of customer relationships tied to the name.</w:t>
      </w:r>
    </w:p>
    <w:p>
      <w:pPr>
        <w:pStyle w:val="Compact"/>
        <w:numPr>
          <w:ilvl w:val="0"/>
          <w:numId w:val="1002"/>
        </w:numPr>
      </w:pPr>
      <w:r>
        <w:rPr>
          <w:b/>
          <w:bCs/>
        </w:rPr>
        <w:t xml:space="preserve">Marketplace Recognition:</w:t>
      </w:r>
      <w:r>
        <w:t xml:space="preserve"> </w:t>
      </w:r>
      <w:r>
        <w:t xml:space="preserve">Most tellingly, Google’s own AI systems now associate the mark</w:t>
      </w:r>
      <w:r>
        <w:t xml:space="preserve"> </w:t>
      </w:r>
      <w:r>
        <w:t xml:space="preserve">“</w:t>
      </w:r>
      <w:r>
        <w:t xml:space="preserve">The Roof Store</w:t>
      </w:r>
      <w:r>
        <w:t xml:space="preserve">”</w:t>
      </w:r>
      <w:r>
        <w:t xml:space="preserve"> </w:t>
      </w:r>
      <w:r>
        <w:t xml:space="preserve">with Complainant’s single company profile, proving that the marketplace itself treats the name as a source identifier, not a generic description.</w:t>
      </w:r>
    </w:p>
    <w:p>
      <w:pPr>
        <w:pStyle w:val="FirstParagraph"/>
      </w:pPr>
      <w:r>
        <w:t xml:space="preserve">This is not a case where a plaintiff presents a</w:t>
      </w:r>
      <w:r>
        <w:t xml:space="preserve"> </w:t>
      </w:r>
      <w:r>
        <w:t xml:space="preserve">“</w:t>
      </w:r>
      <w:r>
        <w:t xml:space="preserve">relatively weak</w:t>
      </w:r>
      <w:r>
        <w:t xml:space="preserve">”</w:t>
      </w:r>
      <w:r>
        <w:t xml:space="preserve"> </w:t>
      </w:r>
      <w:r>
        <w:t xml:space="preserve">showing of marketplace distinctiveness due to a lack of evidence.</w:t>
      </w:r>
      <w:r>
        <w:t xml:space="preserve"> </w:t>
      </w:r>
      <w:r>
        <w:rPr>
          <w:i/>
          <w:iCs/>
        </w:rPr>
        <w:t xml:space="preserve">Cf. Marlinspike Hall LLC v. Bar Lab Concepts LLC</w:t>
      </w:r>
      <w:r>
        <w:t xml:space="preserve">, No. 22-CV-7557, 2023 WL 6851224, at *12 (S.D.N.Y. Oct. 17, 2023) (https://www.cetient.com/case/marlinspike-hall-llc-v-bar-lab-concepts-llc-9888638). Rather, like the plaintiff in</w:t>
      </w:r>
      <w:r>
        <w:t xml:space="preserve"> </w:t>
      </w:r>
      <w:r>
        <w:rPr>
          <w:i/>
          <w:iCs/>
        </w:rPr>
        <w:t xml:space="preserve">Impulse Communications, Inc. v. Uplift Games, LLC</w:t>
      </w:r>
      <w:r>
        <w:t xml:space="preserve">, No. 23-CV-0034, 2024 WL 1365853, at *8 (D.R.I. Mar. 29, 2024) (https://www.cetient.com/case/impulse-communications-inc-v-uplift-games-llc-10303576), Complainant’s claim to secondary meaning is evidenced by decades of continuous use, brand presence, and documented user confusion.</w:t>
      </w:r>
    </w:p>
    <w:p>
      <w:pPr>
        <w:pStyle w:val="Body Text"/>
      </w:pPr>
      <w:r>
        <w:rPr>
          <w:b/>
          <w:bCs/>
        </w:rPr>
        <w:t xml:space="preserve">II. COMPLAINANT HOLDS SENIOR COMMON-LAW RIGHTS IN FLORIDA, AND RESPONDENT’S ENTRY INTO THAT MARKET IS ACTIONABLE</w:t>
      </w:r>
    </w:p>
    <w:p>
      <w:pPr>
        <w:pStyle w:val="Body Text"/>
      </w:pPr>
      <w:r>
        <w:t xml:space="preserve">It is a bedrock principle of trademark law that rights belong to the senior user.</w:t>
      </w:r>
      <w:r>
        <w:t xml:space="preserve"> </w:t>
      </w:r>
      <w:r>
        <w:t xml:space="preserve">“</w:t>
      </w:r>
      <w:r>
        <w:t xml:space="preserve">Trade names may be established without registration… They belong to the one who first uses them and gives them value.</w:t>
      </w:r>
      <w:r>
        <w:t xml:space="preserve">”</w:t>
      </w:r>
      <w:r>
        <w:t xml:space="preserve"> </w:t>
      </w:r>
      <w:r>
        <w:rPr>
          <w:i/>
          <w:iCs/>
        </w:rPr>
        <w:t xml:space="preserve">Stout v. Laws</w:t>
      </w:r>
      <w:r>
        <w:t xml:space="preserve">, 37 Haw. 382, 391 (Haw. 1946) (https://www.cetient.com/case/stout-v-laws-3413305). When a junior user adopts a similar name, courts rightly presume a bad-faith intent to trade on the senior user’s goodwill.</w:t>
      </w:r>
      <w:r>
        <w:t xml:space="preserve"> </w:t>
      </w:r>
      <w:r>
        <w:rPr>
          <w:i/>
          <w:iCs/>
        </w:rPr>
        <w:t xml:space="preserve">Id.</w:t>
      </w:r>
      <w:r>
        <w:t xml:space="preserve"> </w:t>
      </w:r>
      <w:r>
        <w:t xml:space="preserve">(</w:t>
      </w:r>
      <w:r>
        <w:t xml:space="preserve">“</w:t>
      </w:r>
      <w:r>
        <w:t xml:space="preserve">It may usually be presumed that where a person sets up a business under a name similar to one already in use… he is not taking that name because it is necessary to take it… but because he hopes by the confusion resulting from using it to get for himself some of the trade which belongs to the established concern.</w:t>
      </w:r>
      <w:r>
        <w:t xml:space="preserve">”</w:t>
      </w:r>
      <w:r>
        <w:t xml:space="preserve">).</w:t>
      </w:r>
    </w:p>
    <w:p>
      <w:pPr>
        <w:pStyle w:val="Body Text"/>
      </w:pPr>
      <w:r>
        <w:t xml:space="preserve">While the</w:t>
      </w:r>
      <w:r>
        <w:t xml:space="preserve"> </w:t>
      </w:r>
      <w:r>
        <w:rPr>
          <w:i/>
          <w:iCs/>
        </w:rPr>
        <w:t xml:space="preserve">Tea Rose-Rectanus</w:t>
      </w:r>
      <w:r>
        <w:t xml:space="preserve"> </w:t>
      </w:r>
      <w:r>
        <w:t xml:space="preserve">doctrine limits a senior user’s common-law rights to its actual geographic area of market penetration, this doctrine is a shield for innocent junior users in remote territories, not a sword for infringers who invade a senior user’s home market.</w:t>
      </w:r>
      <w:r>
        <w:t xml:space="preserve"> </w:t>
      </w:r>
      <w:r>
        <w:rPr>
          <w:i/>
          <w:iCs/>
        </w:rPr>
        <w:t xml:space="preserve">See ACCU Personnel, Inc. v. AccuStaff, Inc.</w:t>
      </w:r>
      <w:r>
        <w:t xml:space="preserve">, 846 F. Supp. 1191, 1205 (D. Del. 1994) (https://www.cetient.com/case/accu-personnel-inc-v-accustaff-inc-1687300) (outlining the market-penetration factors);</w:t>
      </w:r>
      <w:r>
        <w:t xml:space="preserve"> </w:t>
      </w:r>
      <w:r>
        <w:rPr>
          <w:i/>
          <w:iCs/>
        </w:rPr>
        <w:t xml:space="preserve">SMJ &amp; J, Inc. v. NRG Heat &amp; Power, LLC</w:t>
      </w:r>
      <w:r>
        <w:t xml:space="preserve">, 912 F. Supp. 2d 189, 210 (M.D. Pa. 2012) (https://www.cetient.com/case/smj-j-inc-v-nrg-heat-power-llc-8721356) (same). A senior user with an established, demonstrable presence in a territory cannot be displaced by a junior user’s later entry.</w:t>
      </w:r>
      <w:r>
        <w:t xml:space="preserve"> </w:t>
      </w:r>
      <w:r>
        <w:rPr>
          <w:i/>
          <w:iCs/>
        </w:rPr>
        <w:t xml:space="preserve">See Architemps, Inc. v. Architemps, Ltd.</w:t>
      </w:r>
      <w:r>
        <w:t xml:space="preserve">, 704 F. Supp. 39, 41 (S.D.N.Y. 1988) (https://www.cetient.com/case/architemps-inc-v-architemps-ltd-1440294) (</w:t>
      </w:r>
      <w:r>
        <w:t xml:space="preserve">“</w:t>
      </w:r>
      <w:r>
        <w:t xml:space="preserve">Defendant’s mere expectation of expanding operations… without more, cannot confer priority to the mark under common law.</w:t>
      </w:r>
      <w:r>
        <w:t xml:space="preserve">”</w:t>
      </w:r>
      <w:r>
        <w:t xml:space="preserve">).</w:t>
      </w:r>
    </w:p>
    <w:p>
      <w:pPr>
        <w:pStyle w:val="Body Text"/>
      </w:pPr>
      <w:r>
        <w:t xml:space="preserve">Here, Respondent is not operating in a remote market. It actively markets and sells competing roofing products into Florida, Complainant’s home territory. The documented instance of consumer confusion (Exhibit T) occurred in South Florida in response to a consumer query about Spanish tile roofing, Complainant’s specialty. This is not a case of good-faith remote concurrent use; it is a direct, deliberate, and confusing entry into Complainant’s established territory, where Complainant’s rights are at their apex.</w:t>
      </w:r>
    </w:p>
    <w:p>
      <w:pPr>
        <w:pStyle w:val="Body Text"/>
      </w:pPr>
      <w:r>
        <w:rPr>
          <w:b/>
          <w:bCs/>
        </w:rPr>
        <w:t xml:space="preserve">III. RESPONDENT REGISTERED AND USED THE DOMAIN IN BAD FAITH</w:t>
      </w:r>
    </w:p>
    <w:p>
      <w:pPr>
        <w:pStyle w:val="Body Text"/>
      </w:pPr>
      <w:r>
        <w:t xml:space="preserve">Respondent’s registration and use of</w:t>
      </w:r>
      <w:r>
        <w:t xml:space="preserve"> </w:t>
      </w:r>
      <w:r>
        <w:rPr>
          <w:i/>
          <w:iCs/>
        </w:rPr>
        <w:t xml:space="preserve">theroof.store</w:t>
      </w:r>
      <w:r>
        <w:t xml:space="preserve"> </w:t>
      </w:r>
      <w:r>
        <w:t xml:space="preserve">were undertaken with, at minimum, willful blindness, and at most, actual knowledge of Complainant’s senior rights. Both are sufficient to establish bad faith under the Anticybersquatting Consumer Protection Act (ACPA) and the Uniform Domain Name Dispute Resolution Policy (UDRP).</w:t>
      </w:r>
    </w:p>
    <w:p>
      <w:pPr>
        <w:pStyle w:val="Body Text"/>
      </w:pPr>
      <w:r>
        <w:t xml:space="preserve">Failure to conduct a basic trademark or online search before registering a domain can itself constitute bad faith. In</w:t>
      </w:r>
      <w:r>
        <w:t xml:space="preserve"> </w:t>
      </w:r>
      <w:r>
        <w:rPr>
          <w:i/>
          <w:iCs/>
        </w:rPr>
        <w:t xml:space="preserve">Eurotech, Inc. v. Cosmos European Travels Aktiengesellschaft</w:t>
      </w:r>
      <w:r>
        <w:t xml:space="preserve">, 213 F. Supp. 2d 612, 622 (E.D. Va. 2002) (https://www.cetient.com/case/eurotech-inc-v-cosmos-european-travels-aktiengesellschaft-2361870), the court found bad faith where the registrants</w:t>
      </w:r>
      <w:r>
        <w:t xml:space="preserve"> </w:t>
      </w:r>
      <w:r>
        <w:t xml:space="preserve">“</w:t>
      </w:r>
      <w:r>
        <w:t xml:space="preserve">made no effort to ascertain whether the</w:t>
      </w:r>
      <w:r>
        <w:t xml:space="preserve"> </w:t>
      </w:r>
      <w:r>
        <w:t xml:space="preserve">‘</w:t>
      </w:r>
      <w:r>
        <w:t xml:space="preserve">Cosmos</w:t>
      </w:r>
      <w:r>
        <w:t xml:space="preserve">’</w:t>
      </w:r>
      <w:r>
        <w:t xml:space="preserve"> </w:t>
      </w:r>
      <w:r>
        <w:t xml:space="preserve">name was a registered trademark</w:t>
      </w:r>
      <w:r>
        <w:t xml:space="preserve">”</w:t>
      </w:r>
      <w:r>
        <w:t xml:space="preserve"> </w:t>
      </w:r>
      <w:r>
        <w:t xml:space="preserve">before registering a domain incorporating it. Here, any WHOIS query or simple search-engine query at the time of registration in August 2021 would have instantly revealed</w:t>
      </w:r>
      <w:r>
        <w:t xml:space="preserve"> </w:t>
      </w:r>
      <w:r>
        <w:rPr>
          <w:i/>
          <w:iCs/>
        </w:rPr>
        <w:t xml:space="preserve">theroofstore.net</w:t>
      </w:r>
      <w:r>
        <w:t xml:space="preserve"> </w:t>
      </w:r>
      <w:r>
        <w:t xml:space="preserve">and its twenty-year digital footprint. Deliberate avoidance of such a readily available search constitutes willful blindness and is not a defense. This bad-faith analysis applies to the initial registration as well as any subsequent re-registration or transfer.</w:t>
      </w:r>
      <w:r>
        <w:t xml:space="preserve"> </w:t>
      </w:r>
      <w:r>
        <w:rPr>
          <w:i/>
          <w:iCs/>
        </w:rPr>
        <w:t xml:space="preserve">See Xereas v. Heiss</w:t>
      </w:r>
      <w:r>
        <w:t xml:space="preserve">, 933 F. Supp. 2d 1, 6 (D.D.C. 2013) (https://www.cetient.com/case/xereas-v-heiss-2660868).</w:t>
      </w:r>
    </w:p>
    <w:p>
      <w:pPr>
        <w:pStyle w:val="Body Text"/>
      </w:pPr>
      <w:r>
        <w:t xml:space="preserve">More damningly, the evidence establishes actual knowledge. Under the ACPA, a court may consider whether the registrant</w:t>
      </w:r>
      <w:r>
        <w:t xml:space="preserve"> </w:t>
      </w:r>
      <w:r>
        <w:t xml:space="preserve">“</w:t>
      </w:r>
      <w:r>
        <w:t xml:space="preserve">knows</w:t>
      </w:r>
      <w:r>
        <w:t xml:space="preserve">”</w:t>
      </w:r>
      <w:r>
        <w:t xml:space="preserve"> </w:t>
      </w:r>
      <w:r>
        <w:t xml:space="preserve">the domain is</w:t>
      </w:r>
      <w:r>
        <w:t xml:space="preserve"> </w:t>
      </w:r>
      <w:r>
        <w:t xml:space="preserve">“</w:t>
      </w:r>
      <w:r>
        <w:t xml:space="preserve">identical or confusingly similar to marks of others.</w:t>
      </w:r>
      <w:r>
        <w:t xml:space="preserve">”</w:t>
      </w:r>
      <w:r>
        <w:t xml:space="preserve"> </w:t>
      </w:r>
      <w:r>
        <w:rPr>
          <w:i/>
          <w:iCs/>
        </w:rPr>
        <w:t xml:space="preserve">See Mira Holdings, Inc. v. ZoomerMedia, Ltd.</w:t>
      </w:r>
      <w:r>
        <w:t xml:space="preserve">, No. 22-CV-01865, 2023 WL 3862412, at *5 (D. Colo. June 7, 2023) (https://www.cetient.com/case/mira-holdings-inc-v-zoomermedia-ltd-9627556). Here, knowledge is not inferred; it is proven. Exhibit S, the direct commercial solicitation from Respondent to Complainant dated July 28, 2026, is conclusive evidence that Respondent knew Complainant existed, knew its name, and knew its line of business. The</w:t>
      </w:r>
      <w:r>
        <w:t xml:space="preserve"> </w:t>
      </w:r>
      <w:r>
        <w:t xml:space="preserve">“</w:t>
      </w:r>
      <w:r>
        <w:t xml:space="preserve">innocent registrant</w:t>
      </w:r>
      <w:r>
        <w:t xml:space="preserve">”</w:t>
      </w:r>
      <w:r>
        <w:t xml:space="preserve"> </w:t>
      </w:r>
      <w:r>
        <w:t xml:space="preserve">defense is therefore unavailable.</w:t>
      </w:r>
    </w:p>
    <w:p>
      <w:pPr>
        <w:pStyle w:val="Body Text"/>
      </w:pPr>
      <w:r>
        <w:rPr>
          <w:b/>
          <w:bCs/>
        </w:rPr>
        <w:t xml:space="preserve">IV. RESPONDENT’S USE OF COMPLAINANT’S EXACT TRADE NAME AS A PRODUCT TITLE CONSTITUTES PASSING OFF AND UNFAIR COMPETITION</w:t>
      </w:r>
    </w:p>
    <w:p>
      <w:pPr>
        <w:pStyle w:val="Body Text"/>
      </w:pPr>
      <w:r>
        <w:t xml:space="preserve">Respondent’s bad faith is further confirmed by its brazen act of titling a competing product</w:t>
      </w:r>
      <w:r>
        <w:t xml:space="preserve"> </w:t>
      </w:r>
      <w:r>
        <w:t xml:space="preserve">“</w:t>
      </w:r>
      <w:r>
        <w:t xml:space="preserve">The Roof Store Synthetic Roofing Underlayment</w:t>
      </w:r>
      <w:r>
        <w:t xml:space="preserve">”</w:t>
      </w:r>
      <w:r>
        <w:t xml:space="preserve"> </w:t>
      </w:r>
      <w:r>
        <w:t xml:space="preserve">(Exhibit U). This is not merely an infringing domain name; it is a classic case of</w:t>
      </w:r>
      <w:r>
        <w:t xml:space="preserve"> </w:t>
      </w:r>
      <w:r>
        <w:t xml:space="preserve">“</w:t>
      </w:r>
      <w:r>
        <w:t xml:space="preserve">passing off.</w:t>
      </w:r>
      <w:r>
        <w:t xml:space="preserve">”</w:t>
      </w:r>
      <w:r>
        <w:t xml:space="preserve"> </w:t>
      </w:r>
      <w:r>
        <w:t xml:space="preserve">The legal wrong is not the mere use of descriptive words,</w:t>
      </w:r>
      <w:r>
        <w:t xml:space="preserve"> </w:t>
      </w:r>
      <w:r>
        <w:t xml:space="preserve">“</w:t>
      </w:r>
      <w:r>
        <w:t xml:space="preserve">but in the unfair and fraudulent advantage which is taken of such use to pass off the product as that of respondent.</w:t>
      </w:r>
      <w:r>
        <w:t xml:space="preserve">”</w:t>
      </w:r>
      <w:r>
        <w:t xml:space="preserve"> </w:t>
      </w:r>
      <w:r>
        <w:rPr>
          <w:i/>
          <w:iCs/>
        </w:rPr>
        <w:t xml:space="preserve">American Chicle Co. v. Topps Chewing Gum, Inc.</w:t>
      </w:r>
      <w:r>
        <w:t xml:space="preserve">, 210 F.2d 680, 681 (2d Cir. 1954) (https://www.cetient.com/case/american-chicle-co-v-topps-chewing-gum-inc-233477).</w:t>
      </w:r>
    </w:p>
    <w:p>
      <w:pPr>
        <w:pStyle w:val="Body Text"/>
      </w:pPr>
      <w:r>
        <w:t xml:space="preserve">A defendant</w:t>
      </w:r>
      <w:r>
        <w:t xml:space="preserve"> </w:t>
      </w:r>
      <w:r>
        <w:t xml:space="preserve">“</w:t>
      </w:r>
      <w:r>
        <w:t xml:space="preserve">adopting the same trade name—letter for letter—as the plaintiffs</w:t>
      </w:r>
      <w:r>
        <w:t xml:space="preserve">”</w:t>
      </w:r>
      <w:r>
        <w:t xml:space="preserve"> </w:t>
      </w:r>
      <w:r>
        <w:t xml:space="preserve">states a viable claim for trademark infringement and unfair competition.</w:t>
      </w:r>
      <w:r>
        <w:t xml:space="preserve"> </w:t>
      </w:r>
      <w:r>
        <w:rPr>
          <w:i/>
          <w:iCs/>
        </w:rPr>
        <w:t xml:space="preserve">Ready Capital Corporation v. READY CAPITAL CORPORATION</w:t>
      </w:r>
      <w:r>
        <w:t xml:space="preserve">, No. 20-CV-00788, 2020 WL 13337953, at *2 (S.D.N.Y. May 18, 2020) (https://www.cetient.com/case/ready-capital-corporation-v-ready-capital-corporation-9747356). Such conduct is calculated to deceive.</w:t>
      </w:r>
      <w:r>
        <w:t xml:space="preserve"> </w:t>
      </w:r>
      <w:r>
        <w:rPr>
          <w:i/>
          <w:iCs/>
        </w:rPr>
        <w:t xml:space="preserve">Weiss v. the Stork Gift Shop</w:t>
      </w:r>
      <w:r>
        <w:t xml:space="preserve">, 45 A.2d 688, 690 (N.J. Ch. 1946) (https://www.cetient.com/case/weiss-v-the-stork-gift-shop-3581479) (</w:t>
      </w:r>
      <w:r>
        <w:t xml:space="preserve">“</w:t>
      </w:r>
      <w:r>
        <w:t xml:space="preserve">One may not lawfully use a trade name as near the established name of another as to lead customers and the public to suppose that the establishment of the user is the establishment of the other or that the product sold is the product of the other.</w:t>
      </w:r>
      <w:r>
        <w:t xml:space="preserve">”</w:t>
      </w:r>
      <w:r>
        <w:t xml:space="preserve">).</w:t>
      </w:r>
    </w:p>
    <w:p>
      <w:pPr>
        <w:pStyle w:val="Body Text"/>
      </w:pPr>
      <w:r>
        <w:t xml:space="preserve">The purpose of such appropriation is to create a</w:t>
      </w:r>
      <w:r>
        <w:t xml:space="preserve"> </w:t>
      </w:r>
      <w:r>
        <w:t xml:space="preserve">“</w:t>
      </w:r>
      <w:r>
        <w:t xml:space="preserve">likelihood of reliance upon the trade name of the junior user as representing manufacture or service of the senior,</w:t>
      </w:r>
      <w:r>
        <w:t xml:space="preserve">”</w:t>
      </w:r>
      <w:r>
        <w:t xml:space="preserve"> </w:t>
      </w:r>
      <w:r>
        <w:t xml:space="preserve">which is sufficient to establish liability.</w:t>
      </w:r>
      <w:r>
        <w:t xml:space="preserve"> </w:t>
      </w:r>
      <w:r>
        <w:rPr>
          <w:i/>
          <w:iCs/>
        </w:rPr>
        <w:t xml:space="preserve">51 West 51st Corp. v. Roland</w:t>
      </w:r>
      <w:r>
        <w:t xml:space="preserve">, 50 A.2d 369, 371 (N.J. Ch. 1946) (https://www.cetient.com/case/51-west-51st-corp-v-roland-3585982). This leads to</w:t>
      </w:r>
      <w:r>
        <w:t xml:space="preserve"> </w:t>
      </w:r>
      <w:r>
        <w:t xml:space="preserve">“</w:t>
      </w:r>
      <w:r>
        <w:t xml:space="preserve">the gradual appropriation to itself of the favorable reputation which the complainant had built up for its own goods through years of toil and at considerable expense.</w:t>
      </w:r>
      <w:r>
        <w:t xml:space="preserve">”</w:t>
      </w:r>
      <w:r>
        <w:t xml:space="preserve"> </w:t>
      </w:r>
      <w:r>
        <w:rPr>
          <w:i/>
          <w:iCs/>
        </w:rPr>
        <w:t xml:space="preserve">Bates Mfg. Co. v. Bates Numbering Mach. Co.</w:t>
      </w:r>
      <w:r>
        <w:t xml:space="preserve">, 172 F. 892, 895 (3d Cir. 1909) (https://www.cetient.com/case/bates-mfg-co-v-bates-numbering-mach-co-9309169). Respondent’s actions fit this pattern precisely, satisfying the two essential elements of passing off:</w:t>
      </w:r>
      <w:r>
        <w:t xml:space="preserve"> </w:t>
      </w:r>
      <w:r>
        <w:t xml:space="preserve">“</w:t>
      </w:r>
      <w:r>
        <w:t xml:space="preserve">(1) an association of origin by the consumer between the mark and the first user, and (2) a likelihood of consumer confusion when the mark is applied to the second user’s good.</w:t>
      </w:r>
      <w:r>
        <w:t xml:space="preserve">”</w:t>
      </w:r>
      <w:r>
        <w:t xml:space="preserve"> </w:t>
      </w:r>
      <w:r>
        <w:rPr>
          <w:i/>
          <w:iCs/>
        </w:rPr>
        <w:t xml:space="preserve">Borescopes R US v. 1800Endoscope.Com, LLC</w:t>
      </w:r>
      <w:r>
        <w:t xml:space="preserve">, 728 F. Supp. 2d 938, 951 (M.D. Tenn. 2010) (https://www.cetient.com/case/borescopes-r-us-v-1800endoscope-com-llc-2477928).</w:t>
      </w:r>
    </w:p>
    <w:p>
      <w:pPr>
        <w:pStyle w:val="Body Text"/>
      </w:pPr>
      <w:r>
        <w:rPr>
          <w:b/>
          <w:bCs/>
        </w:rPr>
        <w:t xml:space="preserve">V. THERE IS A LIKELIHOOD OF CONFUSION, INCLUDING DOCUMENTED ACTUAL CONFUSION THROUGH AI-GENERATED MISATTRIBUTION</w:t>
      </w:r>
    </w:p>
    <w:p>
      <w:pPr>
        <w:pStyle w:val="Body Text"/>
      </w:pPr>
      <w:r>
        <w:t xml:space="preserve">Likelihood of confusion is the touchstone of any trademark infringement claim.</w:t>
      </w:r>
      <w:r>
        <w:t xml:space="preserve"> </w:t>
      </w:r>
      <w:r>
        <w:rPr>
          <w:i/>
          <w:iCs/>
        </w:rPr>
        <w:t xml:space="preserve">See USPTO, About Trademark Infringement</w:t>
      </w:r>
      <w:r>
        <w:t xml:space="preserve"> </w:t>
      </w:r>
      <w:r>
        <w:t xml:space="preserve">(https://www.uspto.gov/page/about-trademark-infringement). Here, that likelihood is not speculative; it is a documented reality. The consumer confusion detailed in Exhibit T is a textbook example of</w:t>
      </w:r>
      <w:r>
        <w:t xml:space="preserve"> </w:t>
      </w:r>
      <w:r>
        <w:t xml:space="preserve">“</w:t>
      </w:r>
      <w:r>
        <w:t xml:space="preserve">initial interest confusion,</w:t>
      </w:r>
      <w:r>
        <w:t xml:space="preserve">”</w:t>
      </w:r>
      <w:r>
        <w:t xml:space="preserve"> </w:t>
      </w:r>
      <w:r>
        <w:t xml:space="preserve">which is actionable even if the consumer ultimately discovers the true source. In the digital marketplace,</w:t>
      </w:r>
      <w:r>
        <w:t xml:space="preserve"> </w:t>
      </w:r>
      <w:r>
        <w:t xml:space="preserve">“</w:t>
      </w:r>
      <w:r>
        <w:t xml:space="preserve">likelihood of confusion… will ultimately turn on what the consumer saw on the screen and reasonably believed, given the context.</w:t>
      </w:r>
      <w:r>
        <w:t xml:space="preserve">”</w:t>
      </w:r>
      <w:r>
        <w:t xml:space="preserve"> </w:t>
      </w:r>
      <w:r>
        <w:rPr>
          <w:i/>
          <w:iCs/>
        </w:rPr>
        <w:t xml:space="preserve">Jenzabar, Inc. v. Long Bow Group, Inc.</w:t>
      </w:r>
      <w:r>
        <w:t xml:space="preserve">, 82 Mass. App. Ct. 648, 656 (2012) (https://www.cetient.com/case/jenzabar-inc-v-long-bow-group-inc-6589843). The initial diversion—the</w:t>
      </w:r>
      <w:r>
        <w:t xml:space="preserve"> </w:t>
      </w:r>
      <w:r>
        <w:t xml:space="preserve">“</w:t>
      </w:r>
      <w:r>
        <w:t xml:space="preserve">first step-in</w:t>
      </w:r>
      <w:r>
        <w:t xml:space="preserve">”</w:t>
      </w:r>
      <w:r>
        <w:t xml:space="preserve">—is the compensable harm, even if it is later corrected.</w:t>
      </w:r>
      <w:r>
        <w:t xml:space="preserve"> </w:t>
      </w:r>
      <w:r>
        <w:rPr>
          <w:i/>
          <w:iCs/>
        </w:rPr>
        <w:t xml:space="preserve">Id.</w:t>
      </w:r>
      <w:r>
        <w:t xml:space="preserve"> </w:t>
      </w:r>
      <w:r>
        <w:t xml:space="preserve">at 657.</w:t>
      </w:r>
    </w:p>
    <w:p>
      <w:pPr>
        <w:pStyle w:val="Body Text"/>
      </w:pPr>
      <w:r>
        <w:t xml:space="preserve">Respondent cannot hide behind the AI intermediary. The confusion documented in Exhibit T did not originate in an algorithmic hallucination, but in Respondent’s own commercial content. The AI’s statements—</w:t>
      </w:r>
      <w:r>
        <w:t xml:space="preserve">“</w:t>
      </w:r>
      <w:r>
        <w:t xml:space="preserve">ASTM D8257,</w:t>
      </w:r>
      <w:r>
        <w:t xml:space="preserve">”</w:t>
      </w:r>
      <w:r>
        <w:t xml:space="preserve"> </w:t>
      </w:r>
      <w:r>
        <w:t xml:space="preserve">“</w:t>
      </w:r>
      <w:r>
        <w:t xml:space="preserve">Florida Approval # 48228</w:t>
      </w:r>
      <w:r>
        <w:t xml:space="preserve">”</w:t>
      </w:r>
      <w:r>
        <w:t xml:space="preserve">—match Respondent’s published product listing (Exhibit U) verbatim. Such misattribution, whether in a search result or a misdirected review, can</w:t>
      </w:r>
      <w:r>
        <w:t xml:space="preserve"> </w:t>
      </w:r>
      <w:r>
        <w:t xml:space="preserve">“</w:t>
      </w:r>
      <w:r>
        <w:t xml:space="preserve">inflict commercial injury… and is sufficient to raise a disputed issue of fact as to whether there was customer confusion.</w:t>
      </w:r>
      <w:r>
        <w:t xml:space="preserve">”</w:t>
      </w:r>
      <w:r>
        <w:t xml:space="preserve"> </w:t>
      </w:r>
      <w:r>
        <w:rPr>
          <w:i/>
          <w:iCs/>
        </w:rPr>
        <w:t xml:space="preserve">Lion-Aire Corp. v. Lion Air Installation, Inc.</w:t>
      </w:r>
      <w:r>
        <w:t xml:space="preserve">, No. 22-CV-05047, 2024 WL 13490795, at *6 (E.D.N.Y. Aug. 27, 2024) (https://www.cetient.com/case/lion-aire-corp-v-lion-air-installation-inc-10192667).</w:t>
      </w:r>
    </w:p>
    <w:p>
      <w:pPr>
        <w:pStyle w:val="Body Text"/>
      </w:pPr>
      <w:r>
        <w:t xml:space="preserve">Crucially, this documented confusion occurred at a critical moment. Unlike cases where courts found misdirected inquiries insufficient because they did not impact purchasing decisions,</w:t>
      </w:r>
      <w:r>
        <w:t xml:space="preserve"> </w:t>
      </w:r>
      <w:r>
        <w:rPr>
          <w:i/>
          <w:iCs/>
        </w:rPr>
        <w:t xml:space="preserve">cf. Sunenblick v. Harrell</w:t>
      </w:r>
      <w:r>
        <w:t xml:space="preserve">, 895 F. Supp. 616, 630 (S.D.N.Y. 1995) (https://www.cetient.com/case/sunenblick-v-harrell-1570620);</w:t>
      </w:r>
      <w:r>
        <w:t xml:space="preserve"> </w:t>
      </w:r>
      <w:r>
        <w:rPr>
          <w:i/>
          <w:iCs/>
        </w:rPr>
        <w:t xml:space="preserve">RVC Floor Decor, Ltd. v. Floor &amp; Decor Holdings, Inc.</w:t>
      </w:r>
      <w:r>
        <w:t xml:space="preserve">, No. 19-CV-04192, 2023 WL 2388701, at *3 (E.D.N.Y. Mar. 7, 2023) (https://www.cetient.com/case/rvc-floor-decor-ltd-v-floor-decor-holdings-inc-9842702), the misattribution here was delivered to a consumer in Complainant’s home market in response to a product query, effectively displacing Complainant’s product with Respondent’s at the moment of a purchase decision. Such statements indicating a confused state of mind are admissible and highly probative.</w:t>
      </w:r>
      <w:r>
        <w:t xml:space="preserve"> </w:t>
      </w:r>
      <w:r>
        <w:rPr>
          <w:i/>
          <w:iCs/>
        </w:rPr>
        <w:t xml:space="preserve">See Trouble v. Wet Seal, Inc.</w:t>
      </w:r>
      <w:r>
        <w:t xml:space="preserve">, 179 F. Supp. 2d 291, 300 (S.D.N.Y. 2001) (https://www.cetient.com/case/trouble-v-wet-seal-inc-2485163).</w:t>
      </w:r>
    </w:p>
    <w:p>
      <w:pPr>
        <w:pStyle w:val="Body Text"/>
      </w:pPr>
      <w:r>
        <w:rPr>
          <w:b/>
          <w:bCs/>
        </w:rPr>
        <w:t xml:space="preserve">VI. CONCLUSION</w:t>
      </w:r>
    </w:p>
    <w:p>
      <w:pPr>
        <w:pStyle w:val="Body Text"/>
      </w:pPr>
      <w:r>
        <w:t xml:space="preserve">For the foregoing reasons, Complainant The Roof Store has established: (1) ownership of a valid common-law mark with secondary meaning; (2) priority of use and senior rights in the Florida market; (3) Respondent’s bad faith in registering and using</w:t>
      </w:r>
      <w:r>
        <w:t xml:space="preserve"> </w:t>
      </w:r>
      <w:r>
        <w:rPr>
          <w:i/>
          <w:iCs/>
        </w:rPr>
        <w:t xml:space="preserve">theroof.store</w:t>
      </w:r>
      <w:r>
        <w:t xml:space="preserve">; (4) actionable passing off through the use of Complainant’s mark in a product title; and (5) a clear likelihood of confusion, including documented actual confusion. Complainant respectfully requests that the Panel (or Court) order the transfer of the domain name</w:t>
      </w:r>
      <w:r>
        <w:t xml:space="preserve"> </w:t>
      </w:r>
      <w:r>
        <w:rPr>
          <w:i/>
          <w:iCs/>
        </w:rPr>
        <w:t xml:space="preserve">theroof.store</w:t>
      </w:r>
      <w:r>
        <w:t xml:space="preserve"> </w:t>
      </w:r>
      <w:r>
        <w:t xml:space="preserve">to Complainant and grant such other injunctive relief as is just and proper.</w:t>
      </w:r>
    </w:p>
    <w:p>
      <w:pPr>
        <w:pStyle w:val="Body Text"/>
      </w:pPr>
      <w:r>
        <w:t xml:space="preserve">Dated: August 2, 2026</w:t>
      </w:r>
    </w:p>
    <w:p>
      <w:pPr>
        <w:pStyle w:val="Body Text"/>
      </w:pPr>
      <w:r>
        <w:t xml:space="preserve">Respectfully submitted,</w:t>
      </w:r>
    </w:p>
    <w:p>
      <w:pPr>
        <w:pStyle w:val="Body Text"/>
      </w:pPr>
      <w:r>
        <w:t xml:space="preserve">[Counsel for Complainant]</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Normal" w:type="paragraph">
    <w:name w:val="Normal"/>
    <w:next w:val="Normal"/>
    <w:qFormat/>
    <w:pPr>
      <w:spacing w:after="0" w:before="0" w:line="480"/>
    </w:pPr>
    <w:rPr>
      <w:rFonts w:ascii="Times New Roman" w:cs="Times New Roman" w:eastAsia="Times New Roman" w:hAnsi="Times New Roman"/>
      <w:sz w:val="24"/>
      <w:szCs w:val="24"/>
    </w:rPr>
  </w:style>
  <w:style w:styleId="Body Text" w:type="paragraph">
    <w:name w:val="Body Text"/>
    <w:next w:val="Body Text"/>
    <w:qFormat/>
    <w:pPr>
      <w:spacing w:after="0" w:before="0" w:line="480"/>
    </w:pPr>
    <w:rPr>
      <w:rFonts w:ascii="Times New Roman" w:cs="Times New Roman" w:eastAsia="Times New Roman" w:hAnsi="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2026-08-02T19:40:14Z</dcterms:created>
  <dcterms:modified xsi:type="dcterms:W3CDTF">2026-08-02T19:40:14Z</dcterms:modified>
</cp:coreProperties>
</file>

<file path=docProps/custom.xml><?xml version="1.0" encoding="utf-8"?>
<Properties xmlns="http://schemas.openxmlformats.org/officeDocument/2006/custom-properties" xmlns:vt="http://schemas.openxmlformats.org/officeDocument/2006/docPropsVTypes"/>
</file>