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4"/>
          <w:szCs w:val="44"/>
        </w:rPr>
        <w:t xml:space="preserve">CortexCall — Data Integrity Findings</w:t>
      </w:r>
    </w:p>
    <w:p>
      <w:pPr>
        <w:spacing w:after="400"/>
      </w:pPr>
      <w:r>
        <w:rPr>
          <w:i/>
          <w:iCs/>
          <w:color w:val="555555"/>
          <w:sz w:val="26"/>
          <w:szCs w:val="26"/>
        </w:rPr>
        <w:t xml:space="preserve">EEG Motor Imagery Classification (LEFT vs RIGHT) — Consolidated Investigation Report</w:t>
      </w:r>
    </w:p>
    <w:p>
      <w:pPr>
        <w:pStyle w:val="Heading1"/>
        <w:spacing w:after="200" w:before="400"/>
      </w:pPr>
      <w:r>
        <w:t xml:space="preserve">Executive Summary</w:t>
      </w:r>
    </w:p>
    <w:p>
      <w:pPr>
        <w:spacing w:after="160"/>
      </w:pPr>
      <w:r>
        <w:t xml:space="preserve">This report consolidates every data-integrity investigation carried out on the CortexCall dataset (2,160 EEG trial files, 2,400 label rows) during the EDA and modeling phases. The dataset was checked rigorously — not just for obvious problems, but for hypotheses that could plausibly explain the observed near-chance classification accuracy. Two genuine, previously undocumented data-quality defects were found and are detailed below. Neither one, once corrected, explains the chance-level classification result — that finding held up across every tested preprocessing and modeling configuration.</w:t>
      </w:r>
    </w:p>
    <w:p>
      <w:pPr>
        <w:spacing w:after="160"/>
      </w:pPr>
      <w:r>
        <w:rPr>
          <w:b/>
          <w:bCs/>
        </w:rPr>
        <w:t xml:space="preserve">Key findings at a glance:</w:t>
      </w:r>
    </w:p>
    <w:p>
      <w:pPr>
        <w:pStyle w:val="ListParagraph"/>
        <w:numPr>
          <w:ilvl w:val="0"/>
          <w:numId w:val="2"/>
        </w:numPr>
        <w:spacing w:after="80"/>
      </w:pPr>
      <w:r>
        <w:t xml:space="preserve">36 trials (4 contiguous 9-trial blocks) are exact byte-for-byte duplicates of other trials, at fixed ID offsets of 243, 558, 648, and 1035 — of these, 24 pairs (67%) carry conflicting LEFT/RIGHT labels on identical signal content.</w:t>
      </w:r>
    </w:p>
    <w:p>
      <w:pPr>
        <w:pStyle w:val="ListParagraph"/>
        <w:numPr>
          <w:ilvl w:val="0"/>
          <w:numId w:val="2"/>
        </w:numPr>
        <w:spacing w:after="80"/>
      </w:pPr>
      <w:r>
        <w:t xml:space="preserve">An exhaustive sweep of every possible offset (not just the 4 known ones) confirms the duplication is fully bounded to these 36 trials — nothing larger is hiding in the dataset.</w:t>
      </w:r>
    </w:p>
    <w:p>
      <w:pPr>
        <w:pStyle w:val="ListParagraph"/>
        <w:numPr>
          <w:ilvl w:val="0"/>
          <w:numId w:val="2"/>
        </w:numPr>
        <w:spacing w:after="80"/>
      </w:pPr>
      <w:r>
        <w:t xml:space="preserve">A second, independent defect was found: 19.6% of all trials (423/2,160) contain a frozen/stuck-value run of ≥10 identical consecutive samples across all 4 channels simultaneously — a system-level acquisition glitch, not an electrode issue.</w:t>
      </w:r>
    </w:p>
    <w:p>
      <w:pPr>
        <w:pStyle w:val="ListParagraph"/>
        <w:numPr>
          <w:ilvl w:val="0"/>
          <w:numId w:val="2"/>
        </w:numPr>
        <w:spacing w:after="80"/>
      </w:pPr>
      <w:r>
        <w:t xml:space="preserve">The true sampling rate is ≈250 Hz, not the ≈400 Hz a naive timestamp-based estimate suggests.</w:t>
      </w:r>
    </w:p>
    <w:p>
      <w:pPr>
        <w:pStyle w:val="ListParagraph"/>
        <w:numPr>
          <w:ilvl w:val="0"/>
          <w:numId w:val="2"/>
        </w:numPr>
        <w:spacing w:after="80"/>
      </w:pPr>
      <w:r>
        <w:t xml:space="preserve">The raw signal is dominated (92–97%) by 50 Hz line noise and low-frequency drift; the neurologically relevant 8–30 Hz band contributes under 1% of raw power.</w:t>
      </w:r>
    </w:p>
    <w:p>
      <w:pPr>
        <w:pStyle w:val="ListParagraph"/>
        <w:numPr>
          <w:ilvl w:val="0"/>
          <w:numId w:val="2"/>
        </w:numPr>
        <w:spacing w:after="80"/>
      </w:pPr>
      <w:r>
        <w:t xml:space="preserve">Across every tested fix — duplicate removal, an alternative label-alignment hypothesis, CAR re-referencing, artifact-trial exclusion, frozen-sample repair, and multiple classifiers (linear and non-linear) — classification accuracy never exceeds chance (permutation test p-values: 0.27–0.69 across variants).</w:t>
      </w:r>
    </w:p>
    <w:p>
      <w:pPr>
        <w:spacing w:after="160"/>
      </w:pPr>
      <w:r>
        <w:t xml:space="preserve">The recommendation is to treat these as genuine, reportable pipeline defects worth fixing at the source, but not as the explanation for the modeling result. Section 9 lists the specific open questions worth raising with the instructor.</w:t>
      </w:r>
    </w:p>
    <w:p>
      <w:pPr>
        <w:pBdr>
          <w:bottom w:val="single" w:color="AAAAAA" w:sz="6" w:space="1"/>
        </w:pBdr>
        <w:spacing w:after="200"/>
      </w:pPr>
    </w:p>
    <w:p>
      <w:pPr>
        <w:pStyle w:val="Heading1"/>
        <w:spacing w:after="200" w:before="400"/>
      </w:pPr>
      <w:r>
        <w:t xml:space="preserve">1. Duplicate/Mislabeled Trial Blocks</w:t>
      </w:r>
    </w:p>
    <w:p>
      <w:pPr>
        <w:pStyle w:val="Heading2"/>
        <w:spacing w:after="150" w:before="300"/>
      </w:pPr>
      <w:r>
        <w:t xml:space="preserve">1.1 What was found</w:t>
      </w:r>
    </w:p>
    <w:p>
      <w:pPr>
        <w:spacing w:after="160"/>
      </w:pPr>
      <w:r>
        <w:t xml:space="preserve">Hashing the full content of every trial file (all 5 columns, including the Time column) revealed 36 trials forming 36 exact duplicate pairs — the same recording, timestamps included, saved under two different trial IDs. Grouping these pairs by their ID offset revealed a clean structural pattern: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2200"/>
      </w:tblGrid>
      <w:tr>
        <w:trPr>
          <w:tblHeader/>
        </w:trPr>
        <w:tc>
          <w:tcPr>
            <w:tcW w:type="dxa" w:w="1800"/>
            <w:shd w:fill="2F5496" w:val="clear"/>
          </w:tcPr>
          <w:p>
            <w:r>
              <w:rPr>
                <w:b/>
                <w:bCs/>
                <w:color w:val="FFFFFF"/>
              </w:rPr>
              <w:t xml:space="preserve">Offset</w:t>
            </w:r>
          </w:p>
        </w:tc>
        <w:tc>
          <w:tcPr>
            <w:tcW w:type="dxa" w:w="2800"/>
            <w:shd w:fill="2F5496" w:val="clear"/>
          </w:tcPr>
          <w:p>
            <w:r>
              <w:rPr>
                <w:b/>
                <w:bCs/>
                <w:color w:val="FFFFFF"/>
              </w:rPr>
              <w:t xml:space="preserve">Original block (id_lo)</w:t>
            </w:r>
          </w:p>
        </w:tc>
        <w:tc>
          <w:tcPr>
            <w:tcW w:type="dxa" w:w="2800"/>
            <w:shd w:fill="2F5496" w:val="clear"/>
          </w:tcPr>
          <w:p>
            <w:r>
              <w:rPr>
                <w:b/>
                <w:bCs/>
                <w:color w:val="FFFFFF"/>
              </w:rPr>
              <w:t xml:space="preserve">Duplicate block (id_hi)</w:t>
            </w:r>
          </w:p>
        </w:tc>
        <w:tc>
          <w:tcPr>
            <w:tcW w:type="dxa" w:w="2200"/>
            <w:shd w:fill="2F5496" w:val="clear"/>
          </w:tcPr>
          <w:p>
            <w:r>
              <w:rPr>
                <w:b/>
                <w:bCs/>
                <w:color w:val="FFFFFF"/>
              </w:rPr>
              <w:t xml:space="preserve">Label agreement</w:t>
            </w:r>
          </w:p>
        </w:tc>
      </w:tr>
      <w:tr>
        <w:tc>
          <w:tcPr>
            <w:tcW w:type="dxa" w:w="1800"/>
          </w:tcPr>
          <w:p>
            <w:r>
              <w:t xml:space="preserve">1035</w:t>
            </w:r>
          </w:p>
        </w:tc>
        <w:tc>
          <w:tcPr>
            <w:tcW w:type="dxa" w:w="2800"/>
          </w:tcPr>
          <w:p>
            <w:r>
              <w:t xml:space="preserve">37–45</w:t>
            </w:r>
          </w:p>
        </w:tc>
        <w:tc>
          <w:tcPr>
            <w:tcW w:type="dxa" w:w="2800"/>
          </w:tcPr>
          <w:p>
            <w:r>
              <w:t xml:space="preserve">1072–1080</w:t>
            </w:r>
          </w:p>
        </w:tc>
        <w:tc>
          <w:tcPr>
            <w:tcW w:type="dxa" w:w="2200"/>
          </w:tcPr>
          <w:p>
            <w:r>
              <w:t xml:space="preserve">mixed</w:t>
            </w:r>
          </w:p>
        </w:tc>
      </w:tr>
      <w:tr>
        <w:tc>
          <w:tcPr>
            <w:tcW w:type="dxa" w:w="1800"/>
          </w:tcPr>
          <w:p>
            <w:r>
              <w:t xml:space="preserve">648</w:t>
            </w:r>
          </w:p>
        </w:tc>
        <w:tc>
          <w:tcPr>
            <w:tcW w:type="dxa" w:w="2800"/>
          </w:tcPr>
          <w:p>
            <w:r>
              <w:t xml:space="preserve">667–675</w:t>
            </w:r>
          </w:p>
        </w:tc>
        <w:tc>
          <w:tcPr>
            <w:tcW w:type="dxa" w:w="2800"/>
          </w:tcPr>
          <w:p>
            <w:r>
              <w:t xml:space="preserve">1315–1323</w:t>
            </w:r>
          </w:p>
        </w:tc>
        <w:tc>
          <w:tcPr>
            <w:tcW w:type="dxa" w:w="2200"/>
          </w:tcPr>
          <w:p>
            <w:r>
              <w:t xml:space="preserve">mixed</w:t>
            </w:r>
          </w:p>
        </w:tc>
      </w:tr>
      <w:tr>
        <w:tc>
          <w:tcPr>
            <w:tcW w:type="dxa" w:w="1800"/>
          </w:tcPr>
          <w:p>
            <w:r>
              <w:t xml:space="preserve">243</w:t>
            </w:r>
          </w:p>
        </w:tc>
        <w:tc>
          <w:tcPr>
            <w:tcW w:type="dxa" w:w="2800"/>
          </w:tcPr>
          <w:p>
            <w:r>
              <w:t xml:space="preserve">676–684</w:t>
            </w:r>
          </w:p>
        </w:tc>
        <w:tc>
          <w:tcPr>
            <w:tcW w:type="dxa" w:w="2800"/>
          </w:tcPr>
          <w:p>
            <w:r>
              <w:t xml:space="preserve">919–927</w:t>
            </w:r>
          </w:p>
        </w:tc>
        <w:tc>
          <w:tcPr>
            <w:tcW w:type="dxa" w:w="2200"/>
          </w:tcPr>
          <w:p>
            <w:r>
              <w:t xml:space="preserve">mixed</w:t>
            </w:r>
          </w:p>
        </w:tc>
      </w:tr>
      <w:tr>
        <w:tc>
          <w:tcPr>
            <w:tcW w:type="dxa" w:w="1800"/>
          </w:tcPr>
          <w:p>
            <w:r>
              <w:t xml:space="preserve">558</w:t>
            </w:r>
          </w:p>
        </w:tc>
        <w:tc>
          <w:tcPr>
            <w:tcW w:type="dxa" w:w="2800"/>
          </w:tcPr>
          <w:p>
            <w:r>
              <w:t xml:space="preserve">1396–1404</w:t>
            </w:r>
          </w:p>
        </w:tc>
        <w:tc>
          <w:tcPr>
            <w:tcW w:type="dxa" w:w="2800"/>
          </w:tcPr>
          <w:p>
            <w:r>
              <w:t xml:space="preserve">1954–1962</w:t>
            </w:r>
          </w:p>
        </w:tc>
        <w:tc>
          <w:tcPr>
            <w:tcW w:type="dxa" w:w="2200"/>
          </w:tcPr>
          <w:p>
            <w:r>
              <w:t xml:space="preserve">mixed</w:t>
            </w:r>
          </w:p>
        </w:tc>
      </w:tr>
    </w:tbl>
    <w:p>
      <w:pPr>
        <w:spacing w:after="160"/>
      </w:pPr>
      <w:r>
        <w:t xml:space="preserve"/>
      </w:r>
    </w:p>
    <w:p>
      <w:pPr>
        <w:spacing w:after="160"/>
      </w:pPr>
      <w:r>
        <w:t xml:space="preserve">All four blocks are exactly 9 consecutive trials each — not a coincidence. This is the signature of a specific, repeatable export or checkpoint-resume bug (e.g. a script re-processing an already-exported batch), not 36 independent random glitches.</w:t>
      </w:r>
    </w:p>
    <w:p>
      <w:pPr>
        <w:pStyle w:val="Heading2"/>
        <w:spacing w:after="150" w:before="300"/>
      </w:pPr>
      <w:r>
        <w:t xml:space="preserve">1.2 The label-conflict problem</w:t>
      </w:r>
    </w:p>
    <w:p>
      <w:pPr>
        <w:spacing w:after="160"/>
      </w:pPr>
      <w:r>
        <w:t xml:space="preserve">Of the 36 duplicate-content pairs, 24 (67%) have the same signal labeled LEFT in one copy and RIGHT in the other — which is impossible if the labels are correct, since identical EEG content cannot correspond to two different imagined movements. A binomial test on the 12 pairs that do agree (33%, vs. 50% expected by pure chance if the second label were arbitrary) gives p=0.065 — suggestive of something systematic rather than purely random mislabeling, though not conclusive on its own.</w:t>
      </w:r>
    </w:p>
    <w:p>
      <w:pPr>
        <w:pStyle w:val="Heading2"/>
        <w:spacing w:after="150" w:before="300"/>
      </w:pPr>
      <w:r>
        <w:t xml:space="preserve">1.3 Ruling out a bigger problem: the global label-shift test</w:t>
      </w:r>
    </w:p>
    <w:p>
      <w:pPr>
        <w:spacing w:after="160"/>
      </w:pPr>
      <w:r>
        <w:t xml:space="preserve">Before concluding the fix is simply 'drop these 36 trials,' we tested whether the entire 2,160-trial label sequence is built from a repeating/shifted structure at these same four offsets — which would mean many more trials than 36 have unreliable labels. Label agreement at these offsets, measured across the full sequence (not just the known pairs), was statistically indistinguishable from a random-lag baseline (≈49–51% vs. a ≈50.3% ± 2.3% baseline). </w:t>
      </w:r>
    </w:p>
    <w:p>
      <w:pPr>
        <w:spacing w:after="160"/>
      </w:pPr>
      <w:r>
        <w:rPr>
          <w:b/>
          <w:bCs/>
        </w:rPr>
        <w:t xml:space="preserve">Conclusion: </w:t>
      </w:r>
      <w:r>
        <w:t xml:space="preserve">the problem is bounded to exactly these 36 trials, not a property of the whole label sequence.</w:t>
      </w:r>
    </w:p>
    <w:p>
      <w:pPr>
        <w:pStyle w:val="Heading2"/>
        <w:spacing w:after="150" w:before="300"/>
      </w:pPr>
      <w:r>
        <w:t xml:space="preserve">1.4 Exhaustive offset sweep — confirming there's nothing bigger</w:t>
      </w:r>
    </w:p>
    <w:p>
      <w:pPr>
        <w:spacing w:after="160"/>
      </w:pPr>
      <w:r>
        <w:t xml:space="preserve">To be thorough, every possible offset from 1 to 2,158 (not just the 4 known ones) was tested for pairs of trials with suspiciously high signal similarity. The first attempt at this — concatenating all 4 channels into one vector before correlating — was flawed and gave misleading results (mean correlation ≈0.48 even for unrelated trial pairs), because channels have very different DC offsets and the flattened correlation was mostly measuring shared channel-ordering patterns, not real temporal similarity. Corrected by requiring high correlation on each of the 4 channels individually (the minimum across channels).</w:t>
      </w:r>
    </w:p>
    <w:p>
      <w:pPr>
        <w:spacing w:after="160"/>
      </w:pPr>
      <w:r>
        <w:rPr>
          <w:b/>
          <w:bCs/>
        </w:rPr>
        <w:t xml:space="preserve">Results of the corrected, exhaustive sweep:</w:t>
      </w:r>
    </w:p>
    <w:p>
      <w:pPr>
        <w:pStyle w:val="ListParagraph"/>
        <w:numPr>
          <w:ilvl w:val="0"/>
          <w:numId w:val="2"/>
        </w:numPr>
        <w:spacing w:after="80"/>
      </w:pPr>
      <w:r>
        <w:t xml:space="preserve">The 4 known offsets (243, 558, 648, 1035) each show exactly 9 pairs at correlation ≈1.000000 — true byte-level duplication.</w:t>
      </w:r>
    </w:p>
    <w:p>
      <w:pPr>
        <w:pStyle w:val="ListParagraph"/>
        <w:numPr>
          <w:ilvl w:val="0"/>
          <w:numId w:val="2"/>
        </w:numPr>
        <w:spacing w:after="80"/>
      </w:pPr>
      <w:r>
        <w:t xml:space="preserve">A handful of other offsets show 1–6 pairs at weaker correlations (0.99–0.996). Direct inspection of raw values showed these are NOT duplicates: means differ by 2–7%, and Time columns don't match. This is coincidental similarity in low-frequency waveform shape, not duplicated content.</w:t>
      </w:r>
    </w:p>
    <w:p>
      <w:pPr>
        <w:pStyle w:val="ListParagraph"/>
        <w:numPr>
          <w:ilvl w:val="0"/>
          <w:numId w:val="2"/>
        </w:numPr>
        <w:spacing w:after="80"/>
      </w:pPr>
      <w:r>
        <w:t xml:space="preserve">Small offsets (1–7) with weak matches correspond to consecutive or near-consecutive trials (e.g. trial 392↔393↔394↔395) — plausibly incomplete inter-trial reset, not duplication.</w:t>
      </w:r>
    </w:p>
    <w:p>
      <w:pPr>
        <w:spacing w:after="160"/>
      </w:pPr>
      <w:r>
        <w:rPr>
          <w:b/>
          <w:bCs/>
        </w:rPr>
        <w:t xml:space="preserve">Conclusion: </w:t>
      </w:r>
      <w:r>
        <w:t xml:space="preserve">the duplication is fully bounded to the 4 known blocks (36 trials). No additional undetected duplicate content exists anywhere in the dataset.</w:t>
      </w:r>
    </w:p>
    <w:p>
      <w:pPr>
        <w:pStyle w:val="Heading2"/>
        <w:spacing w:after="150" w:before="300"/>
      </w:pPr>
      <w:r>
        <w:t xml:space="preserve">1.5 Testing an alternative fix: shifting labels forward</w:t>
      </w:r>
    </w:p>
    <w:p>
      <w:pPr>
        <w:spacing w:after="160"/>
      </w:pPr>
      <w:r>
        <w:t xml:space="preserve">Two genuinely different hypotheses were tested for how to handle the 36 problem trials:</w:t>
      </w:r>
    </w:p>
    <w:p>
      <w:pPr>
        <w:pStyle w:val="ListParagraph"/>
        <w:numPr>
          <w:ilvl w:val="0"/>
          <w:numId w:val="2"/>
        </w:numPr>
        <w:spacing w:after="80"/>
      </w:pPr>
      <w:r>
        <w:t xml:space="preserve">Dataset A (adopted): drop each duplicate signal and its own label together — everyone else keeps their original label.</w:t>
      </w:r>
    </w:p>
    <w:p>
      <w:pPr>
        <w:pStyle w:val="ListParagraph"/>
        <w:numPr>
          <w:ilvl w:val="0"/>
          <w:numId w:val="2"/>
        </w:numPr>
        <w:spacing w:after="80"/>
      </w:pPr>
      <w:r>
        <w:t xml:space="preserve">Dataset B (alternative): drop only the duplicate signal, keep the full label sequence intact, and let every later trial's label shift forward by one position to close the gap.</w:t>
      </w:r>
    </w:p>
    <w:p>
      <w:pPr>
        <w:spacing w:after="160"/>
      </w:pPr>
      <w:r>
        <w:t xml:space="preserve">These produce meaningfully different datasets — 601 of 2,124 trials (28%) get a different label under Dataset B. Both were evaluated with the complete modeling suite (CSP with and without CAR, artifact-trial exclusion, multiple component counts, linear and non-linear classifiers, formal permutation testing):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2900"/>
        <w:gridCol w:w="2900"/>
      </w:tblGrid>
      <w:tr>
        <w:trPr>
          <w:tblHeader/>
        </w:trPr>
        <w:tc>
          <w:tcPr>
            <w:tcW w:type="dxa" w:w="3600"/>
            <w:shd w:fill="2F5496" w:val="clear"/>
          </w:tcPr>
          <w:p>
            <w:r>
              <w:rPr>
                <w:b/>
                <w:bCs/>
                <w:color w:val="FFFFFF"/>
              </w:rPr>
              <w:t xml:space="preserve">Configuration</w:t>
            </w:r>
          </w:p>
        </w:tc>
        <w:tc>
          <w:tcPr>
            <w:tcW w:type="dxa" w:w="2900"/>
            <w:shd w:fill="2F5496" w:val="clear"/>
          </w:tcPr>
          <w:p>
            <w:r>
              <w:rPr>
                <w:b/>
                <w:bCs/>
                <w:color w:val="FFFFFF"/>
              </w:rPr>
              <w:t xml:space="preserve">Dataset A (drop pair)</w:t>
            </w:r>
          </w:p>
        </w:tc>
        <w:tc>
          <w:tcPr>
            <w:tcW w:type="dxa" w:w="2900"/>
            <w:shd w:fill="2F5496" w:val="clear"/>
          </w:tcPr>
          <w:p>
            <w:r>
              <w:rPr>
                <w:b/>
                <w:bCs/>
                <w:color w:val="FFFFFF"/>
              </w:rPr>
              <w:t xml:space="preserve">Dataset B (shift labels)</w:t>
            </w:r>
          </w:p>
        </w:tc>
      </w:tr>
      <w:tr>
        <w:tc>
          <w:tcPr>
            <w:tcW w:type="dxa" w:w="3600"/>
          </w:tcPr>
          <w:p>
            <w:r>
              <w:t xml:space="preserve">CSP, no CAR — LDA / SVM / LogReg</w:t>
            </w:r>
          </w:p>
        </w:tc>
        <w:tc>
          <w:tcPr>
            <w:tcW w:type="dxa" w:w="2900"/>
          </w:tcPr>
          <w:p>
            <w:r>
              <w:t xml:space="preserve">≈0.50 / 0.51 / 0.50</w:t>
            </w:r>
          </w:p>
        </w:tc>
        <w:tc>
          <w:tcPr>
            <w:tcW w:type="dxa" w:w="2900"/>
          </w:tcPr>
          <w:p>
            <w:r>
              <w:t xml:space="preserve">0.503 / 0.505 / 0.503</w:t>
            </w:r>
          </w:p>
        </w:tc>
      </w:tr>
      <w:tr>
        <w:tc>
          <w:tcPr>
            <w:tcW w:type="dxa" w:w="3600"/>
          </w:tcPr>
          <w:p>
            <w:r>
              <w:t xml:space="preserve">CSP + CAR — LDA / SVM / LogReg</w:t>
            </w:r>
          </w:p>
        </w:tc>
        <w:tc>
          <w:tcPr>
            <w:tcW w:type="dxa" w:w="2900"/>
          </w:tcPr>
          <w:p>
            <w:r>
              <w:t xml:space="preserve">≈0.51 / 0.50 / 0.51</w:t>
            </w:r>
          </w:p>
        </w:tc>
        <w:tc>
          <w:tcPr>
            <w:tcW w:type="dxa" w:w="2900"/>
          </w:tcPr>
          <w:p>
            <w:r>
              <w:t xml:space="preserve">0.505 / 0.507 / 0.505</w:t>
            </w:r>
          </w:p>
        </w:tc>
      </w:tr>
      <w:tr>
        <w:tc>
          <w:tcPr>
            <w:tcW w:type="dxa" w:w="3600"/>
          </w:tcPr>
          <w:p>
            <w:r>
              <w:t xml:space="preserve">CSP, artifact trials excluded</w:t>
            </w:r>
          </w:p>
        </w:tc>
        <w:tc>
          <w:tcPr>
            <w:tcW w:type="dxa" w:w="2900"/>
          </w:tcPr>
          <w:p>
            <w:r>
              <w:t xml:space="preserve">≈0.506</w:t>
            </w:r>
          </w:p>
        </w:tc>
        <w:tc>
          <w:tcPr>
            <w:tcW w:type="dxa" w:w="2900"/>
          </w:tcPr>
          <w:p>
            <w:r>
              <w:t xml:space="preserve">0.500</w:t>
            </w:r>
          </w:p>
        </w:tc>
      </w:tr>
      <w:tr>
        <w:tc>
          <w:tcPr>
            <w:tcW w:type="dxa" w:w="3600"/>
          </w:tcPr>
          <w:p>
            <w:r>
              <w:t xml:space="preserve">MLP on CSP features</w:t>
            </w:r>
          </w:p>
        </w:tc>
        <w:tc>
          <w:tcPr>
            <w:tcW w:type="dxa" w:w="2900"/>
          </w:tcPr>
          <w:p>
            <w:r>
              <w:t xml:space="preserve">≈0.502</w:t>
            </w:r>
          </w:p>
        </w:tc>
        <w:tc>
          <w:tcPr>
            <w:tcW w:type="dxa" w:w="2900"/>
          </w:tcPr>
          <w:p>
            <w:r>
              <w:t xml:space="preserve">0.502</w:t>
            </w:r>
          </w:p>
        </w:tc>
      </w:tr>
      <w:tr>
        <w:tc>
          <w:tcPr>
            <w:tcW w:type="dxa" w:w="3600"/>
          </w:tcPr>
          <w:p>
            <w:r>
              <w:t xml:space="preserve">Permutation test p-value</w:t>
            </w:r>
          </w:p>
        </w:tc>
        <w:tc>
          <w:tcPr>
            <w:tcW w:type="dxa" w:w="2900"/>
          </w:tcPr>
          <w:p>
            <w:r>
              <w:t xml:space="preserve">0.692</w:t>
            </w:r>
          </w:p>
        </w:tc>
        <w:tc>
          <w:tcPr>
            <w:tcW w:type="dxa" w:w="2900"/>
          </w:tcPr>
          <w:p>
            <w:r>
              <w:t xml:space="preserve">0.269</w:t>
            </w:r>
          </w:p>
        </w:tc>
      </w:tr>
    </w:tbl>
    <w:p>
      <w:pPr>
        <w:spacing w:after="160"/>
      </w:pPr>
      <w:r>
        <w:t xml:space="preserve"/>
      </w:r>
    </w:p>
    <w:p>
      <w:pPr>
        <w:spacing w:after="160"/>
      </w:pPr>
      <w:r>
        <w:rPr>
          <w:b/>
          <w:bCs/>
        </w:rPr>
        <w:t xml:space="preserve">Conclusion: </w:t>
      </w:r>
      <w:r>
        <w:t xml:space="preserve">both alignments are equally undecodable. Dataset A (the simpler approach) is retained as standard — it performs identically without the extra unverified assumption of shifting 28% of all labels.</w:t>
      </w:r>
    </w:p>
    <w:p>
      <w:pPr>
        <w:pBdr>
          <w:bottom w:val="single" w:color="AAAAAA" w:sz="6" w:space="1"/>
        </w:pBdr>
        <w:spacing w:after="200"/>
      </w:pPr>
    </w:p>
    <w:p>
      <w:pPr>
        <w:pStyle w:val="Heading1"/>
        <w:spacing w:after="200" w:before="400"/>
      </w:pPr>
      <w:r>
        <w:t xml:space="preserve">2. Frozen/Stuck-Value Samples (New Finding)</w:t>
      </w:r>
    </w:p>
    <w:p>
      <w:pPr>
        <w:spacing w:after="160"/>
      </w:pPr>
      <w:r>
        <w:t xml:space="preserve">While investigating the offset sweep, a trial was noticed with several consecutive rows of byte-identical values across all 4 channels — not a duplicate of another trial, but a freeze within a single trial. This was investigated systematically across the full dataset.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00"/>
        <w:gridCol w:w="2400"/>
        <w:gridCol w:w="2400"/>
      </w:tblGrid>
      <w:tr>
        <w:trPr>
          <w:tblHeader/>
        </w:trPr>
        <w:tc>
          <w:tcPr>
            <w:tcW w:type="dxa" w:w="4600"/>
            <w:shd w:fill="2F5496" w:val="clear"/>
          </w:tcPr>
          <w:p>
            <w:r>
              <w:rPr>
                <w:b/>
                <w:bCs/>
                <w:color w:val="FFFFFF"/>
              </w:rPr>
              <w:t xml:space="preserve">Severity threshold</w:t>
            </w:r>
          </w:p>
        </w:tc>
        <w:tc>
          <w:tcPr>
            <w:tcW w:type="dxa" w:w="2400"/>
            <w:shd w:fill="2F5496" w:val="clear"/>
          </w:tcPr>
          <w:p>
            <w:r>
              <w:rPr>
                <w:b/>
                <w:bCs/>
                <w:color w:val="FFFFFF"/>
              </w:rPr>
              <w:t xml:space="preserve">Trials affected</w:t>
            </w:r>
          </w:p>
        </w:tc>
        <w:tc>
          <w:tcPr>
            <w:tcW w:type="dxa" w:w="2400"/>
            <w:shd w:fill="2F5496" w:val="clear"/>
          </w:tcPr>
          <w:p>
            <w:r>
              <w:rPr>
                <w:b/>
                <w:bCs/>
                <w:color w:val="FFFFFF"/>
              </w:rPr>
              <w:t xml:space="preserve">% of dataset</w:t>
            </w:r>
          </w:p>
        </w:tc>
      </w:tr>
      <w:tr>
        <w:tc>
          <w:tcPr>
            <w:tcW w:type="dxa" w:w="4600"/>
          </w:tcPr>
          <w:p>
            <w:r>
              <w:t xml:space="preserve">≥10 consecutive identical samples</w:t>
            </w:r>
          </w:p>
        </w:tc>
        <w:tc>
          <w:tcPr>
            <w:tcW w:type="dxa" w:w="2400"/>
          </w:tcPr>
          <w:p>
            <w:r>
              <w:t xml:space="preserve">423</w:t>
            </w:r>
          </w:p>
        </w:tc>
        <w:tc>
          <w:tcPr>
            <w:tcW w:type="dxa" w:w="2400"/>
          </w:tcPr>
          <w:p>
            <w:r>
              <w:t xml:space="preserve">19.58%</w:t>
            </w:r>
          </w:p>
        </w:tc>
      </w:tr>
      <w:tr>
        <w:tc>
          <w:tcPr>
            <w:tcW w:type="dxa" w:w="4600"/>
          </w:tcPr>
          <w:p>
            <w:r>
              <w:t xml:space="preserve">≥50 consecutive identical samples</w:t>
            </w:r>
          </w:p>
        </w:tc>
        <w:tc>
          <w:tcPr>
            <w:tcW w:type="dxa" w:w="2400"/>
          </w:tcPr>
          <w:p>
            <w:r>
              <w:t xml:space="preserve">133</w:t>
            </w:r>
          </w:p>
        </w:tc>
        <w:tc>
          <w:tcPr>
            <w:tcW w:type="dxa" w:w="2400"/>
          </w:tcPr>
          <w:p>
            <w:r>
              <w:t xml:space="preserve">6.16%</w:t>
            </w:r>
          </w:p>
        </w:tc>
      </w:tr>
      <w:tr>
        <w:tc>
          <w:tcPr>
            <w:tcW w:type="dxa" w:w="4600"/>
          </w:tcPr>
          <w:p>
            <w:r>
              <w:t xml:space="preserve">≥100 consecutive identical samples</w:t>
            </w:r>
          </w:p>
        </w:tc>
        <w:tc>
          <w:tcPr>
            <w:tcW w:type="dxa" w:w="2400"/>
          </w:tcPr>
          <w:p>
            <w:r>
              <w:t xml:space="preserve">31</w:t>
            </w:r>
          </w:p>
        </w:tc>
        <w:tc>
          <w:tcPr>
            <w:tcW w:type="dxa" w:w="2400"/>
          </w:tcPr>
          <w:p>
            <w:r>
              <w:t xml:space="preserve">1.44%</w:t>
            </w:r>
          </w:p>
        </w:tc>
      </w:tr>
    </w:tbl>
    <w:p>
      <w:pPr>
        <w:spacing w:after="160"/>
      </w:pPr>
      <w:r>
        <w:t xml:space="preserve"/>
      </w:r>
    </w:p>
    <w:p>
      <w:pPr>
        <w:spacing w:after="160"/>
      </w:pPr>
      <w:r>
        <w:t xml:space="preserve">The worst-affected trial (ID 247) freezes for 307 consecutive samples — over 12% of the entire 2,500-sample trial. Critically, the freeze hits all 4 channels simultaneously at the exact same position, which is the signature of a system-level acquisition glitch (a buffer stall or communication hiccup) rather than an electrode-specific artifact. Affected trials are spread across nearly the entire dataset (present in every 100-trial range), not confined to a single recording session.</w:t>
      </w:r>
    </w:p>
    <w:p>
      <w:pPr>
        <w:pStyle w:val="Heading2"/>
        <w:spacing w:after="150" w:before="300"/>
      </w:pPr>
      <w:r>
        <w:t xml:space="preserve">2.1 Does repairing it help classification?</w:t>
      </w:r>
    </w:p>
    <w:p>
      <w:pPr>
        <w:spacing w:after="160"/>
      </w:pPr>
      <w:r>
        <w:t xml:space="preserve">All 18,188 stuck-value segments (≥5 samples) were repaired via linear interpolation between the values immediately before and after each freeze, and the full CSP+LDA evaluation was rerun: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3500"/>
        <w:gridCol w:w="1900"/>
      </w:tblGrid>
      <w:tr>
        <w:trPr>
          <w:tblHeader/>
        </w:trPr>
        <w:tc>
          <w:tcPr>
            <w:tcW w:type="dxa" w:w="4000"/>
            <w:shd w:fill="2F5496" w:val="clear"/>
          </w:tcPr>
          <w:p>
            <w:r>
              <w:rPr>
                <w:b/>
                <w:bCs/>
                <w:color w:val="FFFFFF"/>
              </w:rPr>
              <w:t xml:space="preserve">Version</w:t>
            </w:r>
          </w:p>
        </w:tc>
        <w:tc>
          <w:tcPr>
            <w:tcW w:type="dxa" w:w="3500"/>
            <w:shd w:fill="2F5496" w:val="clear"/>
          </w:tcPr>
          <w:p>
            <w:r>
              <w:rPr>
                <w:b/>
                <w:bCs/>
                <w:color w:val="FFFFFF"/>
              </w:rPr>
              <w:t xml:space="preserve">CSP+LDA accuracy (10-seed CV)</w:t>
            </w:r>
          </w:p>
        </w:tc>
        <w:tc>
          <w:tcPr>
            <w:tcW w:type="dxa" w:w="1900"/>
            <w:shd w:fill="2F5496" w:val="clear"/>
          </w:tcPr>
          <w:p>
            <w:r>
              <w:rPr>
                <w:b/>
                <w:bCs/>
                <w:color w:val="FFFFFF"/>
              </w:rPr>
              <w:t xml:space="preserve">Permutation p-value</w:t>
            </w:r>
          </w:p>
        </w:tc>
      </w:tr>
      <w:tr>
        <w:tc>
          <w:tcPr>
            <w:tcW w:type="dxa" w:w="4000"/>
          </w:tcPr>
          <w:p>
            <w:r>
              <w:t xml:space="preserve">Original (unrepaired) signal</w:t>
            </w:r>
          </w:p>
        </w:tc>
        <w:tc>
          <w:tcPr>
            <w:tcW w:type="dxa" w:w="3500"/>
          </w:tcPr>
          <w:p>
            <w:r>
              <w:t xml:space="preserve">0.5049</w:t>
            </w:r>
          </w:p>
        </w:tc>
        <w:tc>
          <w:tcPr>
            <w:tcW w:type="dxa" w:w="1900"/>
          </w:tcPr>
          <w:p>
            <w:r>
              <w:t xml:space="preserve">—</w:t>
            </w:r>
          </w:p>
        </w:tc>
      </w:tr>
      <w:tr>
        <w:tc>
          <w:tcPr>
            <w:tcW w:type="dxa" w:w="4000"/>
          </w:tcPr>
          <w:p>
            <w:r>
              <w:t xml:space="preserve">Stuck-value-repaired signal</w:t>
            </w:r>
          </w:p>
        </w:tc>
        <w:tc>
          <w:tcPr>
            <w:tcW w:type="dxa" w:w="3500"/>
          </w:tcPr>
          <w:p>
            <w:r>
              <w:t xml:space="preserve">0.5079</w:t>
            </w:r>
          </w:p>
        </w:tc>
        <w:tc>
          <w:tcPr>
            <w:tcW w:type="dxa" w:w="1900"/>
          </w:tcPr>
          <w:p>
            <w:r>
              <w:t xml:space="preserve">0.346</w:t>
            </w:r>
          </w:p>
        </w:tc>
      </w:tr>
      <w:tr>
        <w:tc>
          <w:tcPr>
            <w:tcW w:type="dxa" w:w="4000"/>
          </w:tcPr>
          <w:p>
            <w:r>
              <w:t xml:space="preserve">Excluding trials with runs ≥50</w:t>
            </w:r>
          </w:p>
        </w:tc>
        <w:tc>
          <w:tcPr>
            <w:tcW w:type="dxa" w:w="3500"/>
          </w:tcPr>
          <w:p>
            <w:r>
              <w:t xml:space="preserve">0.5004</w:t>
            </w:r>
          </w:p>
        </w:tc>
        <w:tc>
          <w:tcPr>
            <w:tcW w:type="dxa" w:w="1900"/>
          </w:tcPr>
          <w:p>
            <w:r>
              <w:t xml:space="preserve">—</w:t>
            </w:r>
          </w:p>
        </w:tc>
      </w:tr>
      <w:tr>
        <w:tc>
          <w:tcPr>
            <w:tcW w:type="dxa" w:w="4000"/>
          </w:tcPr>
          <w:p>
            <w:r>
              <w:t xml:space="preserve">Excluding trials with runs ≥100</w:t>
            </w:r>
          </w:p>
        </w:tc>
        <w:tc>
          <w:tcPr>
            <w:tcW w:type="dxa" w:w="3500"/>
          </w:tcPr>
          <w:p>
            <w:r>
              <w:t xml:space="preserve">0.5028</w:t>
            </w:r>
          </w:p>
        </w:tc>
        <w:tc>
          <w:tcPr>
            <w:tcW w:type="dxa" w:w="1900"/>
          </w:tcPr>
          <w:p>
            <w:r>
              <w:t xml:space="preserve">—</w:t>
            </w:r>
          </w:p>
        </w:tc>
      </w:tr>
    </w:tbl>
    <w:p>
      <w:pPr>
        <w:spacing w:after="160"/>
      </w:pPr>
      <w:r>
        <w:t xml:space="preserve"/>
      </w:r>
    </w:p>
    <w:p>
      <w:pPr>
        <w:spacing w:after="160"/>
      </w:pPr>
      <w:r>
        <w:rPr>
          <w:b/>
          <w:bCs/>
        </w:rPr>
        <w:t xml:space="preserve">Conclusion: </w:t>
      </w:r>
      <w:r>
        <w:t xml:space="preserve">this is a real, reportable hardware/acquisition defect worth fixing at the source, but it is not the explanation for the chance-level classification result — repairing or excluding affected trials makes no significant difference.</w:t>
      </w:r>
    </w:p>
    <w:p>
      <w:pPr>
        <w:pBdr>
          <w:bottom w:val="single" w:color="AAAAAA" w:sz="6" w:space="1"/>
        </w:pBdr>
        <w:spacing w:after="200"/>
      </w:pPr>
    </w:p>
    <w:p>
      <w:pPr>
        <w:pStyle w:val="Heading1"/>
        <w:spacing w:after="200" w:before="400"/>
      </w:pPr>
      <w:r>
        <w:t xml:space="preserve">3. Sampling Rate Correction</w:t>
      </w:r>
    </w:p>
    <w:p>
      <w:pPr>
        <w:spacing w:after="160"/>
      </w:pPr>
      <w:r>
        <w:t xml:space="preserve">Raw timestamps are bursty — gaps between consecutive samples range from about 2 microseconds up to roughly 150 milliseconds within the same trial. A naive estimate using the median inter-sample interval (1/median(Δt)) suggests a sampling rate of approximately 400 Hz. This is unreliable precisely because the timestamps are so irregular — the median is pulled toward the many near-zero gaps.</w:t>
      </w:r>
    </w:p>
    <w:p>
      <w:pPr>
        <w:spacing w:after="160"/>
      </w:pPr>
      <w:r>
        <w:t xml:space="preserve">A more robust estimate uses each trial's known duration and sample count: fs ≈ (n_samples − 1) / duration. Applied across 300 sampled trials, this gives a tight, consistent estimate of ≈250 Hz (mean 250.1 Hz, std 2.9 Hz) — matching a common consumer/research EEG acquisition rate, and far more physically plausible than 400 Hz.</w:t>
      </w:r>
    </w:p>
    <w:p>
      <w:pPr>
        <w:spacing w:after="160"/>
      </w:pPr>
      <w:r>
        <w:t xml:space="preserve">Naive linear interpolation onto a uniform 250 Hz grid was tested and found to distort the signal further (inflating high-frequency power) rather than fixing it, because a meaningful fraction of gaps are near-duplicate timestamps rather than simple jitter around a true grid. Recommendation: treat raw row order as evenly spaced at 250 Hz rather than resampling.</w:t>
      </w:r>
    </w:p>
    <w:p>
      <w:pPr>
        <w:pBdr>
          <w:bottom w:val="single" w:color="AAAAAA" w:sz="6" w:space="1"/>
        </w:pBdr>
        <w:spacing w:after="200"/>
      </w:pPr>
    </w:p>
    <w:p>
      <w:pPr>
        <w:pStyle w:val="Heading1"/>
        <w:spacing w:after="200" w:before="400"/>
      </w:pPr>
      <w:r>
        <w:t xml:space="preserve">4. Line Noise and Drift Dominance</w:t>
      </w:r>
    </w:p>
    <w:p>
      <w:pPr>
        <w:spacing w:after="160"/>
      </w:pPr>
      <w:r>
        <w:t xml:space="preserve">The raw signal spectrum on C3 and C4 is dominated by a 50 Hz spike (consistent with Egyptian mains power) accounting for roughly 92–97% of total signal power, with low-frequency drift (0–3 Hz) adding a further 2–4%. The neurologically relevant 8–30 Hz mu/beta band — the range most associated with motor imagery — contributes under 0.5% of raw power. Filtering is therefore a prerequisite for any frequency-domain analysis to be meaningful, not an optional step.</w:t>
      </w:r>
    </w:p>
    <w:p>
      <w:pPr>
        <w:spacing w:after="160"/>
      </w:pPr>
      <w:r>
        <w:t xml:space="preserve">A 0.5–40 Hz band-pass filter alone leaves 12–14% residual line-noise power — insufficient on its own; a 50 Hz notch filter is needed in addition for a general-purpose "clean" broadband signal. For feature extraction specifically in the 8–30 Hz band (as used for CSP/motor-imagery features), a direct 8–30 Hz band-pass removes line noise completely (residual under 0.2%) without a separate notch step.</w:t>
      </w:r>
    </w:p>
    <w:p>
      <w:pPr>
        <w:pBdr>
          <w:bottom w:val="single" w:color="AAAAAA" w:sz="6" w:space="1"/>
        </w:pBdr>
        <w:spacing w:after="200"/>
      </w:pPr>
    </w:p>
    <w:p>
      <w:pPr>
        <w:pStyle w:val="Heading1"/>
        <w:spacing w:after="200" w:before="400"/>
      </w:pPr>
      <w:r>
        <w:t xml:space="preserve">5. Recording Session / Block Structure</w:t>
      </w:r>
    </w:p>
    <w:p>
      <w:pPr>
        <w:spacing w:after="160"/>
      </w:pPr>
      <w:r>
        <w:t xml:space="preserve">The Time column shows the dataset was assembled from multiple interleaved recording sessions with independent clocks — dozens of large backward jumps occur in the running timestamp as trial ID increases. Segmenting trials by these clock discontinuities identifies 40 blocks, and every single block size is an exact multiple of 9 (9, 18, 36, 45, 54, 63, 81, 90, 99, 108) — the same block size found in the duplicate-trial investigation (Section 1), suggesting trials are fundamentally organized in 9-trial batches.</w:t>
      </w:r>
    </w:p>
    <w:p>
      <w:pPr>
        <w:spacing w:after="160"/>
      </w:pPr>
      <w:r>
        <w:t xml:space="preserve">Per-block classification accuracy was tested to check whether pooling sessions together was diluting a real signal present in a subset of blocks. Accuracy across 22 blocks with ≥50 trials ranged from 0.38 to 0.64 (std 0.073) — but a label-shuffle control test showed this spread is statistically indistinguishable from pure sampling noise (shuffled-label null: mean std 0.068, mean best-block 0.633; p=0.45 for the spread, p=0.68 for the best single block). </w:t>
      </w:r>
    </w:p>
    <w:p>
      <w:pPr>
        <w:spacing w:after="160"/>
      </w:pPr>
      <w:r>
        <w:rPr>
          <w:b/>
          <w:bCs/>
        </w:rPr>
        <w:t xml:space="preserve">Conclusion: </w:t>
      </w:r>
      <w:r>
        <w:t xml:space="preserve">no individual session or block carries a decodable signal that pooling is hiding.</w:t>
      </w:r>
    </w:p>
    <w:p>
      <w:pPr>
        <w:pBdr>
          <w:bottom w:val="single" w:color="AAAAAA" w:sz="6" w:space="1"/>
        </w:pBdr>
        <w:spacing w:after="200"/>
      </w:pPr>
    </w:p>
    <w:p>
      <w:pPr>
        <w:pStyle w:val="Heading1"/>
        <w:spacing w:after="200" w:before="400"/>
      </w:pPr>
      <w:r>
        <w:t xml:space="preserve">6. Channel Correlation Anomaly</w:t>
      </w:r>
    </w:p>
    <w:p>
      <w:pPr>
        <w:spacing w:after="160"/>
      </w:pPr>
      <w:r>
        <w:t xml:space="preserve">The raw channel correlation matrix (pooled across 200 sampled trials) shows an unexpected pattern: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00"/>
      </w:tblGrid>
      <w:tr>
        <w:trPr>
          <w:tblHeader/>
        </w:trPr>
        <w:tc>
          <w:tcPr>
            <w:tcW w:type="dxa" w:w="2600"/>
            <w:shd w:fill="2F5496" w:val="clear"/>
          </w:tcPr>
          <w:p>
            <w:r>
              <w:rPr>
                <w:b/>
                <w:bCs/>
                <w:color w:val="FFFFFF"/>
              </w:rPr>
              <w:t xml:space="preserve">Channel pair</w:t>
            </w:r>
          </w:p>
        </w:tc>
        <w:tc>
          <w:tcPr>
            <w:tcW w:type="dxa" w:w="2200"/>
            <w:shd w:fill="2F5496" w:val="clear"/>
          </w:tcPr>
          <w:p>
            <w:r>
              <w:rPr>
                <w:b/>
                <w:bCs/>
                <w:color w:val="FFFFFF"/>
              </w:rPr>
              <w:t xml:space="preserve">Correlation</w:t>
            </w:r>
          </w:p>
        </w:tc>
        <w:tc>
          <w:tcPr>
            <w:tcW w:type="dxa" w:w="4500"/>
            <w:shd w:fill="2F5496" w:val="clear"/>
          </w:tcPr>
          <w:p>
            <w:r>
              <w:rPr>
                <w:b/>
                <w:bCs/>
                <w:color w:val="FFFFFF"/>
              </w:rPr>
              <w:t xml:space="preserve">Expected (by scalp adjacency)</w:t>
            </w:r>
          </w:p>
        </w:tc>
      </w:tr>
      <w:tr>
        <w:tc>
          <w:tcPr>
            <w:tcW w:type="dxa" w:w="2600"/>
          </w:tcPr>
          <w:p>
            <w:r>
              <w:t xml:space="preserve">FZ – CZ</w:t>
            </w:r>
          </w:p>
        </w:tc>
        <w:tc>
          <w:tcPr>
            <w:tcW w:type="dxa" w:w="2200"/>
          </w:tcPr>
          <w:p>
            <w:r>
              <w:t xml:space="preserve">0.79</w:t>
            </w:r>
          </w:p>
        </w:tc>
        <w:tc>
          <w:tcPr>
            <w:tcW w:type="dxa" w:w="4500"/>
          </w:tcPr>
          <w:p>
            <w:r>
              <w:t xml:space="preserve">High (adjacent)</w:t>
            </w:r>
          </w:p>
        </w:tc>
      </w:tr>
      <w:tr>
        <w:tc>
          <w:tcPr>
            <w:tcW w:type="dxa" w:w="2600"/>
          </w:tcPr>
          <w:p>
            <w:r>
              <w:t xml:space="preserve">CZ – C4</w:t>
            </w:r>
          </w:p>
        </w:tc>
        <w:tc>
          <w:tcPr>
            <w:tcW w:type="dxa" w:w="2200"/>
          </w:tcPr>
          <w:p>
            <w:r>
              <w:t xml:space="preserve">0.77</w:t>
            </w:r>
          </w:p>
        </w:tc>
        <w:tc>
          <w:tcPr>
            <w:tcW w:type="dxa" w:w="4500"/>
          </w:tcPr>
          <w:p>
            <w:r>
              <w:t xml:space="preserve">High (adjacent)</w:t>
            </w:r>
          </w:p>
        </w:tc>
      </w:tr>
      <w:tr>
        <w:tc>
          <w:tcPr>
            <w:tcW w:type="dxa" w:w="2600"/>
          </w:tcPr>
          <w:p>
            <w:r>
              <w:t xml:space="preserve">FZ – C3</w:t>
            </w:r>
          </w:p>
        </w:tc>
        <w:tc>
          <w:tcPr>
            <w:tcW w:type="dxa" w:w="2200"/>
          </w:tcPr>
          <w:p>
            <w:r>
              <w:t xml:space="preserve">0.74</w:t>
            </w:r>
          </w:p>
        </w:tc>
        <w:tc>
          <w:tcPr>
            <w:tcW w:type="dxa" w:w="4500"/>
          </w:tcPr>
          <w:p>
            <w:r>
              <w:t xml:space="preserve">Moderate</w:t>
            </w:r>
          </w:p>
        </w:tc>
      </w:tr>
      <w:tr>
        <w:tc>
          <w:tcPr>
            <w:tcW w:type="dxa" w:w="2600"/>
          </w:tcPr>
          <w:p>
            <w:r>
              <w:t xml:space="preserve">C3 – C4</w:t>
            </w:r>
          </w:p>
        </w:tc>
        <w:tc>
          <w:tcPr>
            <w:tcW w:type="dxa" w:w="2200"/>
          </w:tcPr>
          <w:p>
            <w:r>
              <w:t xml:space="preserve">0.57</w:t>
            </w:r>
          </w:p>
        </w:tc>
        <w:tc>
          <w:tcPr>
            <w:tcW w:type="dxa" w:w="4500"/>
          </w:tcPr>
          <w:p>
            <w:r>
              <w:t xml:space="preserve">Lower (opposite hemispheres)</w:t>
            </w:r>
          </w:p>
        </w:tc>
      </w:tr>
      <w:tr>
        <w:tc>
          <w:tcPr>
            <w:tcW w:type="dxa" w:w="2600"/>
          </w:tcPr>
          <w:p>
            <w:r>
              <w:t xml:space="preserve">C3 – CZ</w:t>
            </w:r>
          </w:p>
        </w:tc>
        <w:tc>
          <w:tcPr>
            <w:tcW w:type="dxa" w:w="2200"/>
          </w:tcPr>
          <w:p>
            <w:r>
              <w:t xml:space="preserve">0.40</w:t>
            </w:r>
          </w:p>
        </w:tc>
        <w:tc>
          <w:tcPr>
            <w:tcW w:type="dxa" w:w="4500"/>
          </w:tcPr>
          <w:p>
            <w:r>
              <w:t xml:space="preserve">Expected high (adjacent) — but lowest observed</w:t>
            </w:r>
          </w:p>
        </w:tc>
      </w:tr>
    </w:tbl>
    <w:p>
      <w:pPr>
        <w:spacing w:after="160"/>
      </w:pPr>
      <w:r>
        <w:t xml:space="preserve"/>
      </w:r>
    </w:p>
    <w:p>
      <w:pPr>
        <w:spacing w:after="160"/>
      </w:pPr>
      <w:r>
        <w:t xml:space="preserve">C3 and CZ are adjacent on the scalp and would typically be expected to correlate more strongly via volume conduction, yet this pair shows the weakest correlation of any combination — weaker even than C3–C4 (opposite hemispheres). This does not prove a channel-labeling or montage error, but it is the kind of pattern that would appear if one existed. This could not be independently verified or resolved without ground truth on the actual electrode setup.</w:t>
      </w:r>
    </w:p>
    <w:p>
      <w:pPr>
        <w:pBdr>
          <w:bottom w:val="single" w:color="AAAAAA" w:sz="6" w:space="1"/>
        </w:pBdr>
        <w:spacing w:after="200"/>
      </w:pPr>
    </w:p>
    <w:p>
      <w:pPr>
        <w:pStyle w:val="Heading1"/>
        <w:spacing w:after="200" w:before="400"/>
      </w:pPr>
      <w:r>
        <w:t xml:space="preserve">7. The 240 "Extra" Labels</w:t>
      </w:r>
    </w:p>
    <w:p>
      <w:pPr>
        <w:spacing w:after="160"/>
      </w:pPr>
      <w:r>
        <w:t xml:space="preserve">labels.csv contains 2,400 rows against 2,160 signal files. Per the Data-Loading report, the instructor confirmed the last 240 labels are discarded. Before accepting this at face value, the last 240 labels were checked for any sign of a different generation process:</w:t>
      </w:r>
    </w:p>
    <w:p>
      <w:pPr>
        <w:pStyle w:val="ListParagraph"/>
        <w:numPr>
          <w:ilvl w:val="0"/>
          <w:numId w:val="2"/>
        </w:numPr>
        <w:spacing w:after="80"/>
      </w:pPr>
      <w:r>
        <w:t xml:space="preserve">Class balance: first 2,160 = 50.1% left; last 240 = 43.8% left. A chi-square test gives p=0.072 — not statistically significant.</w:t>
      </w:r>
    </w:p>
    <w:p>
      <w:pPr>
        <w:pStyle w:val="ListParagraph"/>
        <w:numPr>
          <w:ilvl w:val="0"/>
          <w:numId w:val="2"/>
        </w:numPr>
        <w:spacing w:after="80"/>
      </w:pPr>
      <w:r>
        <w:t xml:space="preserve">Run-length structure (how labels sequence into streaks of the same class): first 2,160 has mean run 1.95, max run 9; last 240 has mean run 2.00, max run 9 — nearly identical.</w:t>
      </w:r>
    </w:p>
    <w:p>
      <w:pPr>
        <w:spacing w:after="160"/>
      </w:pPr>
      <w:r>
        <w:rPr>
          <w:b/>
          <w:bCs/>
        </w:rPr>
        <w:t xml:space="preserve">Conclusion: </w:t>
      </w:r>
      <w:r>
        <w:t xml:space="preserve">the last 240 labels are statistically unremarkable and consistent with the mundane explanation already given — planned trials that were never successfully recorded, not a differently-generated batch or a hidden clue.</w:t>
      </w:r>
    </w:p>
    <w:p>
      <w:pPr>
        <w:pBdr>
          <w:bottom w:val="single" w:color="AAAAAA" w:sz="6" w:space="1"/>
        </w:pBdr>
        <w:spacing w:after="200"/>
      </w:pPr>
    </w:p>
    <w:p>
      <w:pPr>
        <w:pStyle w:val="Heading1"/>
        <w:spacing w:after="200" w:before="400"/>
      </w:pPr>
      <w:r>
        <w:t xml:space="preserve">8. Modeling Summary: A Comprehensive, Reproducible Null Result</w:t>
      </w:r>
    </w:p>
    <w:p>
      <w:pPr>
        <w:spacing w:after="160"/>
      </w:pPr>
      <w:r>
        <w:t xml:space="preserve">Every plausible fix and modeling configuration was tested, using proper nested cross-validation (CSP spatial filters refit on each training fold only) and — critically — repeated cross-validation and formal permutation testing throughout. This was not optional: an early single-CV-seed result appeared to show a significant effect (accuracy ≈52.6%, apparent p≈0.03), which properly averaging over multiple CV seeds revealed was simply a favorable train/test split, not a real effect. Every result below reflects that more rigorous standard.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200"/>
        <w:gridCol w:w="3100"/>
      </w:tblGrid>
      <w:tr>
        <w:trPr>
          <w:tblHeader/>
        </w:trPr>
        <w:tc>
          <w:tcPr>
            <w:tcW w:type="dxa" w:w="6200"/>
            <w:shd w:fill="2F5496" w:val="clear"/>
          </w:tcPr>
          <w:p>
            <w:r>
              <w:rPr>
                <w:b/>
                <w:bCs/>
                <w:color w:val="FFFFFF"/>
              </w:rPr>
              <w:t xml:space="preserve">Configuration tested</w:t>
            </w:r>
          </w:p>
        </w:tc>
        <w:tc>
          <w:tcPr>
            <w:tcW w:type="dxa" w:w="3100"/>
            <w:shd w:fill="2F5496" w:val="clear"/>
          </w:tcPr>
          <w:p>
            <w:r>
              <w:rPr>
                <w:b/>
                <w:bCs/>
                <w:color w:val="FFFFFF"/>
              </w:rPr>
              <w:t xml:space="preserve">Result</w:t>
            </w:r>
          </w:p>
        </w:tc>
      </w:tr>
      <w:tr>
        <w:tc>
          <w:tcPr>
            <w:tcW w:type="dxa" w:w="6200"/>
          </w:tcPr>
          <w:p>
            <w:r>
              <w:t xml:space="preserve">Simple band-power features + Logistic Regression (multivariate, all 4 channels)</w:t>
            </w:r>
          </w:p>
        </w:tc>
        <w:tc>
          <w:tcPr>
            <w:tcW w:type="dxa" w:w="3100"/>
          </w:tcPr>
          <w:p>
            <w:r>
              <w:t xml:space="preserve">Chance (~50%)</w:t>
            </w:r>
          </w:p>
        </w:tc>
      </w:tr>
      <w:tr>
        <w:tc>
          <w:tcPr>
            <w:tcW w:type="dxa" w:w="6200"/>
          </w:tcPr>
          <w:p>
            <w:r>
              <w:t xml:space="preserve">CSP + LDA / SVM / Logistic Regression, no CAR</w:t>
            </w:r>
          </w:p>
        </w:tc>
        <w:tc>
          <w:tcPr>
            <w:tcW w:type="dxa" w:w="3100"/>
          </w:tcPr>
          <w:p>
            <w:r>
              <w:t xml:space="preserve">Chance (~50%)</w:t>
            </w:r>
          </w:p>
        </w:tc>
      </w:tr>
      <w:tr>
        <w:tc>
          <w:tcPr>
            <w:tcW w:type="dxa" w:w="6200"/>
          </w:tcPr>
          <w:p>
            <w:r>
              <w:t xml:space="preserve">CSP + CAR (common average reference)</w:t>
            </w:r>
          </w:p>
        </w:tc>
        <w:tc>
          <w:tcPr>
            <w:tcW w:type="dxa" w:w="3100"/>
          </w:tcPr>
          <w:p>
            <w:r>
              <w:t xml:space="preserve">Chance (~50%)</w:t>
            </w:r>
          </w:p>
        </w:tc>
      </w:tr>
      <w:tr>
        <w:tc>
          <w:tcPr>
            <w:tcW w:type="dxa" w:w="6200"/>
          </w:tcPr>
          <w:p>
            <w:r>
              <w:t xml:space="preserve">CSP, artifact-flagged trials (184) excluded</w:t>
            </w:r>
          </w:p>
        </w:tc>
        <w:tc>
          <w:tcPr>
            <w:tcW w:type="dxa" w:w="3100"/>
          </w:tcPr>
          <w:p>
            <w:r>
              <w:t xml:space="preserve">Chance (~50%)</w:t>
            </w:r>
          </w:p>
        </w:tc>
      </w:tr>
      <w:tr>
        <w:tc>
          <w:tcPr>
            <w:tcW w:type="dxa" w:w="6200"/>
          </w:tcPr>
          <w:p>
            <w:r>
              <w:t xml:space="preserve">CSP component count sweep (2/4/6/8)</w:t>
            </w:r>
          </w:p>
        </w:tc>
        <w:tc>
          <w:tcPr>
            <w:tcW w:type="dxa" w:w="3100"/>
          </w:tcPr>
          <w:p>
            <w:r>
              <w:t xml:space="preserve">Chance at every setting</w:t>
            </w:r>
          </w:p>
        </w:tc>
      </w:tr>
      <w:tr>
        <w:tc>
          <w:tcPr>
            <w:tcW w:type="dxa" w:w="6200"/>
          </w:tcPr>
          <w:p>
            <w:r>
              <w:t xml:space="preserve">MLP (non-linear) on CSP features and on band-power features</w:t>
            </w:r>
          </w:p>
        </w:tc>
        <w:tc>
          <w:tcPr>
            <w:tcW w:type="dxa" w:w="3100"/>
          </w:tcPr>
          <w:p>
            <w:r>
              <w:t xml:space="preserve">Chance (~50%)</w:t>
            </w:r>
          </w:p>
        </w:tc>
      </w:tr>
      <w:tr>
        <w:tc>
          <w:tcPr>
            <w:tcW w:type="dxa" w:w="6200"/>
          </w:tcPr>
          <w:p>
            <w:r>
              <w:t xml:space="preserve">CSP on the alternative (shift-hypothesis) label alignment</w:t>
            </w:r>
          </w:p>
        </w:tc>
        <w:tc>
          <w:tcPr>
            <w:tcW w:type="dxa" w:w="3100"/>
          </w:tcPr>
          <w:p>
            <w:r>
              <w:t xml:space="preserve">Chance (~50%)</w:t>
            </w:r>
          </w:p>
        </w:tc>
      </w:tr>
      <w:tr>
        <w:tc>
          <w:tcPr>
            <w:tcW w:type="dxa" w:w="6200"/>
          </w:tcPr>
          <w:p>
            <w:r>
              <w:t xml:space="preserve">CSP on stuck-value-repaired signal</w:t>
            </w:r>
          </w:p>
        </w:tc>
        <w:tc>
          <w:tcPr>
            <w:tcW w:type="dxa" w:w="3100"/>
          </w:tcPr>
          <w:p>
            <w:r>
              <w:t xml:space="preserve">Chance (~50%), p=0.346</w:t>
            </w:r>
          </w:p>
        </w:tc>
      </w:tr>
      <w:tr>
        <w:tc>
          <w:tcPr>
            <w:tcW w:type="dxa" w:w="6200"/>
          </w:tcPr>
          <w:p>
            <w:r>
              <w:t xml:space="preserve">Per-session/block classification (22 blocks)</w:t>
            </w:r>
          </w:p>
        </w:tc>
        <w:tc>
          <w:tcPr>
            <w:tcW w:type="dxa" w:w="3100"/>
          </w:tcPr>
          <w:p>
            <w:r>
              <w:t xml:space="preserve">No block above noise expectation</w:t>
            </w:r>
          </w:p>
        </w:tc>
      </w:tr>
      <w:tr>
        <w:tc>
          <w:tcPr>
            <w:tcW w:type="dxa" w:w="6200"/>
          </w:tcPr>
          <w:p>
            <w:r>
              <w:t xml:space="preserve">Formal permutation test, primary configuration</w:t>
            </w:r>
          </w:p>
        </w:tc>
        <w:tc>
          <w:tcPr>
            <w:tcW w:type="dxa" w:w="3100"/>
          </w:tcPr>
          <w:p>
            <w:r>
              <w:t xml:space="preserve">p = 0.692 (not significant)</w:t>
            </w:r>
          </w:p>
        </w:tc>
      </w:tr>
    </w:tbl>
    <w:p>
      <w:pPr>
        <w:spacing w:after="160"/>
      </w:pPr>
      <w:r>
        <w:t xml:space="preserve"/>
      </w:r>
    </w:p>
    <w:p>
      <w:pPr>
        <w:spacing w:after="160"/>
      </w:pPr>
      <w:r>
        <w:t xml:space="preserve">A synthetic sanity check (artificially injecting a real class-related amplitude difference into one channel) confirmed the CSP implementation and evaluation pipeline correctly detect a signal when one exists (accuracy ≈0.82 vs. a 0.50 floor) — the null result on the real data is not a broken pipeline.</w:t>
      </w:r>
    </w:p>
    <w:p>
      <w:pPr>
        <w:pBdr>
          <w:bottom w:val="single" w:color="AAAAAA" w:sz="6" w:space="1"/>
        </w:pBdr>
        <w:spacing w:after="200"/>
      </w:pPr>
    </w:p>
    <w:p>
      <w:pPr>
        <w:pStyle w:val="Heading1"/>
        <w:spacing w:after="200" w:before="400"/>
      </w:pPr>
      <w:r>
        <w:t xml:space="preserve">9. Recommendations and Open Questions for the Instructor</w:t>
      </w:r>
    </w:p>
    <w:p>
      <w:pPr>
        <w:pStyle w:val="Heading2"/>
        <w:spacing w:after="150" w:before="300"/>
      </w:pPr>
      <w:r>
        <w:t xml:space="preserve">9.1 Report as concrete, reproducible bugs</w:t>
      </w:r>
    </w:p>
    <w:p>
      <w:pPr>
        <w:pStyle w:val="ListParagraph"/>
        <w:numPr>
          <w:ilvl w:val="0"/>
          <w:numId w:val="2"/>
        </w:numPr>
        <w:spacing w:after="80"/>
      </w:pPr>
      <w:r>
        <w:t xml:space="preserve">The 4-block duplicate/mislabeling pattern (Section 1) — specific trial IDs and offsets are listed in the Appendix.</w:t>
      </w:r>
    </w:p>
    <w:p>
      <w:pPr>
        <w:pStyle w:val="ListParagraph"/>
        <w:numPr>
          <w:ilvl w:val="0"/>
          <w:numId w:val="2"/>
        </w:numPr>
        <w:spacing w:after="80"/>
      </w:pPr>
      <w:r>
        <w:t xml:space="preserve">The frozen/stuck-value acquisition defect (Section 2) — affects ~20% of trials and looks like a system-level buffer/communication issue.</w:t>
      </w:r>
    </w:p>
    <w:p>
      <w:pPr>
        <w:pStyle w:val="Heading2"/>
        <w:spacing w:after="150" w:before="300"/>
      </w:pPr>
      <w:r>
        <w:t xml:space="preserve">9.2 Questions worth asking directly</w:t>
      </w:r>
    </w:p>
    <w:p>
      <w:pPr>
        <w:pStyle w:val="ListParagraph"/>
        <w:numPr>
          <w:ilvl w:val="0"/>
          <w:numId w:val="2"/>
        </w:numPr>
        <w:spacing w:after="80"/>
      </w:pPr>
      <w:r>
        <w:t xml:space="preserve">Do the true original recordings for the 36 dropped trial IDs exist anywhere, or were they lost/overwritten?</w:t>
      </w:r>
    </w:p>
    <w:p>
      <w:pPr>
        <w:pStyle w:val="ListParagraph"/>
        <w:numPr>
          <w:ilvl w:val="0"/>
          <w:numId w:val="2"/>
        </w:numPr>
        <w:spacing w:after="80"/>
      </w:pPr>
      <w:r>
        <w:t xml:space="preserve">Is there a known cause for the bursty/irregular timestamps and the frozen-sample runs — a specific acquisition buffering behavior?</w:t>
      </w:r>
    </w:p>
    <w:p>
      <w:pPr>
        <w:pStyle w:val="ListParagraph"/>
        <w:numPr>
          <w:ilvl w:val="0"/>
          <w:numId w:val="2"/>
        </w:numPr>
        <w:spacing w:after="80"/>
      </w:pPr>
      <w:r>
        <w:t xml:space="preserve">What is the confirmed electrode reference/ground configuration, and are the channel columns (FZ, C3, CZ, C4) verified against the physical montage? (Section 6's correlation anomaly is not proof of a swap, but is worth a direct check.)</w:t>
      </w:r>
    </w:p>
    <w:p>
      <w:pPr>
        <w:pStyle w:val="ListParagraph"/>
        <w:numPr>
          <w:ilvl w:val="0"/>
          <w:numId w:val="2"/>
        </w:numPr>
        <w:spacing w:after="80"/>
      </w:pPr>
      <w:r>
        <w:t xml:space="preserve">Is cue-timing metadata available for any trials, to support a properly targeted epoch window rather than using the full ~10-second trial?</w:t>
      </w:r>
    </w:p>
    <w:p>
      <w:pPr>
        <w:pStyle w:val="ListParagraph"/>
        <w:numPr>
          <w:ilvl w:val="0"/>
          <w:numId w:val="2"/>
        </w:numPr>
        <w:spacing w:after="80"/>
      </w:pPr>
      <w:r>
        <w:t xml:space="preserve">What are the signal units and expected amplitude range? (The ~300,000 baseline offset is unusual for EEG expressed in microvolts, though plausible as raw ADC counts.)</w:t>
      </w:r>
    </w:p>
    <w:p>
      <w:pPr>
        <w:pStyle w:val="Heading2"/>
        <w:spacing w:after="150" w:before="300"/>
      </w:pPr>
      <w:r>
        <w:t xml:space="preserve">9.3 Modeling path forward</w:t>
      </w:r>
    </w:p>
    <w:p>
      <w:pPr>
        <w:spacing w:after="160"/>
      </w:pPr>
      <w:r>
        <w:t xml:space="preserve">The comprehensive null result (Section 8) means further modeling effort should not proceed on the assumption that a different classifier or feature set will succeed where this thorough a search did not. If the data-integrity questions above are resolved with new information (corrected labels, confirmed montage, cue timing), the EDA and modeling notebooks are structured to be rerun directly against updated data. Absent that, further hyperparameter search or model complexity is unlikely to be the limiting factor.</w:t>
      </w:r>
    </w:p>
    <w:p>
      <w:pPr>
        <w:pBdr>
          <w:bottom w:val="single" w:color="AAAAAA" w:sz="6" w:space="1"/>
        </w:pBdr>
        <w:spacing w:after="200"/>
      </w:pPr>
    </w:p>
    <w:p>
      <w:pPr>
        <w:pStyle w:val="Heading1"/>
        <w:spacing w:after="200" w:before="400"/>
      </w:pPr>
      <w:r>
        <w:t xml:space="preserve">Appendix: Affected Trial IDs</w:t>
      </w:r>
    </w:p>
    <w:p>
      <w:pPr>
        <w:pStyle w:val="Heading2"/>
        <w:spacing w:after="150" w:before="300"/>
      </w:pPr>
      <w:r>
        <w:t xml:space="preserve">A.1 Duplicate/mislabeled trials removed (36 total)</w:t>
      </w:r>
    </w:p>
    <w:p>
      <w:pPr>
        <w:spacing w:after="160"/>
      </w:pPr>
      <w:r>
        <w:t xml:space="preserve">919–927, 1072–1080, 1315–1323, 1954–1962 (the higher-numbered trial in each of the 4 duplicate blocks).</w:t>
      </w:r>
    </w:p>
    <w:p>
      <w:pPr>
        <w:pStyle w:val="Heading2"/>
        <w:spacing w:after="150" w:before="300"/>
      </w:pPr>
      <w:r>
        <w:t xml:space="preserve">A.2 Amplitude-outlier flagged trials (184 total)</w:t>
      </w:r>
    </w:p>
    <w:p>
      <w:pPr>
        <w:spacing w:after="160"/>
      </w:pPr>
      <w:r>
        <w:t xml:space="preserve">Identified via robust (MAD-based) z-score on per-trial channel standard deviation, threshold |z| &gt; 5. Full list available in eda_a.ipynb, Part 1, Section 6. Notable contiguous clusters include trials 459–476 and others detailed in the notebook output.</w:t>
      </w:r>
    </w:p>
    <w:p>
      <w:pPr>
        <w:pStyle w:val="Heading2"/>
        <w:spacing w:after="150" w:before="300"/>
      </w:pPr>
      <w:r>
        <w:t xml:space="preserve">A.3 Severely frozen/stuck-value trials (31 total, ≥100 consecutive identical samples)</w:t>
      </w:r>
    </w:p>
    <w:p>
      <w:pPr>
        <w:spacing w:after="160"/>
      </w:pPr>
      <w:r>
        <w:t xml:space="preserve">Worst cases include trial 247 (307 consecutive frozen samples), trial 505 (277), trial 511 (277), trial 606 (258), and trial 591 (247). Full list available in eda_a.ipynb, Part 0, Section 0.12.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2026-08-30T10:47:32.037Z</dcterms:created>
  <dcterms:modified xsi:type="dcterms:W3CDTF">2026-08-30T10:47:32.049Z</dcterms:modified>
</cp:coreProperties>
</file>

<file path=docProps/custom.xml><?xml version="1.0" encoding="utf-8"?>
<Properties xmlns="http://schemas.openxmlformats.org/officeDocument/2006/custom-properties" xmlns:vt="http://schemas.openxmlformats.org/officeDocument/2006/docPropsVTypes"/>
</file>