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BCI Motor Imagery Classification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Processing → EDA → CSP + SVM → Evaluation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Scope of this report: signal processing, exploratory data analysis, a CSP+SVM baseline classifier, and its evaluation. EEGNet / deep-learning comparison and deployment are intentionally out of scope.</w:t>
      </w:r>
    </w:p>
    <w:p>
      <w:pPr>
        <w:pBdr>
          <w:bottom w:val="single" w:color="1F4E79" w:sz="12" w:space="1"/>
        </w:pBdr>
        <w:spacing w:after="300"/>
      </w:pPr>
    </w:p>
    <w:p>
      <w:pPr>
        <w:pStyle w:val="Heading1"/>
        <w:spacing w:after="150" w:before="300"/>
      </w:pPr>
      <w:r>
        <w:t xml:space="preserve">1. Dataset</w:t>
      </w:r>
    </w:p>
    <w:p>
      <w:pPr>
        <w:spacing w:after="120"/>
      </w:pPr>
      <w:r>
        <w:t xml:space="preserve">The provided data (eeg_hands_df.csv) differs from the originally planned "2000 Excel files" format: it is a single tidy CSV where every row is one time sample and each trial is identified by trial_id. After reshaping, the dataset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Subject(s)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(single-subject recording)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sensorimotor channels (Fc/C/Cp rows, incl. C3, Cz, C4)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Samples per trial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 Hz (derived from the 0.00625 s time step)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duration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 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 Left Hand / 44 Right Hand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Because there is only one subject, evaluation below uses trial-level stratified cross-validation (not subject-independent splitting, which needs multiple subjects).</w:t>
      </w:r>
    </w:p>
    <w:p>
      <w:pPr>
        <w:pStyle w:val="Heading1"/>
        <w:spacing w:after="150" w:before="300"/>
      </w:pPr>
      <w:r>
        <w:t xml:space="preserve">2. Processing Pipeline (applied)</w:t>
      </w:r>
    </w:p>
    <w:p>
      <w:pPr>
        <w:spacing w:after="120"/>
      </w:pPr>
      <w:r>
        <w:t xml:space="preserve">The preprocessing plan from the project roadmap was adapted to what this dataset actually supports: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Applied</w:t>
            </w:r>
          </w:p>
        </w:tc>
        <w:tc>
          <w:tcPr>
            <w:tcW w:type="dxa" w:w="55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&amp; organize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trials reshaped to (trials × channels × time)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 rejection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Peak-to-peak amplitude rule; 0 trial(s) rejected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Band-pass filter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0.5–40 Hz Butterworth (order 4, zero-phase)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Notch filter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Skipped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evidence of 50/60 Hz line noise inside the 0.5–40 Hz band; skipped to avoid unnecessary distortion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Re-referencing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Average Reference (CAR)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already arrives pre-epoched (one full 4 s trial per file)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correction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Per-trial, per-channel mean subtraction (no separate pre-stimulus window is present in the data)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Mu/Beta isolation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8–30 Hz band-pass — the band CSP operates on</w:t>
            </w:r>
          </w:p>
        </w:tc>
      </w:tr>
    </w:tbl>
    <w:p>
      <w:pPr>
        <w:pStyle w:val="Heading1"/>
        <w:spacing w:after="150" w:before="300"/>
      </w:pPr>
      <w:r>
        <w:t xml:space="preserve">3. Exploratory Data Analysis (EDA)</w:t>
      </w:r>
    </w:p>
    <w:p>
      <w:pPr>
        <w:pStyle w:val="Heading2"/>
        <w:spacing w:after="100" w:before="220"/>
      </w:pPr>
      <w:r>
        <w:t xml:space="preserve">3.1 Class balance</w:t>
      </w:r>
    </w:p>
    <w:p>
      <w:pPr>
        <w:spacing w:after="120"/>
        <w:jc w:val="center"/>
      </w:pPr>
      <w:r>
        <w:drawing>
          <wp:inline distT="0" distB="0" distL="0" distR="0">
            <wp:extent cx="2476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Left vs Right Hand trial counts (46 vs 44): near-balanced, no resampling needed.</w:t>
      </w:r>
    </w:p>
    <w:p>
      <w:pPr>
        <w:pStyle w:val="Heading2"/>
        <w:spacing w:after="100" w:before="220"/>
      </w:pPr>
      <w:r>
        <w:t xml:space="preserve">3.2 Time-domain inspection</w:t>
      </w:r>
    </w:p>
    <w:p>
      <w:pPr>
        <w:spacing w:after="120"/>
      </w:pPr>
      <w:r>
        <w:t xml:space="preserve">Example single trials on C3 and C4, raw vs. 8–30 Hz filtered, for one Left and one Right trial:</w:t>
      </w:r>
    </w:p>
    <w:p>
      <w:pPr>
        <w:spacing w:after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Raw vs. filtered (mu/beta band) signal, C3 and C4, one Left and one Right trial.</w:t>
      </w:r>
    </w:p>
    <w:p>
      <w:pPr>
        <w:pStyle w:val="Heading2"/>
        <w:spacing w:after="100" w:before="220"/>
      </w:pPr>
      <w:r>
        <w:t xml:space="preserve">3.3 Power Spectral Density — C3 / C4</w:t>
      </w:r>
    </w:p>
    <w:p>
      <w:pPr>
        <w:spacing w:after="120"/>
      </w:pPr>
      <w:r>
        <w:t xml:space="preserve">Average PSD (Welch) per class, computed on the CAR-referenced broadband signal:</w:t>
      </w:r>
    </w:p>
    <w:p>
      <w:pPr>
        <w:spacing w:after="120"/>
        <w:jc w:val="center"/>
      </w:pPr>
      <w:r>
        <w:drawing>
          <wp:inline distT="0" distB="0" distL="0" distR="0">
            <wp:extent cx="4953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Average PSD, Left vs Right, channels C3 and C4. Mu (8–12 Hz) and beta (13–30 Hz) bands shaded.</w:t>
      </w:r>
    </w:p>
    <w:p>
      <w:pPr>
        <w:spacing w:after="120"/>
      </w:pPr>
      <w:r>
        <w:t xml:space="preserve">Numerically: C3 mu power is 12.73 (Left) vs 11.68 (Right); C4 mu power is 12.09 (Left) vs 13.32 (Right). The direction is consistent with expected contralateral ERD (Right-hand imagery showing relatively lower/altered mu power over the left-hemisphere channel C3, and vice versa for C4), though the single-subject sample makes this a suggestive rather than conclusive pattern.</w:t>
      </w:r>
    </w:p>
    <w:p>
      <w:pPr>
        <w:pStyle w:val="Heading2"/>
        <w:spacing w:after="100" w:before="220"/>
      </w:pPr>
      <w:r>
        <w:t xml:space="preserve">3.4 Band power across all channels</w:t>
      </w:r>
    </w:p>
    <w:p>
      <w:pPr>
        <w:spacing w:after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Mu (top) and beta (bottom) band power per channel, Left vs Right.</w:t>
      </w:r>
    </w:p>
    <w:p>
      <w:pPr>
        <w:spacing w:after="120"/>
      </w:pPr>
      <w:r>
        <w:t xml:space="preserve">Central channels (C3, C4, Cz and neighbours) show the clearest Left/Right separation, matching the physiological expectation that motor imagery signal concentrates over the sensorimotor strip — supporting CSP's use of exactly these channels.</w:t>
      </w:r>
    </w:p>
    <w:p>
      <w:pPr>
        <w:pStyle w:val="Heading1"/>
        <w:spacing w:after="150" w:before="300"/>
      </w:pPr>
      <w:r>
        <w:t xml:space="preserve">4. Modeling: CSP + SVM</w:t>
      </w:r>
    </w:p>
    <w:p>
      <w:pPr>
        <w:spacing w:after="120"/>
      </w:pPr>
      <w:r>
        <w:t xml:space="preserve">A classical two-class Common Spatial Patterns (CSP) pipeline was implemented (custom, scikit-learn-compatible) and paired with a Support Vector Machine classifier: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to CSP: the 8–30 Hz (mu+beta) band-passed, CAR-referenced, baseline-corrected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CSP computes spatial filters that maximize the variance ratio between the two classes; log-variance of the top/bottom filtered components is used as the feature vector.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 are standardized (StandardScaler) and passed to an SVM (RBF/linear, grid-searched).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Hyperparameters (CSP components, SVM C / kernel / gamma) were selected via nested cross-validation — inner 3-fold GridSearchCV inside each outer training fold — so the reported evaluation is not tuned on the test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 band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8–30 Hz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 components searched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4, 6, 8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 kernels searched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linear, RBF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Outer CV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5-fold stratified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Inner CV (hyperparameter search)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3-fold stratified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params (full-data refit, for reference)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{"csp__n_components":6,"svm__C":1,"svm__gamma":"scale","svm__kernel":"linear"}</w:t>
            </w:r>
          </w:p>
        </w:tc>
      </w:tr>
    </w:tbl>
    <w:p>
      <w:pPr>
        <w:pStyle w:val="Heading1"/>
        <w:spacing w:after="150" w:before="300"/>
      </w:pPr>
      <w:r>
        <w:t xml:space="preserve">5. Evaluation</w:t>
      </w:r>
    </w:p>
    <w:p>
      <w:pPr>
        <w:spacing w:after="120"/>
      </w:pPr>
      <w:r>
        <w:t xml:space="preserve">Metrics below are computed from nested cross-validated predictions on all 90 trials (i.e., every trial was predicted only by a model that never saw it during training or tuning):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80.0%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Balanced accuracy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80.1%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outer-fold accuracy (± std)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80.0% ± 8.3%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Per-fold accuracy across the 5 outer folds: 94.4%, 72.2%, 83.3%, 77.8%, 72.2%. The spread (±8.3%) is expected given only ~18 trials per fold.</w:t>
      </w:r>
    </w:p>
    <w:p>
      <w:pPr>
        <w:pStyle w:val="Heading2"/>
        <w:spacing w:after="100" w:before="220"/>
      </w:pPr>
      <w:r>
        <w:t xml:space="preserve">5.1 Confusion matrix</w:t>
      </w:r>
    </w:p>
    <w:p>
      <w:pPr>
        <w:spacing w:after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Confusion matrix (nested CV). 35 true Left correctly classified, 37 true Right correctly classified.</w:t>
      </w:r>
    </w:p>
    <w:p>
      <w:pPr>
        <w:pStyle w:val="Heading2"/>
        <w:spacing w:after="100" w:before="220"/>
      </w:pPr>
      <w:r>
        <w:t xml:space="preserve">5.2 ROC curve</w:t>
      </w:r>
    </w:p>
    <w:p>
      <w:pPr>
        <w:spacing w:after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 — ROC curve, AUC = 0.885.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The CSP+SVM baseline reaches 80% accuracy (balanced accuracy 80%, AUC 0.89) on this single-subject, 90-trial Left/Right hand motor-imagery dataset using nested cross-validation — well above the 50% chance level, and consistent with the mu/beta ERD pattern observed over C3/C4 in the EDA. This confirms the project roadmap's expectation: a clean CSP+SVM baseline is a solid, interpretable starting point.</w:t>
      </w:r>
    </w:p>
    <w:p>
      <w:pPr>
        <w:spacing w:after="120"/>
      </w:pPr>
      <w:r>
        <w:t xml:space="preserve">As requested, this report stops at the CSP+SVM baseline and its evaluation. Deep-learning comparison (EEGNet/CNN) and deployment (Streamlit/Flask demo) were intentionally left out of scope for this stage.</w:t>
      </w:r>
    </w:p>
    <w:p>
      <w:pPr>
        <w:spacing w:after="120"/>
      </w:pPr>
      <w:r>
        <w:t xml:space="preserve">Caveats: results come from a single subject and a modest number of trials (90), so cross-subject generalization is untested and fold-to-fold variance is non-trivial. Scaling to more subjects/trials would let the evaluation move to subject-independent (leave-subject-out) validation, which is the more realistic test for a deployable BCI.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f7b46509c075934bfb98d7dfba1917c1976532.png"/><Relationship Id="rId8" Type="http://schemas.openxmlformats.org/officeDocument/2006/relationships/image" Target="media/f24fb86b96b3e510bb447149a6afccd9373c624d.png"/><Relationship Id="rId9" Type="http://schemas.openxmlformats.org/officeDocument/2006/relationships/image" Target="media/dc36c1d9da6591b46ff5281d25e1630fa136b34f.png"/><Relationship Id="rId10" Type="http://schemas.openxmlformats.org/officeDocument/2006/relationships/image" Target="media/bae6600ca65fa10607a103ce08f661325659f384.png"/><Relationship Id="rId11" Type="http://schemas.openxmlformats.org/officeDocument/2006/relationships/image" Target="media/dc57980bda06e846fd83241676ad2d867352859e.png"/><Relationship Id="rId12" Type="http://schemas.openxmlformats.org/officeDocument/2006/relationships/image" Target="media/a312dabd96c70e7b57dfdc0bcedd85f4743d9e9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2026-08-31T00:08:07.513Z</dcterms:created>
  <dcterms:modified xsi:type="dcterms:W3CDTF">2026-08-31T00:08:07.523Z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