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2E999" w14:textId="5677CFB2" w:rsidR="00AF22A0" w:rsidRDefault="00086AF2" w:rsidP="00086AF2">
      <w:pPr>
        <w:pStyle w:val="Heading1"/>
      </w:pPr>
      <w:r>
        <w:t>The employment gap for female parents in London</w:t>
      </w:r>
    </w:p>
    <w:p w14:paraId="68CCDC4D" w14:textId="59D951CA" w:rsidR="00223919" w:rsidRDefault="00EA7E8F" w:rsidP="00086AF2">
      <w:r>
        <w:t>Women</w:t>
      </w:r>
      <w:r w:rsidR="00553D11">
        <w:t xml:space="preserve"> </w:t>
      </w:r>
      <w:r w:rsidR="00233DC5">
        <w:t>with</w:t>
      </w:r>
      <w:r w:rsidR="00553D11">
        <w:t xml:space="preserve"> children in London have an </w:t>
      </w:r>
      <w:r w:rsidR="009B3948">
        <w:t xml:space="preserve">average </w:t>
      </w:r>
      <w:r w:rsidR="00553D11">
        <w:t xml:space="preserve">employment rate 6 </w:t>
      </w:r>
      <w:r w:rsidR="009B3948">
        <w:t xml:space="preserve">percentage points lower than their peers in the rest of the UK. </w:t>
      </w:r>
      <w:r w:rsidR="00CF175B">
        <w:t xml:space="preserve">This very large gap is unique to this </w:t>
      </w:r>
      <w:proofErr w:type="gramStart"/>
      <w:r w:rsidR="00CF175B">
        <w:t>particular group</w:t>
      </w:r>
      <w:proofErr w:type="gramEnd"/>
      <w:r w:rsidR="00CF175B">
        <w:t xml:space="preserve">: </w:t>
      </w:r>
      <w:r w:rsidR="00E1586A">
        <w:t>the employment rates of men</w:t>
      </w:r>
      <w:r w:rsidR="00CB113D">
        <w:t xml:space="preserve">, whether parents or not, </w:t>
      </w:r>
      <w:r w:rsidR="00957DBA">
        <w:t xml:space="preserve">and </w:t>
      </w:r>
      <w:r w:rsidR="00CF175B">
        <w:t>women without children</w:t>
      </w:r>
      <w:r w:rsidR="00957DBA">
        <w:t xml:space="preserve"> </w:t>
      </w:r>
      <w:r w:rsidR="00CB113D">
        <w:t xml:space="preserve">are the same </w:t>
      </w:r>
      <w:r w:rsidR="005E4D3C">
        <w:t>for those respective groups with</w:t>
      </w:r>
      <w:r w:rsidR="00CB113D">
        <w:t xml:space="preserve">in London and in </w:t>
      </w:r>
      <w:r w:rsidR="005E4D3C">
        <w:t xml:space="preserve">the UK </w:t>
      </w:r>
      <w:r w:rsidR="00223919">
        <w:t>overall</w:t>
      </w:r>
      <w:r w:rsidR="00CB113D">
        <w:t>.</w:t>
      </w:r>
    </w:p>
    <w:p w14:paraId="41EF7755" w14:textId="77777777" w:rsidR="00223919" w:rsidRDefault="00223919" w:rsidP="00086AF2"/>
    <w:p w14:paraId="4D67C27E" w14:textId="68FFC9AE" w:rsidR="00086AF2" w:rsidRDefault="00223919" w:rsidP="00086AF2">
      <w:r>
        <w:t xml:space="preserve">Why does this gap exist? </w:t>
      </w:r>
      <w:r w:rsidR="00785072">
        <w:t>Differences in the demographic composition of London relative to the rest of the UK does not appear to explain</w:t>
      </w:r>
      <w:r w:rsidR="008F51F1">
        <w:t xml:space="preserve"> the gap entirely, </w:t>
      </w:r>
      <w:r w:rsidR="0055530F">
        <w:t>though</w:t>
      </w:r>
      <w:r w:rsidR="00C87943">
        <w:t xml:space="preserve"> it is reduced somewhat.</w:t>
      </w:r>
      <w:r w:rsidR="00CB113D">
        <w:t xml:space="preserve"> </w:t>
      </w:r>
      <w:r w:rsidR="00233DC5">
        <w:t>Instead, it is possible that high cost-of-living pressures in large cities may be at fault.</w:t>
      </w:r>
      <w:r w:rsidR="00233DC5">
        <w:rPr>
          <w:rStyle w:val="FootnoteReference"/>
        </w:rPr>
        <w:footnoteReference w:id="1"/>
      </w:r>
    </w:p>
    <w:p w14:paraId="7A0DB7BC" w14:textId="77777777" w:rsidR="00DF65FA" w:rsidRDefault="00DF65FA" w:rsidP="00086AF2"/>
    <w:p w14:paraId="524D34A9" w14:textId="6C115F9B" w:rsidR="00E132C4" w:rsidRPr="00E132C4" w:rsidRDefault="00E132C4" w:rsidP="00E132C4">
      <w:pPr>
        <w:pStyle w:val="Caption"/>
        <w:keepNext/>
        <w:rPr>
          <w:rStyle w:val="Strong"/>
          <w:i w:val="0"/>
          <w:iCs w:val="0"/>
          <w:sz w:val="24"/>
          <w:szCs w:val="24"/>
        </w:rPr>
      </w:pPr>
      <w:r w:rsidRPr="00E132C4">
        <w:rPr>
          <w:rStyle w:val="Strong"/>
          <w:i w:val="0"/>
          <w:iCs w:val="0"/>
          <w:sz w:val="24"/>
          <w:szCs w:val="24"/>
        </w:rPr>
        <w:t xml:space="preserve">Figure </w:t>
      </w:r>
      <w:r w:rsidRPr="00E132C4">
        <w:rPr>
          <w:rStyle w:val="Strong"/>
          <w:i w:val="0"/>
          <w:iCs w:val="0"/>
          <w:sz w:val="24"/>
          <w:szCs w:val="24"/>
        </w:rPr>
        <w:fldChar w:fldCharType="begin"/>
      </w:r>
      <w:r w:rsidRPr="00E132C4">
        <w:rPr>
          <w:rStyle w:val="Strong"/>
          <w:i w:val="0"/>
          <w:iCs w:val="0"/>
          <w:sz w:val="24"/>
          <w:szCs w:val="24"/>
        </w:rPr>
        <w:instrText xml:space="preserve"> SEQ Figure \* ARABIC </w:instrText>
      </w:r>
      <w:r w:rsidRPr="00E132C4">
        <w:rPr>
          <w:rStyle w:val="Strong"/>
          <w:i w:val="0"/>
          <w:iCs w:val="0"/>
          <w:sz w:val="24"/>
          <w:szCs w:val="24"/>
        </w:rPr>
        <w:fldChar w:fldCharType="separate"/>
      </w:r>
      <w:r w:rsidR="0072709E">
        <w:rPr>
          <w:rStyle w:val="Strong"/>
          <w:i w:val="0"/>
          <w:iCs w:val="0"/>
          <w:noProof/>
          <w:sz w:val="24"/>
          <w:szCs w:val="24"/>
        </w:rPr>
        <w:t>1</w:t>
      </w:r>
      <w:r w:rsidRPr="00E132C4">
        <w:rPr>
          <w:rStyle w:val="Strong"/>
          <w:i w:val="0"/>
          <w:iCs w:val="0"/>
          <w:sz w:val="24"/>
          <w:szCs w:val="24"/>
        </w:rPr>
        <w:fldChar w:fldCharType="end"/>
      </w:r>
      <w:r w:rsidRPr="00E132C4">
        <w:rPr>
          <w:rStyle w:val="Strong"/>
          <w:i w:val="0"/>
          <w:iCs w:val="0"/>
          <w:sz w:val="24"/>
          <w:szCs w:val="24"/>
        </w:rPr>
        <w:t>: employment rates in London and the UK overall for selected groups, 2022</w:t>
      </w:r>
    </w:p>
    <w:p w14:paraId="0CC26920" w14:textId="700AEAF7" w:rsidR="00B41487" w:rsidRDefault="005E4D3C" w:rsidP="00086AF2">
      <w:r>
        <w:rPr>
          <w:noProof/>
        </w:rPr>
        <mc:AlternateContent>
          <mc:Choice Requires="wps">
            <w:drawing>
              <wp:anchor distT="0" distB="0" distL="114300" distR="114300" simplePos="0" relativeHeight="251659776" behindDoc="0" locked="0" layoutInCell="1" allowOverlap="1" wp14:anchorId="50F62EB1" wp14:editId="4F13DE70">
                <wp:simplePos x="0" y="0"/>
                <wp:positionH relativeFrom="column">
                  <wp:posOffset>1885950</wp:posOffset>
                </wp:positionH>
                <wp:positionV relativeFrom="paragraph">
                  <wp:posOffset>1206500</wp:posOffset>
                </wp:positionV>
                <wp:extent cx="866775" cy="762000"/>
                <wp:effectExtent l="19050" t="19050" r="28575" b="19050"/>
                <wp:wrapNone/>
                <wp:docPr id="3" name="Oval 3"/>
                <wp:cNvGraphicFramePr/>
                <a:graphic xmlns:a="http://schemas.openxmlformats.org/drawingml/2006/main">
                  <a:graphicData uri="http://schemas.microsoft.com/office/word/2010/wordprocessingShape">
                    <wps:wsp>
                      <wps:cNvSpPr/>
                      <wps:spPr>
                        <a:xfrm>
                          <a:off x="0" y="0"/>
                          <a:ext cx="866775" cy="762000"/>
                        </a:xfrm>
                        <a:prstGeom prst="ellipse">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8E7D7C" id="Oval 3" o:spid="_x0000_s1026" style="position:absolute;margin-left:148.5pt;margin-top:95pt;width:68.25pt;height:6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" filled="f" strokecolor="#ffc000" strokeweight="2.25pt">
                <v:stroke joinstyle="miter"/>
              </v:oval>
            </w:pict>
          </mc:Fallback>
        </mc:AlternateContent>
      </w:r>
      <w:r w:rsidR="003847E0">
        <w:rPr>
          <w:noProof/>
        </w:rPr>
        <w:drawing>
          <wp:inline distT="0" distB="0" distL="0" distR="0" wp14:anchorId="6E4860ED" wp14:editId="089BD3C5">
            <wp:extent cx="5570220" cy="2619375"/>
            <wp:effectExtent l="0" t="0" r="0" b="0"/>
            <wp:docPr id="1" name="Chart 1">
              <a:extLst xmlns:a="http://schemas.openxmlformats.org/drawingml/2006/main">
                <a:ext uri="{FF2B5EF4-FFF2-40B4-BE49-F238E27FC236}">
                  <a16:creationId xmlns:a16="http://schemas.microsoft.com/office/drawing/2014/main" id="{A54FFDAF-D2CD-43DE-8B5E-C234C78F83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DE50927" w14:textId="1B038FA0" w:rsidR="00B84C9F" w:rsidRPr="009D7242" w:rsidRDefault="009D7242" w:rsidP="00086AF2">
      <w:pPr>
        <w:rPr>
          <w:rStyle w:val="SubtleEmphasis"/>
        </w:rPr>
      </w:pPr>
      <w:r>
        <w:rPr>
          <w:rStyle w:val="SubtleEmphasis"/>
        </w:rPr>
        <w:t>Source: GLAE calculations on LFS</w:t>
      </w:r>
      <w:r w:rsidR="00233DC5">
        <w:rPr>
          <w:rStyle w:val="SubtleEmphasis"/>
        </w:rPr>
        <w:t xml:space="preserve"> Households</w:t>
      </w:r>
      <w:r>
        <w:rPr>
          <w:rStyle w:val="SubtleEmphasis"/>
        </w:rPr>
        <w:t xml:space="preserve"> A</w:t>
      </w:r>
      <w:r w:rsidR="00233DC5">
        <w:rPr>
          <w:rStyle w:val="SubtleEmphasis"/>
        </w:rPr>
        <w:t>pril</w:t>
      </w:r>
      <w:r>
        <w:rPr>
          <w:rStyle w:val="SubtleEmphasis"/>
        </w:rPr>
        <w:t>-J</w:t>
      </w:r>
      <w:r w:rsidR="00233DC5">
        <w:rPr>
          <w:rStyle w:val="SubtleEmphasis"/>
        </w:rPr>
        <w:t>une</w:t>
      </w:r>
      <w:r>
        <w:rPr>
          <w:rStyle w:val="SubtleEmphasis"/>
        </w:rPr>
        <w:t xml:space="preserve"> 2022 data.</w:t>
      </w:r>
    </w:p>
    <w:p w14:paraId="3CDE5483" w14:textId="77777777" w:rsidR="009D7242" w:rsidRDefault="009D7242" w:rsidP="00086AF2"/>
    <w:p w14:paraId="3314C91D" w14:textId="2FA352B2" w:rsidR="009331DD" w:rsidRPr="003377B7" w:rsidRDefault="00CB1DF1" w:rsidP="003377B7">
      <w:pPr>
        <w:pStyle w:val="Subtitle"/>
      </w:pPr>
      <w:r w:rsidRPr="003377B7">
        <w:t>Exploring possible explanations: a regression approach</w:t>
      </w:r>
    </w:p>
    <w:p w14:paraId="3136EC38" w14:textId="77777777" w:rsidR="00A93A3B" w:rsidRDefault="00CB1DF1" w:rsidP="00CB1DF1">
      <w:r>
        <w:t xml:space="preserve">We </w:t>
      </w:r>
      <w:r w:rsidR="00290E43">
        <w:t xml:space="preserve">want to find characteristics which </w:t>
      </w:r>
      <w:r w:rsidR="0015533D">
        <w:t>are correlated with the observed gap</w:t>
      </w:r>
      <w:r w:rsidR="007371AF">
        <w:t xml:space="preserve">, but we do not necessarily need to understand what is causing it directly. </w:t>
      </w:r>
      <w:r w:rsidR="007E217A">
        <w:t>We can therefore construct a simple regression equation designed to “predict” an employment rate based on personal characteristics, without being too concerned about the direction of causality</w:t>
      </w:r>
      <w:r w:rsidR="00C74240">
        <w:t xml:space="preserve"> or</w:t>
      </w:r>
      <w:r w:rsidR="00617B08">
        <w:t xml:space="preserve"> </w:t>
      </w:r>
      <w:r w:rsidR="00C74240">
        <w:t>collinearity.</w:t>
      </w:r>
      <w:r w:rsidR="00C74240">
        <w:rPr>
          <w:rStyle w:val="FootnoteReference"/>
        </w:rPr>
        <w:footnoteReference w:id="2"/>
      </w:r>
      <w:r w:rsidR="00663F81">
        <w:t xml:space="preserve"> </w:t>
      </w:r>
    </w:p>
    <w:p w14:paraId="5AEAEACF" w14:textId="77777777" w:rsidR="00A93A3B" w:rsidRDefault="00A93A3B" w:rsidP="00CB1DF1"/>
    <w:p w14:paraId="7AD56831" w14:textId="284F9078" w:rsidR="00CB1DF1" w:rsidRDefault="00A93A3B" w:rsidP="00CB1DF1">
      <w:r>
        <w:t xml:space="preserve">This equation </w:t>
      </w:r>
      <w:r w:rsidR="00B35E53">
        <w:t>provides an intuitive approach to investigating the employment gap</w:t>
      </w:r>
      <w:r w:rsidR="009B73E1">
        <w:t xml:space="preserve"> using data </w:t>
      </w:r>
      <w:r w:rsidR="009B73E1" w:rsidRPr="009B73E1">
        <w:rPr>
          <w:u w:val="single"/>
        </w:rPr>
        <w:t xml:space="preserve">on </w:t>
      </w:r>
      <w:r w:rsidR="00D161F4">
        <w:rPr>
          <w:u w:val="single"/>
        </w:rPr>
        <w:t>female parents</w:t>
      </w:r>
      <w:r w:rsidR="009B73E1" w:rsidRPr="009B73E1">
        <w:rPr>
          <w:u w:val="single"/>
        </w:rPr>
        <w:t xml:space="preserve"> only</w:t>
      </w:r>
      <w:r w:rsidR="00B35E53">
        <w:t>:</w:t>
      </w:r>
    </w:p>
    <w:p w14:paraId="0F6623F0" w14:textId="5C7D6795" w:rsidR="009D7242" w:rsidRDefault="009D7242" w:rsidP="00CB1D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072"/>
        <w:gridCol w:w="496"/>
      </w:tblGrid>
      <w:tr w:rsidR="009D7242" w14:paraId="3C31B429" w14:textId="77777777" w:rsidTr="009D7242">
        <w:tc>
          <w:tcPr>
            <w:tcW w:w="675" w:type="dxa"/>
          </w:tcPr>
          <w:p w14:paraId="4D780900" w14:textId="77777777" w:rsidR="009D7242" w:rsidRDefault="009D7242" w:rsidP="00CB1DF1"/>
        </w:tc>
        <w:tc>
          <w:tcPr>
            <w:tcW w:w="8080" w:type="dxa"/>
          </w:tcPr>
          <w:p w14:paraId="10FE2E47" w14:textId="51996EF5" w:rsidR="009D7242" w:rsidRDefault="009D7242" w:rsidP="00CB1DF1">
            <m:oMathPara>
              <m:oMath>
                <m:r>
                  <w:rPr>
                    <w:rFonts w:ascii="Cambria Math" w:hAnsi="Cambria Math"/>
                  </w:rPr>
                  <m:t>EmpRate=</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r>
                  <m:rPr>
                    <m:sty m:val="p"/>
                  </m:rPr>
                  <w:rPr>
                    <w:rFonts w:ascii="Cambria Math" w:hAnsi="Cambria Math"/>
                    <w:color w:val="FF0000"/>
                  </w:rPr>
                  <m:t>Δ</m:t>
                </m:r>
                <m:r>
                  <w:rPr>
                    <w:rFonts w:ascii="Cambria Math" w:hAnsi="Cambria Math"/>
                  </w:rPr>
                  <m:t>Londoner</m:t>
                </m:r>
                <m:r>
                  <w:rPr>
                    <w:rFonts w:ascii="Cambria Math" w:hAnsi="Cambria Math"/>
                  </w:rPr>
                  <m:t>+</m:t>
                </m:r>
                <m:r>
                  <m:rPr>
                    <m:sty m:val="bi"/>
                  </m:rPr>
                  <w:rPr>
                    <w:rFonts w:ascii="Cambria Math" w:hAnsi="Cambria Math"/>
                  </w:rPr>
                  <m:t>Xβ</m:t>
                </m:r>
              </m:oMath>
            </m:oMathPara>
          </w:p>
        </w:tc>
        <w:tc>
          <w:tcPr>
            <w:tcW w:w="487" w:type="dxa"/>
          </w:tcPr>
          <w:p w14:paraId="02421524" w14:textId="332281E4" w:rsidR="009D7242" w:rsidRDefault="009D7242" w:rsidP="00CB1DF1">
            <w:r>
              <w:t>(1)</w:t>
            </w:r>
          </w:p>
        </w:tc>
      </w:tr>
    </w:tbl>
    <w:p w14:paraId="2E835E55" w14:textId="77777777" w:rsidR="00C07732" w:rsidRDefault="00C07732" w:rsidP="00CB1DF1">
      <w:pPr>
        <w:rPr>
          <w:b/>
          <w:bCs/>
        </w:rPr>
      </w:pPr>
    </w:p>
    <w:p w14:paraId="4A71CDDE" w14:textId="5E45B3AC" w:rsidR="00313C8A" w:rsidRDefault="00410C96" w:rsidP="0072709E">
      <w:r>
        <w:t xml:space="preserve">The </w:t>
      </w:r>
      <w:r w:rsidR="00DC6EFE">
        <w:t xml:space="preserve">dependent variable on the </w:t>
      </w:r>
      <w:r w:rsidR="00572B98">
        <w:t>left-hand</w:t>
      </w:r>
      <w:r w:rsidR="00DC6EFE">
        <w:t xml:space="preserve"> side is the employment rate, which we attempt to explain through</w:t>
      </w:r>
      <w:r w:rsidR="00D5270F">
        <w:t xml:space="preserve"> </w:t>
      </w:r>
      <w:r w:rsidR="009D7242">
        <w:t>independent</w:t>
      </w:r>
      <w:r w:rsidR="00403A8A">
        <w:t xml:space="preserve"> </w:t>
      </w:r>
      <w:r w:rsidR="00D5270F">
        <w:t>variables</w:t>
      </w:r>
      <w:r w:rsidR="0072709E">
        <w:t xml:space="preserve"> characterising each woman in the dataset</w:t>
      </w:r>
      <w:r w:rsidR="00D5270F">
        <w:t>.</w:t>
      </w:r>
      <w:r w:rsidR="009D7242">
        <w:t xml:space="preserve"> The variable </w:t>
      </w:r>
      <m:oMath>
        <m:r>
          <w:rPr>
            <w:rFonts w:ascii="Cambria Math" w:hAnsi="Cambria Math"/>
          </w:rPr>
          <m:t>Londoner</m:t>
        </m:r>
      </m:oMath>
      <w:r w:rsidR="009D7242">
        <w:t xml:space="preserve"> is a dummy.</w:t>
      </w:r>
      <w:r w:rsidR="00D5270F">
        <w:t xml:space="preserve"> </w:t>
      </w:r>
      <w:r w:rsidR="00572B98">
        <w:t xml:space="preserve">The coefficient of interest </w:t>
      </w:r>
      <m:oMath>
        <m:r>
          <m:rPr>
            <m:sty m:val="p"/>
          </m:rPr>
          <w:rPr>
            <w:rFonts w:ascii="Cambria Math" w:hAnsi="Cambria Math"/>
          </w:rPr>
          <m:t>Δ</m:t>
        </m:r>
      </m:oMath>
      <w:r w:rsidR="001E24C7">
        <w:t xml:space="preserve">, </w:t>
      </w:r>
      <w:r w:rsidR="00572B98">
        <w:t xml:space="preserve">highlighted </w:t>
      </w:r>
      <w:r w:rsidR="00572B98" w:rsidRPr="0072709E">
        <w:rPr>
          <w:color w:val="FF0000"/>
        </w:rPr>
        <w:t>red</w:t>
      </w:r>
      <w:r w:rsidR="001E24C7">
        <w:rPr>
          <w:color w:val="FF0000"/>
        </w:rPr>
        <w:t>,</w:t>
      </w:r>
      <w:r w:rsidR="009B73E1">
        <w:t xml:space="preserve"> </w:t>
      </w:r>
      <w:r w:rsidR="0072709E">
        <w:t xml:space="preserve">is therefore the gap shown between the London </w:t>
      </w:r>
      <w:r w:rsidR="009D7242">
        <w:t>and</w:t>
      </w:r>
      <w:r w:rsidR="0072709E">
        <w:t xml:space="preserve"> UK </w:t>
      </w:r>
      <w:r w:rsidR="00D161F4">
        <w:t xml:space="preserve">employment rates </w:t>
      </w:r>
      <w:r w:rsidR="009D7242">
        <w:t xml:space="preserve">for female parents </w:t>
      </w:r>
      <w:r w:rsidR="00D161F4">
        <w:t>shown</w:t>
      </w:r>
      <w:r w:rsidR="0072709E">
        <w:t xml:space="preserve"> in Figure 1 above. </w:t>
      </w:r>
    </w:p>
    <w:p w14:paraId="4DEB93F6" w14:textId="079D78AC" w:rsidR="0072709E" w:rsidRDefault="0072709E" w:rsidP="0072709E">
      <w:pPr>
        <w:pStyle w:val="Subtitle"/>
      </w:pPr>
    </w:p>
    <w:p w14:paraId="3F2B1E8C" w14:textId="125C3DAC" w:rsidR="002F204E" w:rsidRPr="002F204E" w:rsidRDefault="002F204E" w:rsidP="002F204E">
      <w:pPr>
        <w:pStyle w:val="Subtitle"/>
      </w:pPr>
      <w:r>
        <w:t>Results: demographics do not explain it all away</w:t>
      </w:r>
    </w:p>
    <w:p w14:paraId="60384689" w14:textId="167084AB" w:rsidR="0072709E" w:rsidRDefault="0072709E" w:rsidP="00CB1DF1">
      <w:r>
        <w:t xml:space="preserve">Figure 2 presents the estimate of </w:t>
      </w:r>
      <m:oMath>
        <m:r>
          <m:rPr>
            <m:sty m:val="p"/>
          </m:rPr>
          <w:rPr>
            <w:rFonts w:ascii="Cambria Math" w:hAnsi="Cambria Math"/>
          </w:rPr>
          <m:t>Δ</m:t>
        </m:r>
      </m:oMath>
      <w:r w:rsidR="00E21258">
        <w:t xml:space="preserve"> </w:t>
      </w:r>
      <w:r>
        <w:t xml:space="preserve">in eight different models: the basic model without additional covariates, then adding a single variable </w:t>
      </w:r>
      <w:r w:rsidR="00AB4E6E">
        <w:t xml:space="preserve">(as </w:t>
      </w:r>
      <m:oMath>
        <m:r>
          <m:rPr>
            <m:sty m:val="bi"/>
          </m:rPr>
          <w:rPr>
            <w:rFonts w:ascii="Cambria Math" w:hAnsi="Cambria Math"/>
          </w:rPr>
          <m:t>X</m:t>
        </m:r>
      </m:oMath>
      <w:r w:rsidR="00AB4E6E" w:rsidRPr="00AB4E6E">
        <w:t>)</w:t>
      </w:r>
      <w:r w:rsidR="00AB4E6E">
        <w:t xml:space="preserve"> </w:t>
      </w:r>
      <w:r>
        <w:t xml:space="preserve">to the basic model, then all covariates at once. </w:t>
      </w:r>
    </w:p>
    <w:p w14:paraId="3F5BC4C1" w14:textId="77777777" w:rsidR="0072709E" w:rsidRDefault="0072709E" w:rsidP="00CB1DF1"/>
    <w:p w14:paraId="05ED27DA" w14:textId="2A21A22D" w:rsidR="0072709E" w:rsidRDefault="00A57B7E" w:rsidP="00CB1DF1">
      <w:r>
        <w:t xml:space="preserve">The only model where the gap becomes statistically insignificant is when including ethnicity, here a simple </w:t>
      </w:r>
      <w:r>
        <w:t>BAME</w:t>
      </w:r>
      <w:r>
        <w:t xml:space="preserve"> dummy, though the point estimate remains negative. Yet, when including all other covariates in the full model, the gap is again statistically significant. Goodness-of-fit indicators also suggest that the full model is far better at predicting the employment rate.</w:t>
      </w:r>
      <w:r w:rsidR="003E5FEB">
        <w:rPr>
          <w:rStyle w:val="FootnoteReference"/>
        </w:rPr>
        <w:footnoteReference w:id="3"/>
      </w:r>
    </w:p>
    <w:p w14:paraId="62153567" w14:textId="77777777" w:rsidR="0072709E" w:rsidRDefault="0072709E" w:rsidP="00CB1DF1"/>
    <w:p w14:paraId="6B9E14F8" w14:textId="2C99B4E1" w:rsidR="0072709E" w:rsidRPr="0072709E" w:rsidRDefault="0072709E" w:rsidP="0072709E">
      <w:pPr>
        <w:pStyle w:val="Caption"/>
        <w:keepNext/>
        <w:rPr>
          <w:rStyle w:val="Strong"/>
          <w:i w:val="0"/>
          <w:iCs w:val="0"/>
          <w:sz w:val="24"/>
          <w:szCs w:val="24"/>
        </w:rPr>
      </w:pPr>
      <w:r w:rsidRPr="0072709E">
        <w:rPr>
          <w:rStyle w:val="Strong"/>
          <w:i w:val="0"/>
          <w:iCs w:val="0"/>
          <w:sz w:val="24"/>
          <w:szCs w:val="24"/>
        </w:rPr>
        <w:t xml:space="preserve">Figure </w:t>
      </w:r>
      <w:r w:rsidRPr="0072709E">
        <w:rPr>
          <w:rStyle w:val="Strong"/>
          <w:i w:val="0"/>
          <w:iCs w:val="0"/>
          <w:sz w:val="24"/>
          <w:szCs w:val="24"/>
        </w:rPr>
        <w:fldChar w:fldCharType="begin"/>
      </w:r>
      <w:r w:rsidRPr="0072709E">
        <w:rPr>
          <w:rStyle w:val="Strong"/>
          <w:i w:val="0"/>
          <w:iCs w:val="0"/>
          <w:sz w:val="24"/>
          <w:szCs w:val="24"/>
        </w:rPr>
        <w:instrText xml:space="preserve"> SEQ Figure \* ARABIC </w:instrText>
      </w:r>
      <w:r w:rsidRPr="0072709E">
        <w:rPr>
          <w:rStyle w:val="Strong"/>
          <w:i w:val="0"/>
          <w:iCs w:val="0"/>
          <w:sz w:val="24"/>
          <w:szCs w:val="24"/>
        </w:rPr>
        <w:fldChar w:fldCharType="separate"/>
      </w:r>
      <w:r w:rsidRPr="0072709E">
        <w:rPr>
          <w:rStyle w:val="Strong"/>
          <w:i w:val="0"/>
          <w:iCs w:val="0"/>
          <w:sz w:val="24"/>
          <w:szCs w:val="24"/>
        </w:rPr>
        <w:t>2</w:t>
      </w:r>
      <w:r w:rsidRPr="0072709E">
        <w:rPr>
          <w:rStyle w:val="Strong"/>
          <w:i w:val="0"/>
          <w:iCs w:val="0"/>
          <w:sz w:val="24"/>
          <w:szCs w:val="24"/>
        </w:rPr>
        <w:fldChar w:fldCharType="end"/>
      </w:r>
      <w:r w:rsidRPr="0072709E">
        <w:rPr>
          <w:rStyle w:val="Strong"/>
          <w:i w:val="0"/>
          <w:iCs w:val="0"/>
          <w:sz w:val="24"/>
          <w:szCs w:val="24"/>
        </w:rPr>
        <w:t>: estimate of female parental gap in London</w:t>
      </w:r>
    </w:p>
    <w:p w14:paraId="090468B1" w14:textId="33E903E1" w:rsidR="003377B7" w:rsidRDefault="003E5FEB" w:rsidP="00CB1DF1">
      <w:r>
        <w:rPr>
          <w:noProof/>
        </w:rPr>
        <w:drawing>
          <wp:inline distT="0" distB="0" distL="0" distR="0" wp14:anchorId="0BB2F6D7" wp14:editId="2A699DD8">
            <wp:extent cx="5731510" cy="22860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7587" b="32528"/>
                    <a:stretch/>
                  </pic:blipFill>
                  <pic:spPr bwMode="auto">
                    <a:xfrm>
                      <a:off x="0" y="0"/>
                      <a:ext cx="5731510" cy="22860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80FD0A6" wp14:editId="148C8059">
            <wp:extent cx="5731510" cy="4546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92067"/>
                    <a:stretch/>
                  </pic:blipFill>
                  <pic:spPr bwMode="auto">
                    <a:xfrm>
                      <a:off x="0" y="0"/>
                      <a:ext cx="5731510" cy="454660"/>
                    </a:xfrm>
                    <a:prstGeom prst="rect">
                      <a:avLst/>
                    </a:prstGeom>
                    <a:noFill/>
                    <a:ln>
                      <a:noFill/>
                    </a:ln>
                    <a:extLst>
                      <a:ext uri="{53640926-AAD7-44D8-BBD7-CCE9431645EC}">
                        <a14:shadowObscured xmlns:a14="http://schemas.microsoft.com/office/drawing/2010/main"/>
                      </a:ext>
                    </a:extLst>
                  </pic:spPr>
                </pic:pic>
              </a:graphicData>
            </a:graphic>
          </wp:inline>
        </w:drawing>
      </w:r>
    </w:p>
    <w:p w14:paraId="360D18C3" w14:textId="32776901" w:rsidR="003377B7" w:rsidRDefault="00233DC5" w:rsidP="00CB1DF1">
      <w:pPr>
        <w:rPr>
          <w:rStyle w:val="SubtleEmphasis"/>
        </w:rPr>
      </w:pPr>
      <w:r w:rsidRPr="00233DC5">
        <w:rPr>
          <w:rStyle w:val="SubtleEmphasis"/>
        </w:rPr>
        <w:t>Source: GLAE calculations on LFS Households April-June 2022 data.</w:t>
      </w:r>
    </w:p>
    <w:p w14:paraId="2A042A39" w14:textId="77777777" w:rsidR="00233DC5" w:rsidRDefault="00233DC5" w:rsidP="00CB1DF1"/>
    <w:p w14:paraId="70ABB09F" w14:textId="77777777" w:rsidR="00B84C9F" w:rsidRPr="00233DC5" w:rsidRDefault="00B84C9F" w:rsidP="00B84C9F">
      <w:pPr>
        <w:pStyle w:val="Subtitle"/>
        <w:rPr>
          <w:sz w:val="24"/>
          <w:szCs w:val="24"/>
        </w:rPr>
      </w:pPr>
      <w:r w:rsidRPr="00233DC5">
        <w:rPr>
          <w:sz w:val="24"/>
          <w:szCs w:val="24"/>
        </w:rPr>
        <w:t>Other unobserved characteristics may play a part</w:t>
      </w:r>
    </w:p>
    <w:p w14:paraId="3EA248C3" w14:textId="77777777" w:rsidR="001E24C7" w:rsidRPr="00233DC5" w:rsidRDefault="00AD35E4" w:rsidP="00233DC5">
      <w:r w:rsidRPr="00233DC5">
        <w:t xml:space="preserve">The LFS households dataset does not include information on personal or household income, which may otherwise be a significant factor in determining </w:t>
      </w:r>
      <w:proofErr w:type="gramStart"/>
      <w:r w:rsidRPr="00233DC5">
        <w:t>whether or not</w:t>
      </w:r>
      <w:proofErr w:type="gramEnd"/>
      <w:r w:rsidRPr="00233DC5">
        <w:t xml:space="preserve"> a parent decides not to work. London has some of the highest external childcare costs in the UK which may mean families find it more financially viable to have a parent stay at home instead.</w:t>
      </w:r>
    </w:p>
    <w:p w14:paraId="57075BB1" w14:textId="2540B667" w:rsidR="00D161F4" w:rsidRDefault="00D161F4" w:rsidP="00B84C9F">
      <w:pPr>
        <w:pStyle w:val="Subtitle"/>
      </w:pPr>
      <w:r>
        <w:br w:type="page"/>
      </w:r>
    </w:p>
    <w:p w14:paraId="39B1172E" w14:textId="67CDA387" w:rsidR="003377B7" w:rsidRDefault="00E10FCC" w:rsidP="003377B7">
      <w:pPr>
        <w:pStyle w:val="Subtitle"/>
      </w:pPr>
      <w:r>
        <w:lastRenderedPageBreak/>
        <w:t xml:space="preserve">APPENDIX: </w:t>
      </w:r>
      <w:r w:rsidR="002F204E">
        <w:t>Other models and i</w:t>
      </w:r>
      <w:r w:rsidR="007A3C08">
        <w:t>nterpreting the coefficients</w:t>
      </w:r>
    </w:p>
    <w:p w14:paraId="238B857D" w14:textId="09E76FF1" w:rsidR="00E21258" w:rsidRDefault="009D7242" w:rsidP="00115EE8">
      <w:r>
        <w:t>E</w:t>
      </w:r>
      <w:r w:rsidR="00E21258">
        <w:t xml:space="preserve">quation </w:t>
      </w:r>
      <w:r>
        <w:t xml:space="preserve">(1) </w:t>
      </w:r>
      <w:r w:rsidR="00E21258">
        <w:t xml:space="preserve">above is made as simple as possible by </w:t>
      </w:r>
      <w:proofErr w:type="spellStart"/>
      <w:r w:rsidR="00E21258">
        <w:t>subsetting</w:t>
      </w:r>
      <w:proofErr w:type="spellEnd"/>
      <w:r w:rsidR="00E21258">
        <w:t xml:space="preserve"> our original LFS dataset, which contains both men and women who can be parents and non-parents. It is not clear whether </w:t>
      </w:r>
      <w:proofErr w:type="spellStart"/>
      <w:r w:rsidR="00E21258">
        <w:t>subsetting</w:t>
      </w:r>
      <w:proofErr w:type="spellEnd"/>
      <w:r w:rsidR="00E21258">
        <w:t xml:space="preserve"> affects our regressions negatively, apart from reducing the sample size.</w:t>
      </w:r>
      <w:r w:rsidR="00EF74BD">
        <w:rPr>
          <w:rStyle w:val="FootnoteReference"/>
        </w:rPr>
        <w:footnoteReference w:id="4"/>
      </w:r>
    </w:p>
    <w:p w14:paraId="7EB1416D" w14:textId="7127F39F" w:rsidR="00E21258" w:rsidRDefault="00E21258" w:rsidP="00115EE8"/>
    <w:p w14:paraId="50F0DEBF" w14:textId="6A042DD8" w:rsidR="00E21258" w:rsidRDefault="00E21258" w:rsidP="00115EE8">
      <w:r>
        <w:t xml:space="preserve">We could also identify the gap using the full dataset, though the equation would be more complex and involve </w:t>
      </w:r>
      <w:proofErr w:type="gramStart"/>
      <w:r>
        <w:t>a number of</w:t>
      </w:r>
      <w:proofErr w:type="gramEnd"/>
      <w:r>
        <w:t xml:space="preserve"> interaction terms:</w:t>
      </w:r>
    </w:p>
    <w:p w14:paraId="0AF40B81" w14:textId="4B48EF07" w:rsidR="00E21258" w:rsidRDefault="00E21258" w:rsidP="00115EE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072"/>
        <w:gridCol w:w="496"/>
      </w:tblGrid>
      <w:tr w:rsidR="009D7242" w14:paraId="4B7DD563" w14:textId="77777777" w:rsidTr="004A4471">
        <w:tc>
          <w:tcPr>
            <w:tcW w:w="675" w:type="dxa"/>
          </w:tcPr>
          <w:p w14:paraId="47025F41" w14:textId="77777777" w:rsidR="009D7242" w:rsidRDefault="009D7242" w:rsidP="004A4471"/>
        </w:tc>
        <w:tc>
          <w:tcPr>
            <w:tcW w:w="8080" w:type="dxa"/>
          </w:tcPr>
          <w:p w14:paraId="410D155C" w14:textId="2859D313" w:rsidR="009D7242" w:rsidRDefault="009D7242" w:rsidP="004A4471">
            <m:oMathPara>
              <m:oMath>
                <m:r>
                  <w:rPr>
                    <w:rFonts w:ascii="Cambria Math" w:hAnsi="Cambria Math"/>
                  </w:rPr>
                  <m:t>EmpRate=</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Londoner+</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Parent+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Female+</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Londoner</m:t>
                </m:r>
                <m:r>
                  <w:rPr>
                    <w:rFonts w:ascii="Cambria Math" w:hAnsi="Cambria Math"/>
                  </w:rPr>
                  <m:t>×Parent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Londoner</m:t>
                </m:r>
                <m:r>
                  <w:rPr>
                    <w:rFonts w:ascii="Cambria Math" w:hAnsi="Cambria Math"/>
                  </w:rPr>
                  <m:t>×</m:t>
                </m:r>
                <m:r>
                  <w:rPr>
                    <w:rFonts w:ascii="Cambria Math" w:hAnsi="Cambria Math"/>
                  </w:rPr>
                  <m:t>Female+</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Parent</m:t>
                </m:r>
                <m:r>
                  <w:rPr>
                    <w:rFonts w:ascii="Cambria Math" w:hAnsi="Cambria Math"/>
                  </w:rPr>
                  <m:t>×</m:t>
                </m:r>
                <m:r>
                  <w:rPr>
                    <w:rFonts w:ascii="Cambria Math" w:hAnsi="Cambria Math"/>
                  </w:rPr>
                  <m:t>Female+</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7</m:t>
                    </m:r>
                  </m:sub>
                </m:sSub>
                <m:r>
                  <w:rPr>
                    <w:rFonts w:ascii="Cambria Math" w:hAnsi="Cambria Math"/>
                  </w:rPr>
                  <m:t>Londoner×Parent×</m:t>
                </m:r>
                <m:r>
                  <w:rPr>
                    <w:rFonts w:ascii="Cambria Math" w:hAnsi="Cambria Math"/>
                  </w:rPr>
                  <m:t>Female+</m:t>
                </m:r>
                <m:r>
                  <m:rPr>
                    <m:sty m:val="bi"/>
                  </m:rPr>
                  <w:rPr>
                    <w:rFonts w:ascii="Cambria Math" w:hAnsi="Cambria Math"/>
                  </w:rPr>
                  <m:t>Xβ</m:t>
                </m:r>
              </m:oMath>
            </m:oMathPara>
          </w:p>
        </w:tc>
        <w:tc>
          <w:tcPr>
            <w:tcW w:w="487" w:type="dxa"/>
          </w:tcPr>
          <w:p w14:paraId="2DF92E9C" w14:textId="325B9C00" w:rsidR="009D7242" w:rsidRDefault="009D7242" w:rsidP="004A4471">
            <w:r>
              <w:t>(</w:t>
            </w:r>
            <w:r>
              <w:t>2</w:t>
            </w:r>
            <w:r>
              <w:t>)</w:t>
            </w:r>
          </w:p>
        </w:tc>
      </w:tr>
    </w:tbl>
    <w:p w14:paraId="4806C6B8" w14:textId="77777777" w:rsidR="009D7242" w:rsidRDefault="009D7242" w:rsidP="00115EE8"/>
    <w:p w14:paraId="239B6C8A" w14:textId="655C0123" w:rsidR="00D161F4" w:rsidRDefault="00017ADE" w:rsidP="00115EE8">
      <w:r>
        <w:t xml:space="preserve">When using a regression with several dummies, we need to be careful to </w:t>
      </w:r>
      <w:r w:rsidR="00D161F4">
        <w:t xml:space="preserve">activate the correct dummies to compare the </w:t>
      </w:r>
      <w:r>
        <w:t xml:space="preserve">relevant </w:t>
      </w:r>
      <w:r w:rsidR="00D161F4">
        <w:t>groups</w:t>
      </w:r>
      <w:r>
        <w:t>. For the simple model, the base case</w:t>
      </w:r>
      <w:r w:rsidR="00D161F4">
        <w:t xml:space="preserve"> where all dummies are inactive</w:t>
      </w:r>
      <w:r>
        <w:t xml:space="preserve"> is a female parent living outside Londoner, as the data is already </w:t>
      </w:r>
      <w:proofErr w:type="spellStart"/>
      <w:r>
        <w:t>subsetted</w:t>
      </w:r>
      <w:proofErr w:type="spellEnd"/>
      <w:r>
        <w:t>. For the more complex equation, it would</w:t>
      </w:r>
      <w:r w:rsidR="009D7242">
        <w:t xml:space="preserve"> instead</w:t>
      </w:r>
      <w:r>
        <w:t xml:space="preserve"> be a non-parent male non-Londoner. </w:t>
      </w:r>
    </w:p>
    <w:p w14:paraId="334E7142" w14:textId="77777777" w:rsidR="00D161F4" w:rsidRDefault="00D161F4" w:rsidP="00115EE8"/>
    <w:p w14:paraId="00FB2FF7" w14:textId="6BD5E909" w:rsidR="00E21258" w:rsidRDefault="00017ADE" w:rsidP="00115EE8">
      <w:r>
        <w:t>To</w:t>
      </w:r>
      <w:r w:rsidR="00D161F4">
        <w:t xml:space="preserve"> correctly</w:t>
      </w:r>
      <w:r>
        <w:t xml:space="preserve"> compare female parents inside and outside London, we need to activate the relevant dummies </w:t>
      </w:r>
      <w:r w:rsidR="009D7242">
        <w:t xml:space="preserve">in Equation (2) </w:t>
      </w:r>
      <w:r>
        <w:t>and compare the estimated employment rates:</w:t>
      </w:r>
    </w:p>
    <w:p w14:paraId="48604B78" w14:textId="313C1F00" w:rsidR="00017ADE" w:rsidRDefault="00017ADE" w:rsidP="00115EE8"/>
    <w:p w14:paraId="6A7E05C2" w14:textId="0A4243DA" w:rsidR="00017ADE" w:rsidRDefault="00017ADE" w:rsidP="00017ADE">
      <w:pPr>
        <w:pStyle w:val="ListParagraph"/>
        <w:numPr>
          <w:ilvl w:val="0"/>
          <w:numId w:val="2"/>
        </w:numPr>
      </w:pPr>
      <w:r>
        <w:t xml:space="preserve">Female parents not in London: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oMath>
    </w:p>
    <w:p w14:paraId="5440DCBC" w14:textId="212248E1" w:rsidR="00017ADE" w:rsidRDefault="00017ADE" w:rsidP="00017ADE">
      <w:pPr>
        <w:pStyle w:val="ListParagraph"/>
        <w:numPr>
          <w:ilvl w:val="0"/>
          <w:numId w:val="2"/>
        </w:numPr>
      </w:pPr>
      <w:r>
        <w:t xml:space="preserve">Female parents in London: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oMath>
    </w:p>
    <w:p w14:paraId="3B529DA1" w14:textId="32576E16" w:rsidR="00D161F4" w:rsidRDefault="00D161F4" w:rsidP="00D161F4"/>
    <w:p w14:paraId="680658AA" w14:textId="730DB4D0" w:rsidR="00D161F4" w:rsidRDefault="00D161F4" w:rsidP="00D161F4">
      <w:r>
        <w:t xml:space="preserve">The difference between these two groups boils down to the coefficients activated when the dummy </w:t>
      </w:r>
      <m:oMath>
        <m:r>
          <w:rPr>
            <w:rFonts w:ascii="Cambria Math" w:hAnsi="Cambria Math"/>
          </w:rPr>
          <m:t>Londoner=1</m:t>
        </m:r>
      </m:oMath>
      <w:r>
        <w:t xml:space="preserve">, or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m:t>
        </m:r>
        <m:r>
          <m:rPr>
            <m:sty m:val="p"/>
          </m:rPr>
          <w:rPr>
            <w:rFonts w:ascii="Cambria Math" w:hAnsi="Cambria Math"/>
          </w:rPr>
          <m:t>Δ</m:t>
        </m:r>
      </m:oMath>
      <w:r>
        <w:t xml:space="preserve">. </w:t>
      </w:r>
    </w:p>
    <w:p w14:paraId="2CD9384E" w14:textId="77777777" w:rsidR="00D161F4" w:rsidRDefault="00D161F4" w:rsidP="00D161F4"/>
    <w:p w14:paraId="5F271E3A" w14:textId="7A39A62B" w:rsidR="00D161F4" w:rsidRDefault="00D161F4" w:rsidP="00D161F4">
      <w:r>
        <w:t xml:space="preserve">When performing the regressions, we can see that the coefficients indeed sum up to the same gap regardless of specification. However, the sheer amount of interaction terms needed make the models cumbersome, so we </w:t>
      </w:r>
      <w:r w:rsidR="00233DC5">
        <w:t>use</w:t>
      </w:r>
      <w:r>
        <w:t xml:space="preserve"> the simple model.</w:t>
      </w:r>
    </w:p>
    <w:p w14:paraId="7194B396" w14:textId="70BA76FA" w:rsidR="00D161F4" w:rsidRDefault="00D161F4" w:rsidP="00D161F4"/>
    <w:p w14:paraId="3C734DD4" w14:textId="2C2944DB" w:rsidR="00D161F4" w:rsidRDefault="00D161F4" w:rsidP="00D161F4">
      <w:r>
        <w:t xml:space="preserve">An important caveat is that the interpretation of coefficients on the demographic covariates are less broad in </w:t>
      </w:r>
      <w:r w:rsidR="009D7242">
        <w:t>Equation (1)</w:t>
      </w:r>
      <w:r>
        <w:t xml:space="preserve">. The coefficient on the dummy for disability would indicate the effect for the whole population in </w:t>
      </w:r>
      <w:r w:rsidR="009D7242">
        <w:t>Equation (2)</w:t>
      </w:r>
      <w:r>
        <w:t xml:space="preserve">, but when using the female-parent-only dataset, the coefficient only tells us which effect disability has on that specific sub-group. </w:t>
      </w:r>
    </w:p>
    <w:p w14:paraId="3032B717" w14:textId="77777777" w:rsidR="00E21258" w:rsidRDefault="00E21258" w:rsidP="00115EE8"/>
    <w:p w14:paraId="75A1B475" w14:textId="77777777" w:rsidR="007A3C08" w:rsidRPr="007A3C08" w:rsidRDefault="007A3C08" w:rsidP="007A3C08"/>
    <w:p w14:paraId="0FCAA774" w14:textId="77777777" w:rsidR="003377B7" w:rsidRDefault="003377B7" w:rsidP="00CB1DF1"/>
    <w:p w14:paraId="09BD71E2" w14:textId="77777777" w:rsidR="003377B7" w:rsidRDefault="003377B7" w:rsidP="00CB1DF1"/>
    <w:p w14:paraId="35EC635F" w14:textId="77777777" w:rsidR="003377B7" w:rsidRPr="004E36FD" w:rsidRDefault="003377B7" w:rsidP="00CB1DF1"/>
    <w:sectPr w:rsidR="003377B7" w:rsidRPr="004E36FD" w:rsidSect="00AF22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B8D40" w14:textId="77777777" w:rsidR="0085031A" w:rsidRDefault="0085031A" w:rsidP="00C74240">
      <w:r>
        <w:separator/>
      </w:r>
    </w:p>
  </w:endnote>
  <w:endnote w:type="continuationSeparator" w:id="0">
    <w:p w14:paraId="392B4752" w14:textId="77777777" w:rsidR="0085031A" w:rsidRDefault="0085031A" w:rsidP="00C74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undry Form Sans">
    <w:panose1 w:val="02000503050000020004"/>
    <w:charset w:val="00"/>
    <w:family w:val="auto"/>
    <w:pitch w:val="variable"/>
    <w:sig w:usb0="800000A7" w:usb1="0000004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149A7" w14:textId="77777777" w:rsidR="0085031A" w:rsidRDefault="0085031A" w:rsidP="00C74240">
      <w:r>
        <w:separator/>
      </w:r>
    </w:p>
  </w:footnote>
  <w:footnote w:type="continuationSeparator" w:id="0">
    <w:p w14:paraId="479ACD58" w14:textId="77777777" w:rsidR="0085031A" w:rsidRDefault="0085031A" w:rsidP="00C74240">
      <w:r>
        <w:continuationSeparator/>
      </w:r>
    </w:p>
  </w:footnote>
  <w:footnote w:id="1">
    <w:p w14:paraId="37E9114C" w14:textId="2E5E12CE" w:rsidR="00233DC5" w:rsidRDefault="00233DC5">
      <w:pPr>
        <w:pStyle w:val="FootnoteText"/>
      </w:pPr>
      <w:r>
        <w:rPr>
          <w:rStyle w:val="FootnoteReference"/>
        </w:rPr>
        <w:footnoteRef/>
      </w:r>
      <w:r>
        <w:t xml:space="preserve"> Based on LFS Households data in 2022. Birmingham saw a similar and possibly even larger gap in the data.</w:t>
      </w:r>
    </w:p>
  </w:footnote>
  <w:footnote w:id="2">
    <w:p w14:paraId="156D5DB8" w14:textId="3B7E95C8" w:rsidR="00C74240" w:rsidRPr="00B91C8D" w:rsidRDefault="00C74240">
      <w:pPr>
        <w:pStyle w:val="FootnoteText"/>
      </w:pPr>
      <w:r>
        <w:rPr>
          <w:rStyle w:val="FootnoteReference"/>
        </w:rPr>
        <w:footnoteRef/>
      </w:r>
      <w:r>
        <w:t xml:space="preserve"> We may be interested in investigating causality </w:t>
      </w:r>
      <w:r w:rsidRPr="00B91C8D">
        <w:rPr>
          <w:i/>
          <w:iCs/>
        </w:rPr>
        <w:t>once</w:t>
      </w:r>
      <w:r w:rsidR="00B91C8D">
        <w:rPr>
          <w:i/>
          <w:iCs/>
        </w:rPr>
        <w:t xml:space="preserve"> </w:t>
      </w:r>
      <w:r w:rsidR="00B91C8D" w:rsidRPr="00B91C8D">
        <w:t xml:space="preserve">we’ve established a </w:t>
      </w:r>
      <w:r w:rsidR="003D41ED">
        <w:t>likely</w:t>
      </w:r>
      <w:r w:rsidR="00B91C8D" w:rsidRPr="00B91C8D">
        <w:t xml:space="preserve"> correlation</w:t>
      </w:r>
      <w:r w:rsidR="00B91C8D">
        <w:t xml:space="preserve">. </w:t>
      </w:r>
      <w:r w:rsidR="003D41ED">
        <w:t xml:space="preserve">We also attempt to avoid perfect collinearity as </w:t>
      </w:r>
      <w:r w:rsidR="00626F94">
        <w:t xml:space="preserve">it may </w:t>
      </w:r>
      <w:r w:rsidR="002F204E">
        <w:t>provide spurious results</w:t>
      </w:r>
      <w:r w:rsidR="00626F94">
        <w:t xml:space="preserve"> when </w:t>
      </w:r>
      <w:r w:rsidR="002F204E">
        <w:t xml:space="preserve">the </w:t>
      </w:r>
      <w:r w:rsidR="00626F94">
        <w:t xml:space="preserve">coefficients merely lose significance due to </w:t>
      </w:r>
      <w:r w:rsidR="00663F81">
        <w:t>a loss of precision in the estimates</w:t>
      </w:r>
      <w:r w:rsidR="002F204E">
        <w:t>.</w:t>
      </w:r>
    </w:p>
  </w:footnote>
  <w:footnote w:id="3">
    <w:p w14:paraId="675752DD" w14:textId="40133A99" w:rsidR="003E5FEB" w:rsidRDefault="003E5FEB">
      <w:pPr>
        <w:pStyle w:val="FootnoteText"/>
      </w:pPr>
      <w:r>
        <w:rPr>
          <w:rStyle w:val="FootnoteReference"/>
        </w:rPr>
        <w:footnoteRef/>
      </w:r>
      <w:r>
        <w:t xml:space="preserve"> Introducing religion reduces the sample size due to missing responses, such that the full model uses less observations than the ethnicity-only model. </w:t>
      </w:r>
    </w:p>
  </w:footnote>
  <w:footnote w:id="4">
    <w:p w14:paraId="23D2EA96" w14:textId="6F4F358B" w:rsidR="00EF74BD" w:rsidRDefault="00EF74BD">
      <w:pPr>
        <w:pStyle w:val="FootnoteText"/>
      </w:pPr>
      <w:r>
        <w:rPr>
          <w:rStyle w:val="FootnoteReference"/>
        </w:rPr>
        <w:footnoteRef/>
      </w:r>
      <w:r>
        <w:t xml:space="preserve"> It is possible the reduced sample size affects our results. While the gap is not significant when controlling for ethnicity in our main model, it continues to be significant as an interacted term when using a larger dataset. However, it is more difficult to interpret the combined significance of multiple coefficients in an interacted 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12478"/>
    <w:multiLevelType w:val="hybridMultilevel"/>
    <w:tmpl w:val="B69C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AE18D5"/>
    <w:multiLevelType w:val="hybridMultilevel"/>
    <w:tmpl w:val="A51E0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86AF2"/>
    <w:rsid w:val="000136B9"/>
    <w:rsid w:val="00017ADE"/>
    <w:rsid w:val="00086AF2"/>
    <w:rsid w:val="0009207E"/>
    <w:rsid w:val="000A51C6"/>
    <w:rsid w:val="00115EE8"/>
    <w:rsid w:val="0015533D"/>
    <w:rsid w:val="001E24C7"/>
    <w:rsid w:val="00200011"/>
    <w:rsid w:val="00223919"/>
    <w:rsid w:val="00233DC5"/>
    <w:rsid w:val="00237949"/>
    <w:rsid w:val="00287EB2"/>
    <w:rsid w:val="00290E43"/>
    <w:rsid w:val="002E66FC"/>
    <w:rsid w:val="002F204E"/>
    <w:rsid w:val="00313C8A"/>
    <w:rsid w:val="003377B7"/>
    <w:rsid w:val="00346496"/>
    <w:rsid w:val="0035694F"/>
    <w:rsid w:val="003847E0"/>
    <w:rsid w:val="003A4AB1"/>
    <w:rsid w:val="003D41ED"/>
    <w:rsid w:val="003E5FEB"/>
    <w:rsid w:val="00403A8A"/>
    <w:rsid w:val="00410C96"/>
    <w:rsid w:val="00465EC8"/>
    <w:rsid w:val="004E36FD"/>
    <w:rsid w:val="00516F8C"/>
    <w:rsid w:val="00531B3C"/>
    <w:rsid w:val="005363E7"/>
    <w:rsid w:val="00551605"/>
    <w:rsid w:val="00553D11"/>
    <w:rsid w:val="0055530F"/>
    <w:rsid w:val="00572B98"/>
    <w:rsid w:val="005D4545"/>
    <w:rsid w:val="005E4D3C"/>
    <w:rsid w:val="00617B08"/>
    <w:rsid w:val="00626F94"/>
    <w:rsid w:val="00663F81"/>
    <w:rsid w:val="006D0CCF"/>
    <w:rsid w:val="006D7066"/>
    <w:rsid w:val="0072709E"/>
    <w:rsid w:val="007371AF"/>
    <w:rsid w:val="00744E0E"/>
    <w:rsid w:val="0077050A"/>
    <w:rsid w:val="00785072"/>
    <w:rsid w:val="007A3C08"/>
    <w:rsid w:val="007E217A"/>
    <w:rsid w:val="007F05B7"/>
    <w:rsid w:val="0085031A"/>
    <w:rsid w:val="008571BD"/>
    <w:rsid w:val="008625B6"/>
    <w:rsid w:val="008A0357"/>
    <w:rsid w:val="008A45B2"/>
    <w:rsid w:val="008F51F1"/>
    <w:rsid w:val="009331DD"/>
    <w:rsid w:val="00957DBA"/>
    <w:rsid w:val="009B3948"/>
    <w:rsid w:val="009B73E1"/>
    <w:rsid w:val="009D7242"/>
    <w:rsid w:val="00A57B7E"/>
    <w:rsid w:val="00A93A3B"/>
    <w:rsid w:val="00AB4E6E"/>
    <w:rsid w:val="00AC6223"/>
    <w:rsid w:val="00AD35E4"/>
    <w:rsid w:val="00AF22A0"/>
    <w:rsid w:val="00B35E53"/>
    <w:rsid w:val="00B41487"/>
    <w:rsid w:val="00B801FB"/>
    <w:rsid w:val="00B84C9F"/>
    <w:rsid w:val="00B91C8D"/>
    <w:rsid w:val="00BC4C61"/>
    <w:rsid w:val="00C07732"/>
    <w:rsid w:val="00C443B8"/>
    <w:rsid w:val="00C70649"/>
    <w:rsid w:val="00C74240"/>
    <w:rsid w:val="00C87943"/>
    <w:rsid w:val="00CB113D"/>
    <w:rsid w:val="00CB1DF1"/>
    <w:rsid w:val="00CF175B"/>
    <w:rsid w:val="00D14684"/>
    <w:rsid w:val="00D161F4"/>
    <w:rsid w:val="00D43831"/>
    <w:rsid w:val="00D5270F"/>
    <w:rsid w:val="00DC6EFE"/>
    <w:rsid w:val="00DF65FA"/>
    <w:rsid w:val="00E10FCC"/>
    <w:rsid w:val="00E132C4"/>
    <w:rsid w:val="00E1586A"/>
    <w:rsid w:val="00E21258"/>
    <w:rsid w:val="00E31C6C"/>
    <w:rsid w:val="00EA7E8F"/>
    <w:rsid w:val="00EE472C"/>
    <w:rsid w:val="00EF74BD"/>
    <w:rsid w:val="00F436E8"/>
    <w:rsid w:val="00F508D8"/>
    <w:rsid w:val="00F53C36"/>
    <w:rsid w:val="00FA19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6C1386"/>
  <w15:chartTrackingRefBased/>
  <w15:docId w15:val="{11199B1E-2570-42CC-BC04-4425034FE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Foundry Form Sans" w:hAnsi="Foundry Form Sans"/>
      <w:sz w:val="24"/>
      <w:szCs w:val="24"/>
      <w:lang w:eastAsia="en-US"/>
    </w:rPr>
  </w:style>
  <w:style w:type="paragraph" w:styleId="Heading1">
    <w:name w:val="heading 1"/>
    <w:basedOn w:val="Normal"/>
    <w:next w:val="Normal"/>
    <w:qFormat/>
    <w:rsid w:val="00D43831"/>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5694F"/>
    <w:rPr>
      <w:rFonts w:ascii="Tahoma" w:hAnsi="Tahoma" w:cs="Tahoma"/>
      <w:sz w:val="16"/>
      <w:szCs w:val="16"/>
    </w:rPr>
  </w:style>
  <w:style w:type="character" w:customStyle="1" w:styleId="BalloonTextChar">
    <w:name w:val="Balloon Text Char"/>
    <w:basedOn w:val="DefaultParagraphFont"/>
    <w:link w:val="BalloonText"/>
    <w:rsid w:val="0035694F"/>
    <w:rPr>
      <w:rFonts w:ascii="Tahoma" w:hAnsi="Tahoma" w:cs="Tahoma"/>
      <w:sz w:val="16"/>
      <w:szCs w:val="16"/>
      <w:lang w:eastAsia="en-US"/>
    </w:rPr>
  </w:style>
  <w:style w:type="paragraph" w:styleId="Caption">
    <w:name w:val="caption"/>
    <w:basedOn w:val="Normal"/>
    <w:next w:val="Normal"/>
    <w:semiHidden/>
    <w:unhideWhenUsed/>
    <w:qFormat/>
    <w:rsid w:val="00E132C4"/>
    <w:pPr>
      <w:spacing w:after="200"/>
    </w:pPr>
    <w:rPr>
      <w:i/>
      <w:iCs/>
      <w:color w:val="353D42" w:themeColor="text2"/>
      <w:sz w:val="18"/>
      <w:szCs w:val="18"/>
    </w:rPr>
  </w:style>
  <w:style w:type="character" w:styleId="Strong">
    <w:name w:val="Strong"/>
    <w:basedOn w:val="DefaultParagraphFont"/>
    <w:qFormat/>
    <w:rsid w:val="00E132C4"/>
    <w:rPr>
      <w:b/>
      <w:bCs/>
    </w:rPr>
  </w:style>
  <w:style w:type="paragraph" w:styleId="Subtitle">
    <w:name w:val="Subtitle"/>
    <w:basedOn w:val="Normal"/>
    <w:next w:val="Normal"/>
    <w:link w:val="SubtitleChar"/>
    <w:qFormat/>
    <w:rsid w:val="003377B7"/>
    <w:pPr>
      <w:numPr>
        <w:ilvl w:val="1"/>
      </w:numPr>
      <w:spacing w:after="160"/>
    </w:pPr>
    <w:rPr>
      <w:rFonts w:eastAsiaTheme="minorEastAsia" w:cs="Arial"/>
      <w:b/>
      <w:bCs/>
      <w:spacing w:val="15"/>
      <w:sz w:val="22"/>
      <w:szCs w:val="22"/>
    </w:rPr>
  </w:style>
  <w:style w:type="character" w:customStyle="1" w:styleId="SubtitleChar">
    <w:name w:val="Subtitle Char"/>
    <w:basedOn w:val="DefaultParagraphFont"/>
    <w:link w:val="Subtitle"/>
    <w:rsid w:val="003377B7"/>
    <w:rPr>
      <w:rFonts w:ascii="Foundry Form Sans" w:eastAsiaTheme="minorEastAsia" w:hAnsi="Foundry Form Sans" w:cs="Arial"/>
      <w:b/>
      <w:bCs/>
      <w:spacing w:val="15"/>
      <w:sz w:val="22"/>
      <w:szCs w:val="22"/>
      <w:lang w:eastAsia="en-US"/>
    </w:rPr>
  </w:style>
  <w:style w:type="paragraph" w:styleId="FootnoteText">
    <w:name w:val="footnote text"/>
    <w:basedOn w:val="Normal"/>
    <w:link w:val="FootnoteTextChar"/>
    <w:semiHidden/>
    <w:unhideWhenUsed/>
    <w:rsid w:val="00C74240"/>
    <w:rPr>
      <w:sz w:val="20"/>
      <w:szCs w:val="20"/>
    </w:rPr>
  </w:style>
  <w:style w:type="character" w:customStyle="1" w:styleId="FootnoteTextChar">
    <w:name w:val="Footnote Text Char"/>
    <w:basedOn w:val="DefaultParagraphFont"/>
    <w:link w:val="FootnoteText"/>
    <w:semiHidden/>
    <w:rsid w:val="00C74240"/>
    <w:rPr>
      <w:rFonts w:ascii="Foundry Form Sans" w:hAnsi="Foundry Form Sans"/>
      <w:lang w:eastAsia="en-US"/>
    </w:rPr>
  </w:style>
  <w:style w:type="character" w:styleId="FootnoteReference">
    <w:name w:val="footnote reference"/>
    <w:basedOn w:val="DefaultParagraphFont"/>
    <w:semiHidden/>
    <w:unhideWhenUsed/>
    <w:rsid w:val="00C74240"/>
    <w:rPr>
      <w:vertAlign w:val="superscript"/>
    </w:rPr>
  </w:style>
  <w:style w:type="character" w:styleId="PlaceholderText">
    <w:name w:val="Placeholder Text"/>
    <w:basedOn w:val="DefaultParagraphFont"/>
    <w:uiPriority w:val="99"/>
    <w:semiHidden/>
    <w:rsid w:val="00B35E53"/>
    <w:rPr>
      <w:color w:val="808080"/>
    </w:rPr>
  </w:style>
  <w:style w:type="paragraph" w:styleId="ListParagraph">
    <w:name w:val="List Paragraph"/>
    <w:basedOn w:val="Normal"/>
    <w:uiPriority w:val="34"/>
    <w:qFormat/>
    <w:rsid w:val="00E10FCC"/>
    <w:pPr>
      <w:ind w:left="720"/>
      <w:contextualSpacing/>
    </w:pPr>
  </w:style>
  <w:style w:type="table" w:styleId="TableGrid">
    <w:name w:val="Table Grid"/>
    <w:basedOn w:val="TableNormal"/>
    <w:rsid w:val="009D72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9D724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greaterlondonauthority.sharepoint.com/sites/S_IU_GLAEconomics/Shared%20Documents/General/Micro/Labour%20Market/Ad%20hoc%20work/12.%20Childcare%20and%20employment/R/OUTPUT/DATA/Chart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2"/>
          <c:order val="0"/>
          <c:tx>
            <c:strRef>
              <c:f>Sheet1!$E$123</c:f>
              <c:strCache>
                <c:ptCount val="1"/>
                <c:pt idx="0">
                  <c:v>London</c:v>
                </c:pt>
              </c:strCache>
            </c:strRef>
          </c:tx>
          <c:spPr>
            <a:solidFill>
              <a:schemeClr val="accent1"/>
            </a:solidFill>
            <a:ln>
              <a:noFill/>
            </a:ln>
            <a:effectLst/>
          </c:spPr>
          <c:invertIfNegative val="0"/>
          <c:errBars>
            <c:errBarType val="both"/>
            <c:errValType val="cust"/>
            <c:noEndCap val="0"/>
            <c:plus>
              <c:numRef>
                <c:f>Sheet1!$F$125:$F$128</c:f>
                <c:numCache>
                  <c:formatCode>General</c:formatCode>
                  <c:ptCount val="4"/>
                  <c:pt idx="0">
                    <c:v>1.05909783386849E-2</c:v>
                  </c:pt>
                  <c:pt idx="1">
                    <c:v>1.73185149047532E-2</c:v>
                  </c:pt>
                  <c:pt idx="2">
                    <c:v>1.3783532832492101E-2</c:v>
                  </c:pt>
                  <c:pt idx="3">
                    <c:v>1.4223407773721899E-2</c:v>
                  </c:pt>
                </c:numCache>
              </c:numRef>
            </c:plus>
            <c:minus>
              <c:numRef>
                <c:f>Sheet1!$F$125:$F$128</c:f>
                <c:numCache>
                  <c:formatCode>General</c:formatCode>
                  <c:ptCount val="4"/>
                  <c:pt idx="0">
                    <c:v>1.05909783386849E-2</c:v>
                  </c:pt>
                  <c:pt idx="1">
                    <c:v>1.73185149047532E-2</c:v>
                  </c:pt>
                  <c:pt idx="2">
                    <c:v>1.3783532832492101E-2</c:v>
                  </c:pt>
                  <c:pt idx="3">
                    <c:v>1.4223407773721899E-2</c:v>
                  </c:pt>
                </c:numCache>
              </c:numRef>
            </c:minus>
            <c:spPr>
              <a:noFill/>
              <a:ln w="9525" cap="flat" cmpd="sng" algn="ctr">
                <a:solidFill>
                  <a:schemeClr val="tx1">
                    <a:lumMod val="65000"/>
                    <a:lumOff val="35000"/>
                  </a:schemeClr>
                </a:solidFill>
                <a:round/>
              </a:ln>
              <a:effectLst/>
            </c:spPr>
          </c:errBars>
          <c:cat>
            <c:multiLvlStrRef>
              <c:f>Sheet1!$C$125:$D$128</c:f>
              <c:multiLvlStrCache>
                <c:ptCount val="4"/>
                <c:lvl>
                  <c:pt idx="0">
                    <c:v>Male</c:v>
                  </c:pt>
                  <c:pt idx="1">
                    <c:v>Female</c:v>
                  </c:pt>
                  <c:pt idx="2">
                    <c:v>Male</c:v>
                  </c:pt>
                  <c:pt idx="3">
                    <c:v>Female</c:v>
                  </c:pt>
                </c:lvl>
                <c:lvl>
                  <c:pt idx="0">
                    <c:v>Parents</c:v>
                  </c:pt>
                  <c:pt idx="2">
                    <c:v>Non-parents</c:v>
                  </c:pt>
                </c:lvl>
              </c:multiLvlStrCache>
            </c:multiLvlStrRef>
          </c:cat>
          <c:val>
            <c:numRef>
              <c:f>Sheet1!$E$125:$E$128</c:f>
              <c:numCache>
                <c:formatCode>0.0%</c:formatCode>
                <c:ptCount val="4"/>
                <c:pt idx="0">
                  <c:v>0.92668473911135196</c:v>
                </c:pt>
                <c:pt idx="1">
                  <c:v>0.69307009183924895</c:v>
                </c:pt>
                <c:pt idx="2">
                  <c:v>0.72742104358135695</c:v>
                </c:pt>
                <c:pt idx="3">
                  <c:v>0.69684902421049899</c:v>
                </c:pt>
              </c:numCache>
            </c:numRef>
          </c:val>
          <c:extLst>
            <c:ext xmlns:c16="http://schemas.microsoft.com/office/drawing/2014/chart" uri="{C3380CC4-5D6E-409C-BE32-E72D297353CC}">
              <c16:uniqueId val="{00000000-E638-42A6-B23D-3D2AB679D058}"/>
            </c:ext>
          </c:extLst>
        </c:ser>
        <c:ser>
          <c:idx val="1"/>
          <c:order val="1"/>
          <c:tx>
            <c:strRef>
              <c:f>Sheet1!$H$123</c:f>
              <c:strCache>
                <c:ptCount val="1"/>
                <c:pt idx="0">
                  <c:v>UK</c:v>
                </c:pt>
              </c:strCache>
            </c:strRef>
          </c:tx>
          <c:spPr>
            <a:solidFill>
              <a:schemeClr val="accent2"/>
            </a:solidFill>
            <a:ln>
              <a:noFill/>
            </a:ln>
            <a:effectLst/>
          </c:spPr>
          <c:invertIfNegative val="0"/>
          <c:errBars>
            <c:errBarType val="both"/>
            <c:errValType val="cust"/>
            <c:noEndCap val="0"/>
            <c:plus>
              <c:numRef>
                <c:f>Sheet1!$I$125:$I$128</c:f>
                <c:numCache>
                  <c:formatCode>General</c:formatCode>
                  <c:ptCount val="4"/>
                  <c:pt idx="0">
                    <c:v>3.6682658956604798E-3</c:v>
                  </c:pt>
                  <c:pt idx="1">
                    <c:v>5.4472118452649296E-3</c:v>
                  </c:pt>
                  <c:pt idx="2">
                    <c:v>5.3424684010458098E-3</c:v>
                  </c:pt>
                  <c:pt idx="3">
                    <c:v>4.4586455593805798E-3</c:v>
                  </c:pt>
                </c:numCache>
              </c:numRef>
            </c:plus>
            <c:minus>
              <c:numRef>
                <c:f>Sheet1!$I$125:$I$128</c:f>
                <c:numCache>
                  <c:formatCode>General</c:formatCode>
                  <c:ptCount val="4"/>
                  <c:pt idx="0">
                    <c:v>3.6682658956604798E-3</c:v>
                  </c:pt>
                  <c:pt idx="1">
                    <c:v>5.4472118452649296E-3</c:v>
                  </c:pt>
                  <c:pt idx="2">
                    <c:v>5.3424684010458098E-3</c:v>
                  </c:pt>
                  <c:pt idx="3">
                    <c:v>4.4586455593805798E-3</c:v>
                  </c:pt>
                </c:numCache>
              </c:numRef>
            </c:minus>
            <c:spPr>
              <a:noFill/>
              <a:ln w="9525" cap="flat" cmpd="sng" algn="ctr">
                <a:solidFill>
                  <a:schemeClr val="tx1">
                    <a:lumMod val="65000"/>
                    <a:lumOff val="35000"/>
                  </a:schemeClr>
                </a:solidFill>
                <a:round/>
              </a:ln>
              <a:effectLst/>
            </c:spPr>
          </c:errBars>
          <c:cat>
            <c:multiLvlStrRef>
              <c:f>Sheet1!$C$125:$D$128</c:f>
              <c:multiLvlStrCache>
                <c:ptCount val="4"/>
                <c:lvl>
                  <c:pt idx="0">
                    <c:v>Male</c:v>
                  </c:pt>
                  <c:pt idx="1">
                    <c:v>Female</c:v>
                  </c:pt>
                  <c:pt idx="2">
                    <c:v>Male</c:v>
                  </c:pt>
                  <c:pt idx="3">
                    <c:v>Female</c:v>
                  </c:pt>
                </c:lvl>
                <c:lvl>
                  <c:pt idx="0">
                    <c:v>Parents</c:v>
                  </c:pt>
                  <c:pt idx="2">
                    <c:v>Non-parents</c:v>
                  </c:pt>
                </c:lvl>
              </c:multiLvlStrCache>
            </c:multiLvlStrRef>
          </c:cat>
          <c:val>
            <c:numRef>
              <c:f>Sheet1!$H$125:$H$128</c:f>
              <c:numCache>
                <c:formatCode>0.0%</c:formatCode>
                <c:ptCount val="4"/>
                <c:pt idx="0">
                  <c:v>0.92779677610091504</c:v>
                </c:pt>
                <c:pt idx="1">
                  <c:v>0.75566507798009697</c:v>
                </c:pt>
                <c:pt idx="2">
                  <c:v>0.72201975027028897</c:v>
                </c:pt>
                <c:pt idx="3">
                  <c:v>0.695811478623517</c:v>
                </c:pt>
              </c:numCache>
            </c:numRef>
          </c:val>
          <c:extLst>
            <c:ext xmlns:c16="http://schemas.microsoft.com/office/drawing/2014/chart" uri="{C3380CC4-5D6E-409C-BE32-E72D297353CC}">
              <c16:uniqueId val="{00000001-E638-42A6-B23D-3D2AB679D058}"/>
            </c:ext>
          </c:extLst>
        </c:ser>
        <c:dLbls>
          <c:showLegendKey val="0"/>
          <c:showVal val="0"/>
          <c:showCatName val="0"/>
          <c:showSerName val="0"/>
          <c:showPercent val="0"/>
          <c:showBubbleSize val="0"/>
        </c:dLbls>
        <c:gapWidth val="219"/>
        <c:overlap val="-27"/>
        <c:axId val="804735560"/>
        <c:axId val="804737200"/>
      </c:barChart>
      <c:catAx>
        <c:axId val="804735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737200"/>
        <c:crosses val="autoZero"/>
        <c:auto val="1"/>
        <c:lblAlgn val="ctr"/>
        <c:lblOffset val="100"/>
        <c:noMultiLvlLbl val="0"/>
      </c:catAx>
      <c:valAx>
        <c:axId val="804737200"/>
        <c:scaling>
          <c:orientation val="minMax"/>
          <c:min val="0.60000000000000009"/>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735560"/>
        <c:crosses val="autoZero"/>
        <c:crossBetween val="between"/>
        <c:majorUnit val="0.1"/>
      </c:valAx>
      <c:spPr>
        <a:noFill/>
        <a:ln>
          <a:noFill/>
        </a:ln>
        <a:effectLst/>
      </c:spPr>
    </c:plotArea>
    <c:legend>
      <c:legendPos val="t"/>
      <c:layout>
        <c:manualLayout>
          <c:xMode val="edge"/>
          <c:yMode val="edge"/>
          <c:x val="2.0869373202494691E-2"/>
          <c:y val="2.9757238811602214E-2"/>
          <c:w val="0.24098674580332774"/>
          <c:h val="5.597054099580836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GLA Theme light">
  <a:themeElements>
    <a:clrScheme name="City Intelligence">
      <a:dk1>
        <a:srgbClr val="000000"/>
      </a:dk1>
      <a:lt1>
        <a:srgbClr val="FFFFFF"/>
      </a:lt1>
      <a:dk2>
        <a:srgbClr val="353D42"/>
      </a:dk2>
      <a:lt2>
        <a:srgbClr val="868B8E"/>
      </a:lt2>
      <a:accent1>
        <a:srgbClr val="008BC1"/>
      </a:accent1>
      <a:accent2>
        <a:srgbClr val="EE266D"/>
      </a:accent2>
      <a:accent3>
        <a:srgbClr val="4C9E4C"/>
      </a:accent3>
      <a:accent4>
        <a:srgbClr val="9E0059"/>
      </a:accent4>
      <a:accent5>
        <a:srgbClr val="DD072B"/>
      </a:accent5>
      <a:accent6>
        <a:srgbClr val="C617A1"/>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GLA Theme light" id="{0DB60B21-503E-490B-BAD6-BC2592CFDA01}" vid="{A37F429F-E5DC-4E1D-91B3-893E496228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5EDF9DD8DBB143AE8CD71BDB6B0E3B" ma:contentTypeVersion="16" ma:contentTypeDescription="Create a new document." ma:contentTypeScope="" ma:versionID="58db4c0cb4a6c8574584e2b7e3b481f7">
  <xsd:schema xmlns:xsd="http://www.w3.org/2001/XMLSchema" xmlns:xs="http://www.w3.org/2001/XMLSchema" xmlns:p="http://schemas.microsoft.com/office/2006/metadata/properties" xmlns:ns2="7fc9ebc1-6786-4aad-aee1-fdcde6e01ff9" xmlns:ns3="fd7425d0-09b7-49b7-b351-1ad2162dc0d7" targetNamespace="http://schemas.microsoft.com/office/2006/metadata/properties" ma:root="true" ma:fieldsID="7f205f5aa0458c3a5f4d8c0367cd4bd4" ns2:_="" ns3:_="">
    <xsd:import namespace="7fc9ebc1-6786-4aad-aee1-fdcde6e01ff9"/>
    <xsd:import namespace="fd7425d0-09b7-49b7-b351-1ad2162dc0d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c9ebc1-6786-4aad-aee1-fdcde6e01f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651981c-07c9-48be-a366-aa18a08a638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7425d0-09b7-49b7-b351-1ad2162dc0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0544d0c-2e96-4949-8e6e-e90d9b14e1b3}" ma:internalName="TaxCatchAll" ma:showField="CatchAllData" ma:web="fd7425d0-09b7-49b7-b351-1ad2162dc0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fc9ebc1-6786-4aad-aee1-fdcde6e01ff9">
      <Terms xmlns="http://schemas.microsoft.com/office/infopath/2007/PartnerControls"/>
    </lcf76f155ced4ddcb4097134ff3c332f>
    <TaxCatchAll xmlns="fd7425d0-09b7-49b7-b351-1ad2162dc0d7"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19E21-4C3F-46B7-94F9-B48C705348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c9ebc1-6786-4aad-aee1-fdcde6e01ff9"/>
    <ds:schemaRef ds:uri="fd7425d0-09b7-49b7-b351-1ad2162dc0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E6296C-30FC-4525-BD5A-6051CBF4B3B0}">
  <ds:schemaRefs>
    <ds:schemaRef ds:uri="http://schemas.microsoft.com/sharepoint/v3/contenttype/forms"/>
  </ds:schemaRefs>
</ds:datastoreItem>
</file>

<file path=customXml/itemProps3.xml><?xml version="1.0" encoding="utf-8"?>
<ds:datastoreItem xmlns:ds="http://schemas.openxmlformats.org/officeDocument/2006/customXml" ds:itemID="{2D20A4BA-FD77-40A9-A470-5ACE202BCC18}">
  <ds:schemaRefs>
    <ds:schemaRef ds:uri="http://schemas.microsoft.com/office/2006/metadata/properties"/>
    <ds:schemaRef ds:uri="http://schemas.microsoft.com/office/infopath/2007/PartnerControls"/>
    <ds:schemaRef ds:uri="7fc9ebc1-6786-4aad-aee1-fdcde6e01ff9"/>
    <ds:schemaRef ds:uri="fd7425d0-09b7-49b7-b351-1ad2162dc0d7"/>
  </ds:schemaRefs>
</ds:datastoreItem>
</file>

<file path=customXml/itemProps4.xml><?xml version="1.0" encoding="utf-8"?>
<ds:datastoreItem xmlns:ds="http://schemas.openxmlformats.org/officeDocument/2006/customXml" ds:itemID="{BD26A3BB-FD15-4B1E-A866-A8D70528A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3</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Ljubijankic</dc:creator>
  <cp:keywords/>
  <dc:description/>
  <cp:lastModifiedBy>Ammar Ljubijankic</cp:lastModifiedBy>
  <cp:revision>75</cp:revision>
  <dcterms:created xsi:type="dcterms:W3CDTF">2023-03-29T08:29:00Z</dcterms:created>
  <dcterms:modified xsi:type="dcterms:W3CDTF">2023-03-29T15:37:00Z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0x010100535EDF9DD8DBB143AE8CD71BDB6B0E3B</vt:lpwstr>
  </property>
  <property fmtid="{D5CDD505-2E9C-101B-9397-08002B2CF9AE}" pid="3" name="MediaServiceImageTags">
    <vt:lpwstr/>
  </property>
</Properties>
</file>