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6C09" w14:textId="1969A16E" w:rsidR="00AF22A0" w:rsidRDefault="005B45B9" w:rsidP="005B45B9">
      <w:pPr>
        <w:pStyle w:val="Heading1"/>
      </w:pPr>
      <w:r>
        <w:t>Parental employment in London</w:t>
      </w:r>
    </w:p>
    <w:p w14:paraId="62DFA84F" w14:textId="77777777" w:rsidR="00A932FB" w:rsidRDefault="005B45B9" w:rsidP="005B45B9">
      <w:r>
        <w:t xml:space="preserve">Context: </w:t>
      </w:r>
    </w:p>
    <w:p w14:paraId="0462B941" w14:textId="37776550" w:rsidR="005B45B9" w:rsidRDefault="00A932FB" w:rsidP="005B45B9">
      <w:r>
        <w:t>E</w:t>
      </w:r>
      <w:r w:rsidR="005B45B9">
        <w:t>conomic inactivity has been rising in London and the UK overall</w:t>
      </w:r>
      <w:r>
        <w:t xml:space="preserve"> over the past few years, with as much as </w:t>
      </w:r>
      <w:commentRangeStart w:id="0"/>
      <w:r>
        <w:t>1 million workers missing relative to pre-pandemic trends</w:t>
      </w:r>
      <w:commentRangeEnd w:id="0"/>
      <w:r>
        <w:rPr>
          <w:rStyle w:val="CommentReference"/>
        </w:rPr>
        <w:commentReference w:id="0"/>
      </w:r>
      <w:r>
        <w:t>. The Spring Budget, announced by the government on March 15</w:t>
      </w:r>
      <w:r w:rsidRPr="00A932FB">
        <w:rPr>
          <w:vertAlign w:val="superscript"/>
        </w:rPr>
        <w:t>th</w:t>
      </w:r>
      <w:r>
        <w:t xml:space="preserve">, set out to encourage more people into work, including older workers, people with illnesses, but also parents with childcare </w:t>
      </w:r>
      <w:commentRangeStart w:id="1"/>
      <w:r>
        <w:t>responsibilities</w:t>
      </w:r>
      <w:commentRangeEnd w:id="1"/>
      <w:r>
        <w:rPr>
          <w:rStyle w:val="CommentReference"/>
        </w:rPr>
        <w:commentReference w:id="1"/>
      </w:r>
      <w:r>
        <w:t xml:space="preserve">. </w:t>
      </w:r>
    </w:p>
    <w:p w14:paraId="7E91F147" w14:textId="61C6AC3E" w:rsidR="00A932FB" w:rsidRDefault="00A932FB" w:rsidP="005B45B9"/>
    <w:p w14:paraId="1DCABE90" w14:textId="257FFF5E" w:rsidR="00A932FB" w:rsidRDefault="00A932FB" w:rsidP="005B45B9">
      <w:r>
        <w:t xml:space="preserve">Several studies report that some parents work less than they would like, chiefly due to high childcare costs making work financially unviable, or due to lack of suitable childcare offers. Many parents become long-term inactive as a result with many </w:t>
      </w:r>
      <w:proofErr w:type="gramStart"/>
      <w:r>
        <w:t>suffering</w:t>
      </w:r>
      <w:proofErr w:type="gramEnd"/>
      <w:r>
        <w:t xml:space="preserve"> worse career prospects on their return, which is a factor in the continuing gender inequality at the workplace.</w:t>
      </w:r>
      <w:r w:rsidR="002D342D">
        <w:t xml:space="preserve"> These consequences are more likely to affect vulnerable groups, such those with low incomes and ethnic minorities.</w:t>
      </w:r>
    </w:p>
    <w:p w14:paraId="5634B449" w14:textId="3EF525AB" w:rsidR="00A932FB" w:rsidRDefault="00A932FB" w:rsidP="005B45B9"/>
    <w:p w14:paraId="5DB2F719" w14:textId="3D49D7A3" w:rsidR="00A932FB" w:rsidRDefault="00A932FB" w:rsidP="005B45B9">
      <w:r>
        <w:t>Our research shows that:</w:t>
      </w:r>
    </w:p>
    <w:p w14:paraId="54E24D13" w14:textId="5F598852" w:rsidR="00A932FB" w:rsidRDefault="002D342D" w:rsidP="00A932FB">
      <w:pPr>
        <w:pStyle w:val="ListParagraph"/>
        <w:numPr>
          <w:ilvl w:val="0"/>
          <w:numId w:val="1"/>
        </w:numPr>
      </w:pPr>
      <w:r>
        <w:t xml:space="preserve">Overall parental employment is increasing in the UK overall as the employment rate of female parents is increasing. In London, </w:t>
      </w:r>
      <w:r w:rsidR="0024415F">
        <w:t xml:space="preserve">the </w:t>
      </w:r>
      <w:r>
        <w:t xml:space="preserve">parental employment </w:t>
      </w:r>
      <w:r w:rsidR="0024415F">
        <w:t xml:space="preserve">rate </w:t>
      </w:r>
      <w:r>
        <w:t>is stagnant</w:t>
      </w:r>
      <w:r w:rsidR="0024415F">
        <w:t xml:space="preserve"> by sex and ethnicity.</w:t>
      </w:r>
    </w:p>
    <w:p w14:paraId="459C5110" w14:textId="77777777" w:rsidR="002D342D" w:rsidRDefault="002D342D" w:rsidP="00A932FB">
      <w:pPr>
        <w:pStyle w:val="ListParagraph"/>
        <w:numPr>
          <w:ilvl w:val="0"/>
          <w:numId w:val="1"/>
        </w:numPr>
      </w:pPr>
      <w:r>
        <w:t xml:space="preserve">The inactivity gap between parent and non-parent women is very high at around 22pp, while it is much lower for men at 4pp. </w:t>
      </w:r>
    </w:p>
    <w:p w14:paraId="252DC2E4" w14:textId="62C223A7" w:rsidR="002D342D" w:rsidRDefault="002D342D" w:rsidP="00A932FB">
      <w:pPr>
        <w:pStyle w:val="ListParagraph"/>
        <w:numPr>
          <w:ilvl w:val="0"/>
          <w:numId w:val="1"/>
        </w:numPr>
      </w:pPr>
      <w:r>
        <w:t>Inactivity rates for female parent in couples is much higher than for make parents in couples (</w:t>
      </w:r>
      <w:commentRangeStart w:id="2"/>
      <w:r>
        <w:t xml:space="preserve">26% vs 5%), </w:t>
      </w:r>
      <w:commentRangeEnd w:id="2"/>
      <w:r>
        <w:rPr>
          <w:rStyle w:val="CommentReference"/>
        </w:rPr>
        <w:commentReference w:id="2"/>
      </w:r>
      <w:r>
        <w:t>which suggests that women are far more likely to take on childcaring duties than men.</w:t>
      </w:r>
    </w:p>
    <w:p w14:paraId="4CDE999B" w14:textId="08CFA901" w:rsidR="002D342D" w:rsidRDefault="002D342D" w:rsidP="00A932FB">
      <w:pPr>
        <w:pStyle w:val="ListParagraph"/>
        <w:numPr>
          <w:ilvl w:val="0"/>
          <w:numId w:val="1"/>
        </w:numPr>
      </w:pPr>
      <w:r>
        <w:t xml:space="preserve">While employment rates for single male parents is higher than for single female parents (74% vs 65%), there are nearly seven times as many female single parents (30k vs 200k). </w:t>
      </w:r>
    </w:p>
    <w:p w14:paraId="21933E77" w14:textId="26BD8143" w:rsidR="0024415F" w:rsidRDefault="0024415F" w:rsidP="00A932FB">
      <w:pPr>
        <w:pStyle w:val="ListParagraph"/>
        <w:numPr>
          <w:ilvl w:val="0"/>
          <w:numId w:val="1"/>
        </w:numPr>
      </w:pPr>
      <w:r>
        <w:t xml:space="preserve">There is no difference in parental employment rates whether youngest child is below 2 </w:t>
      </w:r>
      <w:proofErr w:type="spellStart"/>
      <w:r>
        <w:t>yrs</w:t>
      </w:r>
      <w:proofErr w:type="spellEnd"/>
      <w:r>
        <w:t xml:space="preserve"> or between 3-4 </w:t>
      </w:r>
      <w:proofErr w:type="spellStart"/>
      <w:r>
        <w:t>yrs</w:t>
      </w:r>
      <w:proofErr w:type="spellEnd"/>
      <w:r>
        <w:t xml:space="preserve"> (years in which 30 hours of free childcare is offered).</w:t>
      </w:r>
    </w:p>
    <w:p w14:paraId="4F14B3D7" w14:textId="70420577" w:rsidR="009A3BF3" w:rsidRDefault="009A3BF3" w:rsidP="00A932FB">
      <w:pPr>
        <w:pStyle w:val="ListParagraph"/>
        <w:numPr>
          <w:ilvl w:val="0"/>
          <w:numId w:val="1"/>
        </w:numPr>
      </w:pPr>
      <w:r>
        <w:t>By ethnic group, the employment rates are unchanged within groups over time, with 85% employment rate for White parents (76% non-parent) and 73% for BAME parents (63% non-parent).</w:t>
      </w:r>
    </w:p>
    <w:p w14:paraId="175CC954" w14:textId="77777777" w:rsidR="00AE4C10" w:rsidRDefault="00AE4C10" w:rsidP="00AE4C10">
      <w:pPr>
        <w:pStyle w:val="ListParagraph"/>
      </w:pPr>
    </w:p>
    <w:p w14:paraId="79B68749" w14:textId="109C3FD5" w:rsidR="002D342D" w:rsidRDefault="00AE4C10" w:rsidP="00A932FB">
      <w:pPr>
        <w:pStyle w:val="ListParagraph"/>
        <w:numPr>
          <w:ilvl w:val="0"/>
          <w:numId w:val="1"/>
        </w:numPr>
      </w:pPr>
      <w:r>
        <w:t xml:space="preserve">Working from home has become normalised post-pandemic such that there is no difference between parental and non-parental </w:t>
      </w:r>
      <w:commentRangeStart w:id="3"/>
      <w:r>
        <w:t>WFH rates</w:t>
      </w:r>
      <w:commentRangeEnd w:id="3"/>
      <w:r>
        <w:rPr>
          <w:rStyle w:val="CommentReference"/>
        </w:rPr>
        <w:commentReference w:id="3"/>
      </w:r>
    </w:p>
    <w:p w14:paraId="7C2AE4BB" w14:textId="3B770E29" w:rsidR="00AE4C10" w:rsidRDefault="00AE4C10" w:rsidP="00AE4C10">
      <w:pPr>
        <w:pStyle w:val="ListParagraph"/>
        <w:numPr>
          <w:ilvl w:val="0"/>
          <w:numId w:val="1"/>
        </w:numPr>
      </w:pPr>
      <w:r>
        <w:t>Among women, WFH rates increased from 21% to 41% for parents and from 18% to 36% for non-parents. Male WFH rate is 37% for both groups.</w:t>
      </w:r>
    </w:p>
    <w:p w14:paraId="616702C0" w14:textId="21093183" w:rsidR="00AE4C10" w:rsidRDefault="00AE4C10" w:rsidP="00AE4C10">
      <w:pPr>
        <w:pStyle w:val="ListParagraph"/>
        <w:numPr>
          <w:ilvl w:val="0"/>
          <w:numId w:val="1"/>
        </w:numPr>
      </w:pPr>
      <w:r>
        <w:t>Among Londoners receiving benefits, the rise in WFH rates was higher for parents (15% to 30%) than non-parents (23% to 30%).</w:t>
      </w:r>
    </w:p>
    <w:p w14:paraId="78BD2343" w14:textId="1001573E" w:rsidR="009A3BF3" w:rsidRDefault="009A3BF3" w:rsidP="00AE4C10">
      <w:pPr>
        <w:pStyle w:val="ListParagraph"/>
        <w:numPr>
          <w:ilvl w:val="0"/>
          <w:numId w:val="1"/>
        </w:numPr>
      </w:pPr>
      <w:r>
        <w:t xml:space="preserve">There were generally no statistically significant differences in WFH rates by industry of work between parents and non-parents. Overall, WFH has increased across years, </w:t>
      </w:r>
      <w:proofErr w:type="gramStart"/>
      <w:r>
        <w:t>e.g.</w:t>
      </w:r>
      <w:proofErr w:type="gramEnd"/>
      <w:r>
        <w:t xml:space="preserve"> from 7% to 48% for parents in finance (52% non-parents) and from 27% to 76% for parents in ICT (19%-&gt;70% for non-parents.)</w:t>
      </w:r>
    </w:p>
    <w:p w14:paraId="1E7CAF08" w14:textId="603685F2" w:rsidR="009A3BF3" w:rsidRDefault="009A3BF3" w:rsidP="00AE4C10">
      <w:pPr>
        <w:pStyle w:val="ListParagraph"/>
        <w:numPr>
          <w:ilvl w:val="0"/>
          <w:numId w:val="1"/>
        </w:numPr>
      </w:pPr>
      <w:r>
        <w:t>No difference in WFH rates within ethnic group, but while white parental WFH went 18%-&gt;44%, BAME went 13%-&gt;32%.</w:t>
      </w:r>
    </w:p>
    <w:p w14:paraId="45F70258" w14:textId="57704ED0" w:rsidR="0052711F" w:rsidRDefault="0052711F" w:rsidP="0052711F"/>
    <w:p w14:paraId="0A8C72DC" w14:textId="4970D159" w:rsidR="0052711F" w:rsidRDefault="0052711F" w:rsidP="0052711F">
      <w:pPr>
        <w:pStyle w:val="ListParagraph"/>
        <w:numPr>
          <w:ilvl w:val="0"/>
          <w:numId w:val="1"/>
        </w:numPr>
      </w:pPr>
      <w:r>
        <w:t xml:space="preserve">Much higher share of </w:t>
      </w:r>
      <w:r w:rsidR="00BF6CC6">
        <w:t xml:space="preserve">employed </w:t>
      </w:r>
      <w:r>
        <w:t xml:space="preserve">parents who do part-time work compared to non-parents, 26% vs 16%. </w:t>
      </w:r>
      <w:r w:rsidR="00BF6CC6">
        <w:t>This is largely due to women with parents at 43% for parents vs. 22%, whereas for men it is 12% vs. 10%.</w:t>
      </w:r>
    </w:p>
    <w:p w14:paraId="081C1D53" w14:textId="578EBF7A" w:rsidR="00BF6CC6" w:rsidRDefault="00BF6CC6" w:rsidP="00BF6CC6">
      <w:pPr>
        <w:pStyle w:val="ListParagraph"/>
        <w:numPr>
          <w:ilvl w:val="0"/>
          <w:numId w:val="1"/>
        </w:numPr>
      </w:pPr>
      <w:r>
        <w:lastRenderedPageBreak/>
        <w:t>While the share is falling over time from 2018 to 2022 (47%-&gt;43%), the decrease is the same for non-parents (25%-&gt;22%)</w:t>
      </w:r>
    </w:p>
    <w:p w14:paraId="1A54A0BC" w14:textId="76D32BA5" w:rsidR="009A3BF3" w:rsidRDefault="009A3BF3" w:rsidP="00BF6CC6">
      <w:pPr>
        <w:pStyle w:val="ListParagraph"/>
        <w:numPr>
          <w:ilvl w:val="0"/>
          <w:numId w:val="1"/>
        </w:numPr>
      </w:pPr>
      <w:r>
        <w:t xml:space="preserve">Some industries have seen declines in PT shares since 2018 for </w:t>
      </w:r>
      <w:proofErr w:type="gramStart"/>
      <w:r>
        <w:t>parents in particular</w:t>
      </w:r>
      <w:proofErr w:type="gramEnd"/>
      <w:r>
        <w:t xml:space="preserve">. </w:t>
      </w:r>
      <w:proofErr w:type="gramStart"/>
      <w:r>
        <w:t>E.g.</w:t>
      </w:r>
      <w:proofErr w:type="gramEnd"/>
      <w:r>
        <w:t xml:space="preserve"> Finance saw drop from 12% to 6% but only 5%-&gt;2% for non-parents, suggesting that possible WFH means more can work full-time. </w:t>
      </w:r>
    </w:p>
    <w:p w14:paraId="1E3E515B" w14:textId="77F8AA42" w:rsidR="00B149FC" w:rsidRDefault="00B149FC" w:rsidP="00BF6CC6">
      <w:pPr>
        <w:pStyle w:val="ListParagraph"/>
        <w:numPr>
          <w:ilvl w:val="0"/>
          <w:numId w:val="1"/>
        </w:numPr>
      </w:pPr>
      <w:r>
        <w:t>There are more parents who are not on benefits who work PT relative to non-parents, 17% vs. 15%</w:t>
      </w:r>
    </w:p>
    <w:p w14:paraId="0F9004FE" w14:textId="77777777" w:rsidR="00BF6CC6" w:rsidRDefault="00BF6CC6" w:rsidP="00BF6CC6">
      <w:pPr>
        <w:pStyle w:val="ListParagraph"/>
      </w:pPr>
    </w:p>
    <w:p w14:paraId="791AADF2" w14:textId="77777777" w:rsidR="00BF6CC6" w:rsidRDefault="00BF6CC6" w:rsidP="0052711F">
      <w:pPr>
        <w:pStyle w:val="ListParagraph"/>
        <w:numPr>
          <w:ilvl w:val="0"/>
          <w:numId w:val="1"/>
        </w:numPr>
      </w:pPr>
    </w:p>
    <w:p w14:paraId="190BCC6D" w14:textId="6BC1AFC5" w:rsidR="00AE4C10" w:rsidRDefault="00AE4C10" w:rsidP="0024415F"/>
    <w:p w14:paraId="00810464" w14:textId="7FEB3054" w:rsidR="0024415F" w:rsidRDefault="0024415F" w:rsidP="0024415F"/>
    <w:p w14:paraId="7CA9F867" w14:textId="7EFE49D2" w:rsidR="0024415F" w:rsidRDefault="0024415F" w:rsidP="0024415F">
      <w:pPr>
        <w:rPr>
          <w:b/>
          <w:bCs/>
        </w:rPr>
      </w:pPr>
      <w:r>
        <w:rPr>
          <w:b/>
          <w:bCs/>
        </w:rPr>
        <w:t>Overview with regressions</w:t>
      </w:r>
    </w:p>
    <w:p w14:paraId="7C62E729" w14:textId="794B030E" w:rsidR="00CB027B" w:rsidRDefault="00CB027B" w:rsidP="0024415F">
      <w:pPr>
        <w:rPr>
          <w:b/>
          <w:bCs/>
        </w:rPr>
      </w:pPr>
    </w:p>
    <w:tbl>
      <w:tblPr>
        <w:tblStyle w:val="Academic"/>
        <w:tblW w:w="5000" w:type="pct"/>
        <w:tblLook w:val="04A0" w:firstRow="1" w:lastRow="0" w:firstColumn="1" w:lastColumn="0" w:noHBand="0" w:noVBand="1"/>
      </w:tblPr>
      <w:tblGrid>
        <w:gridCol w:w="2038"/>
        <w:gridCol w:w="820"/>
        <w:gridCol w:w="784"/>
        <w:gridCol w:w="802"/>
        <w:gridCol w:w="804"/>
        <w:gridCol w:w="803"/>
        <w:gridCol w:w="803"/>
        <w:gridCol w:w="1086"/>
        <w:gridCol w:w="1086"/>
      </w:tblGrid>
      <w:tr w:rsidR="00CB027B" w:rsidRPr="00CB027B" w14:paraId="7CA36004" w14:textId="77777777" w:rsidTr="00CB027B">
        <w:trPr>
          <w:cnfStyle w:val="100000000000" w:firstRow="1" w:lastRow="0" w:firstColumn="0" w:lastColumn="0" w:oddVBand="0" w:evenVBand="0" w:oddHBand="0" w:evenHBand="0" w:firstRowFirstColumn="0" w:firstRowLastColumn="0" w:lastRowFirstColumn="0" w:lastRowLastColumn="0"/>
          <w:trHeight w:val="300"/>
        </w:trPr>
        <w:tc>
          <w:tcPr>
            <w:tcW w:w="555" w:type="pct"/>
            <w:hideMark/>
          </w:tcPr>
          <w:p w14:paraId="15FD6CB1"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63F7B2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simple</w:t>
            </w:r>
          </w:p>
        </w:tc>
        <w:tc>
          <w:tcPr>
            <w:tcW w:w="555" w:type="pct"/>
            <w:hideMark/>
          </w:tcPr>
          <w:p w14:paraId="3C651BA7"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w:t>
            </w:r>
          </w:p>
        </w:tc>
        <w:tc>
          <w:tcPr>
            <w:tcW w:w="555" w:type="pct"/>
            <w:hideMark/>
          </w:tcPr>
          <w:p w14:paraId="0DE2B940" w14:textId="52CFE2B3" w:rsidR="00CB027B" w:rsidRPr="00CB027B" w:rsidRDefault="00CB027B" w:rsidP="00CB027B">
            <w:pPr>
              <w:jc w:val="center"/>
              <w:rPr>
                <w:rFonts w:ascii="Calibri" w:hAnsi="Calibri" w:cs="Calibri"/>
                <w:color w:val="000000"/>
                <w:sz w:val="22"/>
                <w:szCs w:val="22"/>
                <w:lang w:eastAsia="en-GB"/>
              </w:rPr>
            </w:pPr>
          </w:p>
        </w:tc>
        <w:tc>
          <w:tcPr>
            <w:tcW w:w="556" w:type="pct"/>
            <w:hideMark/>
          </w:tcPr>
          <w:p w14:paraId="4DE98F16"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full</w:t>
            </w:r>
          </w:p>
        </w:tc>
        <w:tc>
          <w:tcPr>
            <w:tcW w:w="555" w:type="pct"/>
            <w:hideMark/>
          </w:tcPr>
          <w:p w14:paraId="142319B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&amp; age</w:t>
            </w:r>
          </w:p>
        </w:tc>
        <w:tc>
          <w:tcPr>
            <w:tcW w:w="555" w:type="pct"/>
            <w:hideMark/>
          </w:tcPr>
          <w:p w14:paraId="219EF380"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&amp; age full</w:t>
            </w:r>
          </w:p>
        </w:tc>
        <w:tc>
          <w:tcPr>
            <w:tcW w:w="555" w:type="pct"/>
            <w:hideMark/>
          </w:tcPr>
          <w:p w14:paraId="69F043C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sex &amp; </w:t>
            </w:r>
            <w:proofErr w:type="spellStart"/>
            <w:r w:rsidRPr="00CB027B">
              <w:rPr>
                <w:rFonts w:ascii="Calibri" w:hAnsi="Calibri" w:cs="Calibri"/>
                <w:color w:val="000000"/>
                <w:sz w:val="22"/>
                <w:szCs w:val="22"/>
                <w:lang w:eastAsia="en-GB"/>
              </w:rPr>
              <w:t>age_child</w:t>
            </w:r>
            <w:proofErr w:type="spellEnd"/>
          </w:p>
        </w:tc>
        <w:tc>
          <w:tcPr>
            <w:tcW w:w="556" w:type="pct"/>
            <w:hideMark/>
          </w:tcPr>
          <w:p w14:paraId="4165E232"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sex, eth, age, &amp; </w:t>
            </w:r>
            <w:proofErr w:type="spellStart"/>
            <w:r w:rsidRPr="00CB027B">
              <w:rPr>
                <w:rFonts w:ascii="Calibri" w:hAnsi="Calibri" w:cs="Calibri"/>
                <w:color w:val="000000"/>
                <w:sz w:val="22"/>
                <w:szCs w:val="22"/>
                <w:lang w:eastAsia="en-GB"/>
              </w:rPr>
              <w:t>age_child</w:t>
            </w:r>
            <w:proofErr w:type="spellEnd"/>
          </w:p>
        </w:tc>
      </w:tr>
      <w:tr w:rsidR="00CB027B" w:rsidRPr="00CB027B" w14:paraId="79125A5D" w14:textId="77777777" w:rsidTr="00CB027B">
        <w:trPr>
          <w:trHeight w:val="300"/>
        </w:trPr>
        <w:tc>
          <w:tcPr>
            <w:tcW w:w="555" w:type="pct"/>
            <w:hideMark/>
          </w:tcPr>
          <w:p w14:paraId="22A7811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(Intercept)</w:t>
            </w:r>
          </w:p>
        </w:tc>
        <w:tc>
          <w:tcPr>
            <w:tcW w:w="555" w:type="pct"/>
            <w:hideMark/>
          </w:tcPr>
          <w:p w14:paraId="0F0F87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0.71 ***</w:t>
            </w:r>
          </w:p>
        </w:tc>
        <w:tc>
          <w:tcPr>
            <w:tcW w:w="555" w:type="pct"/>
            <w:hideMark/>
          </w:tcPr>
          <w:p w14:paraId="61BCCC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0.75 ***</w:t>
            </w:r>
          </w:p>
        </w:tc>
        <w:tc>
          <w:tcPr>
            <w:tcW w:w="555" w:type="pct"/>
            <w:hideMark/>
          </w:tcPr>
          <w:p w14:paraId="2305B3B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0.68 ***</w:t>
            </w:r>
          </w:p>
        </w:tc>
        <w:tc>
          <w:tcPr>
            <w:tcW w:w="556" w:type="pct"/>
            <w:hideMark/>
          </w:tcPr>
          <w:p w14:paraId="2CCD22C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0.72 ***</w:t>
            </w:r>
          </w:p>
        </w:tc>
        <w:tc>
          <w:tcPr>
            <w:tcW w:w="555" w:type="pct"/>
            <w:hideMark/>
          </w:tcPr>
          <w:p w14:paraId="54BC840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0.86 ***</w:t>
            </w:r>
          </w:p>
        </w:tc>
        <w:tc>
          <w:tcPr>
            <w:tcW w:w="555" w:type="pct"/>
            <w:hideMark/>
          </w:tcPr>
          <w:p w14:paraId="5F213EC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0.85 ***</w:t>
            </w:r>
          </w:p>
        </w:tc>
        <w:tc>
          <w:tcPr>
            <w:tcW w:w="555" w:type="pct"/>
            <w:hideMark/>
          </w:tcPr>
          <w:p w14:paraId="19715F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0.66 ***</w:t>
            </w:r>
          </w:p>
        </w:tc>
        <w:tc>
          <w:tcPr>
            <w:tcW w:w="556" w:type="pct"/>
            <w:hideMark/>
          </w:tcPr>
          <w:p w14:paraId="2D783EE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0.71 ***</w:t>
            </w:r>
          </w:p>
        </w:tc>
      </w:tr>
      <w:tr w:rsidR="00CB027B" w:rsidRPr="00CB027B" w14:paraId="2F1D4F8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021AD4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70245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6D25BAB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5B7A2FF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98E02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800BDB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2F7AB0F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10E45A1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235FD93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10BD4877" w14:textId="77777777" w:rsidTr="00CB027B">
        <w:trPr>
          <w:trHeight w:val="300"/>
        </w:trPr>
        <w:tc>
          <w:tcPr>
            <w:tcW w:w="555" w:type="pct"/>
            <w:hideMark/>
          </w:tcPr>
          <w:p w14:paraId="127FBBA4"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parent</w:t>
            </w:r>
          </w:p>
        </w:tc>
        <w:tc>
          <w:tcPr>
            <w:tcW w:w="555" w:type="pct"/>
            <w:hideMark/>
          </w:tcPr>
          <w:p w14:paraId="494E49C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5" w:type="pct"/>
            <w:hideMark/>
          </w:tcPr>
          <w:p w14:paraId="5B7086B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0.13 ***</w:t>
            </w:r>
          </w:p>
        </w:tc>
        <w:tc>
          <w:tcPr>
            <w:tcW w:w="555" w:type="pct"/>
            <w:hideMark/>
          </w:tcPr>
          <w:p w14:paraId="06EE1D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0.42 ***</w:t>
            </w:r>
          </w:p>
        </w:tc>
        <w:tc>
          <w:tcPr>
            <w:tcW w:w="556" w:type="pct"/>
            <w:hideMark/>
          </w:tcPr>
          <w:p w14:paraId="77DF9F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0.21 ***</w:t>
            </w:r>
          </w:p>
        </w:tc>
        <w:tc>
          <w:tcPr>
            <w:tcW w:w="555" w:type="pct"/>
            <w:hideMark/>
          </w:tcPr>
          <w:p w14:paraId="58EB542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5" w:type="pct"/>
            <w:hideMark/>
          </w:tcPr>
          <w:p w14:paraId="570904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 ***</w:t>
            </w:r>
          </w:p>
        </w:tc>
        <w:tc>
          <w:tcPr>
            <w:tcW w:w="555" w:type="pct"/>
            <w:hideMark/>
          </w:tcPr>
          <w:p w14:paraId="0FFED7F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0.23 ***</w:t>
            </w:r>
          </w:p>
        </w:tc>
        <w:tc>
          <w:tcPr>
            <w:tcW w:w="556" w:type="pct"/>
            <w:hideMark/>
          </w:tcPr>
          <w:p w14:paraId="3EB069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0.14 ***</w:t>
            </w:r>
          </w:p>
        </w:tc>
      </w:tr>
      <w:tr w:rsidR="00CB027B" w:rsidRPr="00CB027B" w14:paraId="02F2E85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891C948"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BE3B70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9F098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6E08D9A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649256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D0D31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E426C7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35477FE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13035C2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08027478" w14:textId="77777777" w:rsidTr="00CB027B">
        <w:trPr>
          <w:trHeight w:val="300"/>
        </w:trPr>
        <w:tc>
          <w:tcPr>
            <w:tcW w:w="555" w:type="pct"/>
            <w:hideMark/>
          </w:tcPr>
          <w:p w14:paraId="3BC8E0FF" w14:textId="64F0BB6A"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Female</w:t>
            </w:r>
          </w:p>
        </w:tc>
        <w:tc>
          <w:tcPr>
            <w:tcW w:w="555" w:type="pct"/>
            <w:hideMark/>
          </w:tcPr>
          <w:p w14:paraId="246C6CB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94277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 ***</w:t>
            </w:r>
          </w:p>
        </w:tc>
        <w:tc>
          <w:tcPr>
            <w:tcW w:w="555" w:type="pct"/>
            <w:hideMark/>
          </w:tcPr>
          <w:p w14:paraId="44BAB8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42106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5" w:type="pct"/>
            <w:hideMark/>
          </w:tcPr>
          <w:p w14:paraId="637D15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-0.07 ***</w:t>
            </w:r>
          </w:p>
        </w:tc>
        <w:tc>
          <w:tcPr>
            <w:tcW w:w="555" w:type="pct"/>
            <w:hideMark/>
          </w:tcPr>
          <w:p w14:paraId="50BBB6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0.04 ***</w:t>
            </w:r>
          </w:p>
        </w:tc>
        <w:tc>
          <w:tcPr>
            <w:tcW w:w="555" w:type="pct"/>
            <w:hideMark/>
          </w:tcPr>
          <w:p w14:paraId="4C5C791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6" w:type="pct"/>
            <w:hideMark/>
          </w:tcPr>
          <w:p w14:paraId="129F65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 </w:t>
            </w:r>
          </w:p>
        </w:tc>
      </w:tr>
      <w:tr w:rsidR="00CB027B" w:rsidRPr="00CB027B" w14:paraId="0B53A6E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13AD4B7"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8FF68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953A99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499E4F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95960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4D854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0A32C86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93EE83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5D5E72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78C5B2F5" w14:textId="77777777" w:rsidTr="00CB027B">
        <w:trPr>
          <w:trHeight w:val="300"/>
        </w:trPr>
        <w:tc>
          <w:tcPr>
            <w:tcW w:w="555" w:type="pct"/>
            <w:hideMark/>
          </w:tcPr>
          <w:p w14:paraId="2337995B" w14:textId="22A3FC4F"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Couple with dep children</w:t>
            </w:r>
          </w:p>
        </w:tc>
        <w:tc>
          <w:tcPr>
            <w:tcW w:w="555" w:type="pct"/>
            <w:hideMark/>
          </w:tcPr>
          <w:p w14:paraId="270307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A5427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7965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-0.25 ***</w:t>
            </w:r>
          </w:p>
        </w:tc>
        <w:tc>
          <w:tcPr>
            <w:tcW w:w="556" w:type="pct"/>
            <w:hideMark/>
          </w:tcPr>
          <w:p w14:paraId="51249A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43991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F8BAC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C60D32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991C88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EAB420E"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36F66C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73C5B6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F47C4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850228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35498F7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21224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12BCE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E6A4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54337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B544BB2" w14:textId="77777777" w:rsidTr="00CB027B">
        <w:trPr>
          <w:trHeight w:val="300"/>
        </w:trPr>
        <w:tc>
          <w:tcPr>
            <w:tcW w:w="555" w:type="pct"/>
            <w:hideMark/>
          </w:tcPr>
          <w:p w14:paraId="6B11FF94" w14:textId="08131C2C"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Couple with no children</w:t>
            </w:r>
          </w:p>
        </w:tc>
        <w:tc>
          <w:tcPr>
            <w:tcW w:w="555" w:type="pct"/>
            <w:hideMark/>
          </w:tcPr>
          <w:p w14:paraId="2C86D19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228AC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33E6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6" w:type="pct"/>
            <w:hideMark/>
          </w:tcPr>
          <w:p w14:paraId="6D21FB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CBBC5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20479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0AB349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30E01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F551D22"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BE8E76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100FD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DFCB2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25CE4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50BD070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EC282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15AA9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3D418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A07FB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98D1701" w14:textId="77777777" w:rsidTr="00CB027B">
        <w:trPr>
          <w:trHeight w:val="300"/>
        </w:trPr>
        <w:tc>
          <w:tcPr>
            <w:tcW w:w="555" w:type="pct"/>
            <w:hideMark/>
          </w:tcPr>
          <w:p w14:paraId="1F4B537B" w14:textId="602C83AC"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Lone parent or couple with non-dependent children only</w:t>
            </w:r>
          </w:p>
        </w:tc>
        <w:tc>
          <w:tcPr>
            <w:tcW w:w="555" w:type="pct"/>
            <w:hideMark/>
          </w:tcPr>
          <w:p w14:paraId="27CE5D0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D339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C49E01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0.05 ***</w:t>
            </w:r>
          </w:p>
        </w:tc>
        <w:tc>
          <w:tcPr>
            <w:tcW w:w="556" w:type="pct"/>
            <w:hideMark/>
          </w:tcPr>
          <w:p w14:paraId="6926B72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D4C79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CBEE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F77D0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276259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CC8E26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4B85296"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4E451A6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13FB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59B9C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2DC7F0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A6A85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39FDE9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2A06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248C5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F485597" w14:textId="77777777" w:rsidTr="00CB027B">
        <w:trPr>
          <w:trHeight w:val="300"/>
        </w:trPr>
        <w:tc>
          <w:tcPr>
            <w:tcW w:w="555" w:type="pct"/>
            <w:hideMark/>
          </w:tcPr>
          <w:p w14:paraId="21A21376" w14:textId="26C4467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Lone parent with dep children</w:t>
            </w:r>
          </w:p>
        </w:tc>
        <w:tc>
          <w:tcPr>
            <w:tcW w:w="555" w:type="pct"/>
            <w:hideMark/>
          </w:tcPr>
          <w:p w14:paraId="61D156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6EBB0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AD113F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-0.41 ***</w:t>
            </w:r>
          </w:p>
        </w:tc>
        <w:tc>
          <w:tcPr>
            <w:tcW w:w="556" w:type="pct"/>
            <w:hideMark/>
          </w:tcPr>
          <w:p w14:paraId="11F6ED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05F9B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54AF5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AD4CB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E64E2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EDCEDE2"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5085F5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D3F67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45F3A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44B700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6" w:type="pct"/>
            <w:hideMark/>
          </w:tcPr>
          <w:p w14:paraId="2D1502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FE5F3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E97643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0EBBA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E549B7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FCF7CE5" w14:textId="77777777" w:rsidTr="00CB027B">
        <w:trPr>
          <w:trHeight w:val="300"/>
        </w:trPr>
        <w:tc>
          <w:tcPr>
            <w:tcW w:w="555" w:type="pct"/>
            <w:hideMark/>
          </w:tcPr>
          <w:p w14:paraId="5C9EE625" w14:textId="0252B0A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spellEnd"/>
            <w:proofErr w:type="gramEnd"/>
          </w:p>
        </w:tc>
        <w:tc>
          <w:tcPr>
            <w:tcW w:w="555" w:type="pct"/>
            <w:hideMark/>
          </w:tcPr>
          <w:p w14:paraId="56EFFA9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6E96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08341B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67BEFE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c>
          <w:tcPr>
            <w:tcW w:w="555" w:type="pct"/>
            <w:hideMark/>
          </w:tcPr>
          <w:p w14:paraId="7BAE56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A3EAB7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-0.29 ***</w:t>
            </w:r>
          </w:p>
        </w:tc>
        <w:tc>
          <w:tcPr>
            <w:tcW w:w="555" w:type="pct"/>
            <w:hideMark/>
          </w:tcPr>
          <w:p w14:paraId="0145D9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c>
          <w:tcPr>
            <w:tcW w:w="556" w:type="pct"/>
            <w:hideMark/>
          </w:tcPr>
          <w:p w14:paraId="6FB28CC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-0.17 ***</w:t>
            </w:r>
          </w:p>
        </w:tc>
      </w:tr>
      <w:tr w:rsidR="00CB027B" w:rsidRPr="00CB027B" w14:paraId="456F777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5F73109"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72109E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98692E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ABE7E8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90926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7F1EDE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59DB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84D1F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01B6308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626CC5E" w14:textId="77777777" w:rsidTr="00CB027B">
        <w:trPr>
          <w:trHeight w:val="300"/>
        </w:trPr>
        <w:tc>
          <w:tcPr>
            <w:tcW w:w="555" w:type="pct"/>
            <w:hideMark/>
          </w:tcPr>
          <w:p w14:paraId="6045F4D4" w14:textId="0C38D1F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16-17</w:t>
            </w:r>
          </w:p>
        </w:tc>
        <w:tc>
          <w:tcPr>
            <w:tcW w:w="555" w:type="pct"/>
            <w:hideMark/>
          </w:tcPr>
          <w:p w14:paraId="76CE64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6F2432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0772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3CC2CC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ADF273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-0.60 ***</w:t>
            </w:r>
          </w:p>
        </w:tc>
        <w:tc>
          <w:tcPr>
            <w:tcW w:w="555" w:type="pct"/>
            <w:hideMark/>
          </w:tcPr>
          <w:p w14:paraId="5DF016C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-0.65 ***</w:t>
            </w:r>
          </w:p>
        </w:tc>
        <w:tc>
          <w:tcPr>
            <w:tcW w:w="555" w:type="pct"/>
            <w:hideMark/>
          </w:tcPr>
          <w:p w14:paraId="5EA6101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3C3B5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-0.62 ***</w:t>
            </w:r>
          </w:p>
        </w:tc>
      </w:tr>
      <w:tr w:rsidR="00CB027B" w:rsidRPr="00CB027B" w14:paraId="5483A68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97AFD61"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E5733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6B16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15808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937D6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24E37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8376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604A84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5BCBB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CAC299A" w14:textId="77777777" w:rsidTr="00CB027B">
        <w:trPr>
          <w:trHeight w:val="300"/>
        </w:trPr>
        <w:tc>
          <w:tcPr>
            <w:tcW w:w="555" w:type="pct"/>
            <w:hideMark/>
          </w:tcPr>
          <w:p w14:paraId="59979068" w14:textId="7ADB712D"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18-24</w:t>
            </w:r>
          </w:p>
        </w:tc>
        <w:tc>
          <w:tcPr>
            <w:tcW w:w="555" w:type="pct"/>
            <w:hideMark/>
          </w:tcPr>
          <w:p w14:paraId="268BD50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D7923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51B0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7EACB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9554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-0.22 ***</w:t>
            </w:r>
          </w:p>
        </w:tc>
        <w:tc>
          <w:tcPr>
            <w:tcW w:w="555" w:type="pct"/>
            <w:hideMark/>
          </w:tcPr>
          <w:p w14:paraId="2CC5DE7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-0.26 ***</w:t>
            </w:r>
          </w:p>
        </w:tc>
        <w:tc>
          <w:tcPr>
            <w:tcW w:w="555" w:type="pct"/>
            <w:hideMark/>
          </w:tcPr>
          <w:p w14:paraId="3DF39AF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58C267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-0.23 ***</w:t>
            </w:r>
          </w:p>
        </w:tc>
      </w:tr>
      <w:tr w:rsidR="00CB027B" w:rsidRPr="00CB027B" w14:paraId="69DD8AA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3C4BD47"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D9E3F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02BB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CF77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C21D0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857B2F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778988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8811A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BD949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5D052F6D" w14:textId="77777777" w:rsidTr="00CB027B">
        <w:trPr>
          <w:trHeight w:val="300"/>
        </w:trPr>
        <w:tc>
          <w:tcPr>
            <w:tcW w:w="555" w:type="pct"/>
            <w:hideMark/>
          </w:tcPr>
          <w:p w14:paraId="731C07CB" w14:textId="4F91CEFF"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35-49</w:t>
            </w:r>
          </w:p>
        </w:tc>
        <w:tc>
          <w:tcPr>
            <w:tcW w:w="555" w:type="pct"/>
            <w:hideMark/>
          </w:tcPr>
          <w:p w14:paraId="1563F7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1F78C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D6991A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606B82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AD4426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2C0462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3F3557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6580A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r>
      <w:tr w:rsidR="00CB027B" w:rsidRPr="00CB027B" w14:paraId="7B88F50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AF9619C"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lastRenderedPageBreak/>
              <w:t> </w:t>
            </w:r>
          </w:p>
        </w:tc>
        <w:tc>
          <w:tcPr>
            <w:tcW w:w="555" w:type="pct"/>
            <w:hideMark/>
          </w:tcPr>
          <w:p w14:paraId="3C225E8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D9279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7455C2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EC95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1356F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2A0DC5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6D5C30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4C458A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7A99B0E" w14:textId="77777777" w:rsidTr="00CB027B">
        <w:trPr>
          <w:trHeight w:val="300"/>
        </w:trPr>
        <w:tc>
          <w:tcPr>
            <w:tcW w:w="555" w:type="pct"/>
            <w:hideMark/>
          </w:tcPr>
          <w:p w14:paraId="502CCD88" w14:textId="27BEEC0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50-64</w:t>
            </w:r>
          </w:p>
        </w:tc>
        <w:tc>
          <w:tcPr>
            <w:tcW w:w="555" w:type="pct"/>
            <w:hideMark/>
          </w:tcPr>
          <w:p w14:paraId="61D5B9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F289E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4D0E5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B2C05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E7A6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5" w:type="pct"/>
            <w:hideMark/>
          </w:tcPr>
          <w:p w14:paraId="7BF4D1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-0.14 ***</w:t>
            </w:r>
          </w:p>
        </w:tc>
        <w:tc>
          <w:tcPr>
            <w:tcW w:w="555" w:type="pct"/>
            <w:hideMark/>
          </w:tcPr>
          <w:p w14:paraId="7A0FDC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D82A2B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r>
      <w:tr w:rsidR="00CB027B" w:rsidRPr="00CB027B" w14:paraId="4BEAE287"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0AE27A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433002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39A19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9CAB60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0B731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EF94D4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D15922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1F95A0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481F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0FCABF7" w14:textId="77777777" w:rsidTr="00CB027B">
        <w:trPr>
          <w:trHeight w:val="300"/>
        </w:trPr>
        <w:tc>
          <w:tcPr>
            <w:tcW w:w="555" w:type="pct"/>
            <w:hideMark/>
          </w:tcPr>
          <w:p w14:paraId="0D0142E4" w14:textId="62715E6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16-17</w:t>
            </w:r>
          </w:p>
        </w:tc>
        <w:tc>
          <w:tcPr>
            <w:tcW w:w="555" w:type="pct"/>
            <w:hideMark/>
          </w:tcPr>
          <w:p w14:paraId="046FE3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36DA7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0B15C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F2922B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8261C4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916A58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-0.29 ***</w:t>
            </w:r>
          </w:p>
        </w:tc>
        <w:tc>
          <w:tcPr>
            <w:tcW w:w="555" w:type="pct"/>
            <w:hideMark/>
          </w:tcPr>
          <w:p w14:paraId="34DA1E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ECD9C9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1E4739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85DE02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46DCFB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3C6E0F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FB07D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0CF670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FB0F2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258D7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6561F1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981569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7389DA6" w14:textId="77777777" w:rsidTr="00CB027B">
        <w:trPr>
          <w:trHeight w:val="300"/>
        </w:trPr>
        <w:tc>
          <w:tcPr>
            <w:tcW w:w="555" w:type="pct"/>
            <w:hideMark/>
          </w:tcPr>
          <w:p w14:paraId="643253DF" w14:textId="32403093"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18-24</w:t>
            </w:r>
          </w:p>
        </w:tc>
        <w:tc>
          <w:tcPr>
            <w:tcW w:w="555" w:type="pct"/>
            <w:hideMark/>
          </w:tcPr>
          <w:p w14:paraId="79C875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A5F8A8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529A6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1F9A2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0C9CD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CEEB4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c>
          <w:tcPr>
            <w:tcW w:w="555" w:type="pct"/>
            <w:hideMark/>
          </w:tcPr>
          <w:p w14:paraId="1525453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1DDDB7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45E3439"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204BF19"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B23FB1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64BFD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2008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9F0F4D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EE17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FCEEB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(0.08)   </w:t>
            </w:r>
          </w:p>
        </w:tc>
        <w:tc>
          <w:tcPr>
            <w:tcW w:w="555" w:type="pct"/>
            <w:hideMark/>
          </w:tcPr>
          <w:p w14:paraId="0D5EF7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F5B80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388766C" w14:textId="77777777" w:rsidTr="00CB027B">
        <w:trPr>
          <w:trHeight w:val="300"/>
        </w:trPr>
        <w:tc>
          <w:tcPr>
            <w:tcW w:w="555" w:type="pct"/>
            <w:hideMark/>
          </w:tcPr>
          <w:p w14:paraId="6D065A9A" w14:textId="63943AF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35-49</w:t>
            </w:r>
          </w:p>
        </w:tc>
        <w:tc>
          <w:tcPr>
            <w:tcW w:w="555" w:type="pct"/>
            <w:hideMark/>
          </w:tcPr>
          <w:p w14:paraId="27CEB5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108E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63867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CD706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02D3B4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2479A8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0.00</w:t>
            </w:r>
          </w:p>
        </w:tc>
        <w:tc>
          <w:tcPr>
            <w:tcW w:w="555" w:type="pct"/>
            <w:hideMark/>
          </w:tcPr>
          <w:p w14:paraId="5FFF62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36C79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5C8CA7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533F0B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4A764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4D65DB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D501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9920C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8C8C8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FF7DD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22EA01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658553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9E83A9C" w14:textId="77777777" w:rsidTr="00CB027B">
        <w:trPr>
          <w:trHeight w:val="300"/>
        </w:trPr>
        <w:tc>
          <w:tcPr>
            <w:tcW w:w="555" w:type="pct"/>
            <w:hideMark/>
          </w:tcPr>
          <w:p w14:paraId="030CCBCB" w14:textId="48A7CF9B"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50-64</w:t>
            </w:r>
          </w:p>
        </w:tc>
        <w:tc>
          <w:tcPr>
            <w:tcW w:w="555" w:type="pct"/>
            <w:hideMark/>
          </w:tcPr>
          <w:p w14:paraId="1CF2EE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C5058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77271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C6F703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A3141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EBC022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0.11 ***</w:t>
            </w:r>
          </w:p>
        </w:tc>
        <w:tc>
          <w:tcPr>
            <w:tcW w:w="555" w:type="pct"/>
            <w:hideMark/>
          </w:tcPr>
          <w:p w14:paraId="5DABB48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F39DD3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33F05D7"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D1D2BE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32AA7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669684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D2C9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59A852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3F24DF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1A66DD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48D10B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6B6F0C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E328014" w14:textId="77777777" w:rsidTr="00CB027B">
        <w:trPr>
          <w:trHeight w:val="300"/>
        </w:trPr>
        <w:tc>
          <w:tcPr>
            <w:tcW w:w="555" w:type="pct"/>
            <w:hideMark/>
          </w:tcPr>
          <w:p w14:paraId="23CFC7E6" w14:textId="68D44306"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16-17</w:t>
            </w:r>
          </w:p>
        </w:tc>
        <w:tc>
          <w:tcPr>
            <w:tcW w:w="555" w:type="pct"/>
            <w:hideMark/>
          </w:tcPr>
          <w:p w14:paraId="75347E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DD2B5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D5198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E401C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C8FE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70DAA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2F80C3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9DCFF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5CF403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26842A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4D0D94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B2C5AD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FA7144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7C288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CE9DF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31F7D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(0.03)   </w:t>
            </w:r>
          </w:p>
        </w:tc>
        <w:tc>
          <w:tcPr>
            <w:tcW w:w="555" w:type="pct"/>
            <w:hideMark/>
          </w:tcPr>
          <w:p w14:paraId="0A202C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F5F4B0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A0A244C" w14:textId="77777777" w:rsidTr="00CB027B">
        <w:trPr>
          <w:trHeight w:val="300"/>
        </w:trPr>
        <w:tc>
          <w:tcPr>
            <w:tcW w:w="555" w:type="pct"/>
            <w:hideMark/>
          </w:tcPr>
          <w:p w14:paraId="0AE02A12" w14:textId="321C3597"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18-24</w:t>
            </w:r>
          </w:p>
        </w:tc>
        <w:tc>
          <w:tcPr>
            <w:tcW w:w="555" w:type="pct"/>
            <w:hideMark/>
          </w:tcPr>
          <w:p w14:paraId="54BABA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A8133F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9B31B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73924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63BD5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896D2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-0.02</w:t>
            </w:r>
          </w:p>
        </w:tc>
        <w:tc>
          <w:tcPr>
            <w:tcW w:w="555" w:type="pct"/>
            <w:hideMark/>
          </w:tcPr>
          <w:p w14:paraId="732D95D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6DAFC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45EC52B"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21F1D1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EAB34D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1745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CD5AD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C5F03A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41C20D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625C0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21572FB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8CF50E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13F9C5A" w14:textId="77777777" w:rsidTr="00CB027B">
        <w:trPr>
          <w:trHeight w:val="300"/>
        </w:trPr>
        <w:tc>
          <w:tcPr>
            <w:tcW w:w="555" w:type="pct"/>
            <w:hideMark/>
          </w:tcPr>
          <w:p w14:paraId="32BEDF02" w14:textId="7F40B7B8"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35-49</w:t>
            </w:r>
          </w:p>
        </w:tc>
        <w:tc>
          <w:tcPr>
            <w:tcW w:w="555" w:type="pct"/>
            <w:hideMark/>
          </w:tcPr>
          <w:p w14:paraId="5F7E28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5D6D3C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D8860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3F65F9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BD991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DA5F50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-0.06 ***</w:t>
            </w:r>
          </w:p>
        </w:tc>
        <w:tc>
          <w:tcPr>
            <w:tcW w:w="555" w:type="pct"/>
            <w:hideMark/>
          </w:tcPr>
          <w:p w14:paraId="02B5A48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D765F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73CBDE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05DF2A6"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F32AED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66AFE9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B6E54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087255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BAF81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0E76E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00F381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8B873B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742338A" w14:textId="77777777" w:rsidTr="00CB027B">
        <w:trPr>
          <w:trHeight w:val="300"/>
        </w:trPr>
        <w:tc>
          <w:tcPr>
            <w:tcW w:w="555" w:type="pct"/>
            <w:hideMark/>
          </w:tcPr>
          <w:p w14:paraId="704F0F24" w14:textId="70D51430"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50-64</w:t>
            </w:r>
          </w:p>
        </w:tc>
        <w:tc>
          <w:tcPr>
            <w:tcW w:w="555" w:type="pct"/>
            <w:hideMark/>
          </w:tcPr>
          <w:p w14:paraId="2404B8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432CA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84AB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BA889B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B8D2B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78225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-0.10 ***</w:t>
            </w:r>
          </w:p>
        </w:tc>
        <w:tc>
          <w:tcPr>
            <w:tcW w:w="555" w:type="pct"/>
            <w:hideMark/>
          </w:tcPr>
          <w:p w14:paraId="37C9A95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E712FC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59951C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71C01DF4"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724A1E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077DDA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17F76D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1FEAC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229FD1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FDFEC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C7CCBA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A9D0A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FB78481" w14:textId="77777777" w:rsidTr="00CB027B">
        <w:trPr>
          <w:trHeight w:val="300"/>
        </w:trPr>
        <w:tc>
          <w:tcPr>
            <w:tcW w:w="555" w:type="pct"/>
            <w:hideMark/>
          </w:tcPr>
          <w:p w14:paraId="45E2F9F6" w14:textId="39746981"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16-17</w:t>
            </w:r>
          </w:p>
        </w:tc>
        <w:tc>
          <w:tcPr>
            <w:tcW w:w="555" w:type="pct"/>
            <w:hideMark/>
          </w:tcPr>
          <w:p w14:paraId="2F9C34D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6A350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242F4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DBA87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7FE78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85DDC5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0.24 ***</w:t>
            </w:r>
          </w:p>
        </w:tc>
        <w:tc>
          <w:tcPr>
            <w:tcW w:w="555" w:type="pct"/>
            <w:hideMark/>
          </w:tcPr>
          <w:p w14:paraId="33D9BB2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2EED6E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66EBE3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E633D3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030B7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7F41D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B1C70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D23E04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5FCA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9EC425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(0.03)   </w:t>
            </w:r>
          </w:p>
        </w:tc>
        <w:tc>
          <w:tcPr>
            <w:tcW w:w="555" w:type="pct"/>
            <w:hideMark/>
          </w:tcPr>
          <w:p w14:paraId="57BB1A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0018C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294BD8C" w14:textId="77777777" w:rsidTr="00CB027B">
        <w:trPr>
          <w:trHeight w:val="300"/>
        </w:trPr>
        <w:tc>
          <w:tcPr>
            <w:tcW w:w="555" w:type="pct"/>
            <w:hideMark/>
          </w:tcPr>
          <w:p w14:paraId="3184B9BF" w14:textId="42003B47"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18-24</w:t>
            </w:r>
          </w:p>
        </w:tc>
        <w:tc>
          <w:tcPr>
            <w:tcW w:w="555" w:type="pct"/>
            <w:hideMark/>
          </w:tcPr>
          <w:p w14:paraId="4BD6A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4A4C73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7BD6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9E6DC0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93A8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BC932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64671A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274B6C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FF3E9C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0F3861C1"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10ADDF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8F11C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4D3AC7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78C31B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5B87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A75B35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(0.08)   </w:t>
            </w:r>
          </w:p>
        </w:tc>
        <w:tc>
          <w:tcPr>
            <w:tcW w:w="555" w:type="pct"/>
            <w:hideMark/>
          </w:tcPr>
          <w:p w14:paraId="206DF1B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4DEBC8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AB19B46" w14:textId="77777777" w:rsidTr="00CB027B">
        <w:trPr>
          <w:trHeight w:val="300"/>
        </w:trPr>
        <w:tc>
          <w:tcPr>
            <w:tcW w:w="555" w:type="pct"/>
            <w:hideMark/>
          </w:tcPr>
          <w:p w14:paraId="2B5C437F" w14:textId="1DEEDC3A"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35-49</w:t>
            </w:r>
          </w:p>
        </w:tc>
        <w:tc>
          <w:tcPr>
            <w:tcW w:w="555" w:type="pct"/>
            <w:hideMark/>
          </w:tcPr>
          <w:p w14:paraId="0D962E9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585127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225C5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A3E1C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BD0789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AED8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0.16 ***</w:t>
            </w:r>
          </w:p>
        </w:tc>
        <w:tc>
          <w:tcPr>
            <w:tcW w:w="555" w:type="pct"/>
            <w:hideMark/>
          </w:tcPr>
          <w:p w14:paraId="79ADCD1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BA16BC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5CF47F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A9E935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086377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0A63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A01FA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6EAF7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2C6F8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6C06D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4F4536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D49730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C539780" w14:textId="77777777" w:rsidTr="00CB027B">
        <w:trPr>
          <w:trHeight w:val="300"/>
        </w:trPr>
        <w:tc>
          <w:tcPr>
            <w:tcW w:w="555" w:type="pct"/>
            <w:hideMark/>
          </w:tcPr>
          <w:p w14:paraId="2C086F7A" w14:textId="6F8350D8"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50-64</w:t>
            </w:r>
          </w:p>
        </w:tc>
        <w:tc>
          <w:tcPr>
            <w:tcW w:w="555" w:type="pct"/>
            <w:hideMark/>
          </w:tcPr>
          <w:p w14:paraId="5AA95D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6E60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B804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303EC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8A4EC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1E6B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0.21 ***</w:t>
            </w:r>
          </w:p>
        </w:tc>
        <w:tc>
          <w:tcPr>
            <w:tcW w:w="555" w:type="pct"/>
            <w:hideMark/>
          </w:tcPr>
          <w:p w14:paraId="5C1718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D05A3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687873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0DE7E298"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3EC939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5E624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0A82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334802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026733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1F3DF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F998B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091DA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A1F26A4" w14:textId="77777777" w:rsidTr="00CB027B">
        <w:trPr>
          <w:trHeight w:val="300"/>
        </w:trPr>
        <w:tc>
          <w:tcPr>
            <w:tcW w:w="555" w:type="pct"/>
            <w:hideMark/>
          </w:tcPr>
          <w:p w14:paraId="485B24C5"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age_child3-4 </w:t>
            </w:r>
            <w:proofErr w:type="spellStart"/>
            <w:r w:rsidRPr="00CB027B">
              <w:rPr>
                <w:rFonts w:ascii="Calibri" w:hAnsi="Calibri" w:cs="Calibri"/>
                <w:color w:val="000000"/>
                <w:sz w:val="22"/>
                <w:szCs w:val="22"/>
                <w:lang w:eastAsia="en-GB"/>
              </w:rPr>
              <w:t>yrs</w:t>
            </w:r>
            <w:proofErr w:type="spellEnd"/>
          </w:p>
        </w:tc>
        <w:tc>
          <w:tcPr>
            <w:tcW w:w="555" w:type="pct"/>
            <w:hideMark/>
          </w:tcPr>
          <w:p w14:paraId="6B9E6C3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AA3AD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8A13C2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8E68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E5B6E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4BCB5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6954D4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6" w:type="pct"/>
            <w:hideMark/>
          </w:tcPr>
          <w:p w14:paraId="48C1B3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0.00</w:t>
            </w:r>
          </w:p>
        </w:tc>
      </w:tr>
      <w:tr w:rsidR="00CB027B" w:rsidRPr="00CB027B" w14:paraId="097BDF64"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81A423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26BDDC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27D6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66D7F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1B36CA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5B538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A113D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3826A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D2B843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32524020" w14:textId="77777777" w:rsidTr="00CB027B">
        <w:trPr>
          <w:trHeight w:val="300"/>
        </w:trPr>
        <w:tc>
          <w:tcPr>
            <w:tcW w:w="555" w:type="pct"/>
            <w:hideMark/>
          </w:tcPr>
          <w:p w14:paraId="7035B5CC" w14:textId="77777777" w:rsidR="00CB027B" w:rsidRPr="00CB027B" w:rsidRDefault="00CB027B" w:rsidP="00CB027B">
            <w:pPr>
              <w:rPr>
                <w:rFonts w:ascii="Calibri" w:hAnsi="Calibri" w:cs="Calibri"/>
                <w:color w:val="000000"/>
                <w:sz w:val="22"/>
                <w:szCs w:val="22"/>
                <w:lang w:eastAsia="en-GB"/>
              </w:rPr>
            </w:pPr>
            <w:proofErr w:type="spellStart"/>
            <w:r w:rsidRPr="00CB027B">
              <w:rPr>
                <w:rFonts w:ascii="Calibri" w:hAnsi="Calibri" w:cs="Calibri"/>
                <w:color w:val="000000"/>
                <w:sz w:val="22"/>
                <w:szCs w:val="22"/>
                <w:lang w:eastAsia="en-GB"/>
              </w:rPr>
              <w:t>age_childMore</w:t>
            </w:r>
            <w:proofErr w:type="spellEnd"/>
            <w:r w:rsidRPr="00CB027B">
              <w:rPr>
                <w:rFonts w:ascii="Calibri" w:hAnsi="Calibri" w:cs="Calibri"/>
                <w:color w:val="000000"/>
                <w:sz w:val="22"/>
                <w:szCs w:val="22"/>
                <w:lang w:eastAsia="en-GB"/>
              </w:rPr>
              <w:t xml:space="preserve"> then 4 </w:t>
            </w:r>
            <w:proofErr w:type="spellStart"/>
            <w:r w:rsidRPr="00CB027B">
              <w:rPr>
                <w:rFonts w:ascii="Calibri" w:hAnsi="Calibri" w:cs="Calibri"/>
                <w:color w:val="000000"/>
                <w:sz w:val="22"/>
                <w:szCs w:val="22"/>
                <w:lang w:eastAsia="en-GB"/>
              </w:rPr>
              <w:t>yrs</w:t>
            </w:r>
            <w:proofErr w:type="spellEnd"/>
          </w:p>
        </w:tc>
        <w:tc>
          <w:tcPr>
            <w:tcW w:w="555" w:type="pct"/>
            <w:hideMark/>
          </w:tcPr>
          <w:p w14:paraId="578C55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DB2926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6A6F17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D8AA5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F8DA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7DE93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0C4F5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0.06 ***</w:t>
            </w:r>
          </w:p>
        </w:tc>
        <w:tc>
          <w:tcPr>
            <w:tcW w:w="556" w:type="pct"/>
            <w:hideMark/>
          </w:tcPr>
          <w:p w14:paraId="2EF970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0.07 ***</w:t>
            </w:r>
          </w:p>
        </w:tc>
      </w:tr>
      <w:tr w:rsidR="00CB027B" w:rsidRPr="00CB027B" w14:paraId="06B4EFE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872DF2C"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9E862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21D37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BB5D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60DDAD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91D4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18013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87FB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0CD15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7C20CCF1" w14:textId="77777777" w:rsidTr="00CB027B">
        <w:trPr>
          <w:trHeight w:val="300"/>
        </w:trPr>
        <w:tc>
          <w:tcPr>
            <w:tcW w:w="555" w:type="pct"/>
            <w:hideMark/>
          </w:tcPr>
          <w:p w14:paraId="66650913" w14:textId="4538CF9D"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White</w:t>
            </w:r>
          </w:p>
        </w:tc>
        <w:tc>
          <w:tcPr>
            <w:tcW w:w="555" w:type="pct"/>
            <w:hideMark/>
          </w:tcPr>
          <w:p w14:paraId="4D19FD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251B7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F9C04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F6242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9778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087D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C3E6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75B7E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0.09 ***</w:t>
            </w:r>
          </w:p>
        </w:tc>
      </w:tr>
      <w:tr w:rsidR="00CB027B" w:rsidRPr="00CB027B" w14:paraId="725615F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163360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61BB9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0A193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ADE4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7155C0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77EEB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90E37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16B73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230B9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4ECF1918" w14:textId="77777777" w:rsidTr="00CB027B">
        <w:trPr>
          <w:trHeight w:val="300"/>
        </w:trPr>
        <w:tc>
          <w:tcPr>
            <w:tcW w:w="555" w:type="pct"/>
            <w:hideMark/>
          </w:tcPr>
          <w:p w14:paraId="6B94A3AA"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N</w:t>
            </w:r>
          </w:p>
        </w:tc>
        <w:tc>
          <w:tcPr>
            <w:tcW w:w="555" w:type="pct"/>
            <w:hideMark/>
          </w:tcPr>
          <w:p w14:paraId="4057A29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7D04B7F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391190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6" w:type="pct"/>
            <w:hideMark/>
          </w:tcPr>
          <w:p w14:paraId="71F023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48F4AA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82EEE0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B6DB5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6" w:type="pct"/>
            <w:hideMark/>
          </w:tcPr>
          <w:p w14:paraId="2ADF2D0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45146</w:t>
            </w:r>
          </w:p>
        </w:tc>
      </w:tr>
      <w:tr w:rsidR="00CB027B" w:rsidRPr="00CB027B" w14:paraId="763FD71B"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7A02865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R2</w:t>
            </w:r>
          </w:p>
        </w:tc>
        <w:tc>
          <w:tcPr>
            <w:tcW w:w="555" w:type="pct"/>
            <w:hideMark/>
          </w:tcPr>
          <w:p w14:paraId="4DE94C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0.02</w:t>
            </w:r>
          </w:p>
        </w:tc>
        <w:tc>
          <w:tcPr>
            <w:tcW w:w="555" w:type="pct"/>
            <w:hideMark/>
          </w:tcPr>
          <w:p w14:paraId="0A2FF1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6C3F55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w:t>
            </w:r>
          </w:p>
        </w:tc>
        <w:tc>
          <w:tcPr>
            <w:tcW w:w="556" w:type="pct"/>
            <w:hideMark/>
          </w:tcPr>
          <w:p w14:paraId="54CEE15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1FA6EA5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0.10</w:t>
            </w:r>
          </w:p>
        </w:tc>
        <w:tc>
          <w:tcPr>
            <w:tcW w:w="555" w:type="pct"/>
            <w:hideMark/>
          </w:tcPr>
          <w:p w14:paraId="617A015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c>
          <w:tcPr>
            <w:tcW w:w="555" w:type="pct"/>
            <w:hideMark/>
          </w:tcPr>
          <w:p w14:paraId="20928E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6" w:type="pct"/>
            <w:hideMark/>
          </w:tcPr>
          <w:p w14:paraId="3161211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r>
      <w:tr w:rsidR="00CB027B" w:rsidRPr="00CB027B" w14:paraId="59D05C0C" w14:textId="77777777" w:rsidTr="00CB027B">
        <w:trPr>
          <w:trHeight w:val="300"/>
        </w:trPr>
        <w:tc>
          <w:tcPr>
            <w:tcW w:w="5000" w:type="pct"/>
            <w:gridSpan w:val="9"/>
            <w:hideMark/>
          </w:tcPr>
          <w:p w14:paraId="0A2C1FE5"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 p &lt; 0.001</w:t>
            </w:r>
            <w:proofErr w:type="gramStart"/>
            <w:r w:rsidRPr="00CB027B">
              <w:rPr>
                <w:rFonts w:ascii="Calibri" w:hAnsi="Calibri" w:cs="Calibri"/>
                <w:color w:val="000000"/>
                <w:sz w:val="22"/>
                <w:szCs w:val="22"/>
                <w:lang w:eastAsia="en-GB"/>
              </w:rPr>
              <w:t>;  *</w:t>
            </w:r>
            <w:proofErr w:type="gramEnd"/>
            <w:r w:rsidRPr="00CB027B">
              <w:rPr>
                <w:rFonts w:ascii="Calibri" w:hAnsi="Calibri" w:cs="Calibri"/>
                <w:color w:val="000000"/>
                <w:sz w:val="22"/>
                <w:szCs w:val="22"/>
                <w:lang w:eastAsia="en-GB"/>
              </w:rPr>
              <w:t>* p &lt; 0.01;  * p &lt; 0.05.</w:t>
            </w:r>
          </w:p>
        </w:tc>
      </w:tr>
    </w:tbl>
    <w:p w14:paraId="4DC13755" w14:textId="77777777" w:rsidR="00CB027B" w:rsidRDefault="00CB027B" w:rsidP="0024415F">
      <w:pPr>
        <w:rPr>
          <w:b/>
          <w:bCs/>
        </w:rPr>
      </w:pPr>
    </w:p>
    <w:p w14:paraId="5024FD34" w14:textId="3612A0EA" w:rsidR="0024415F" w:rsidRDefault="0024415F" w:rsidP="0024415F">
      <w:pPr>
        <w:rPr>
          <w:b/>
          <w:bCs/>
        </w:rPr>
      </w:pPr>
    </w:p>
    <w:p w14:paraId="03B3EF81" w14:textId="09EF119D" w:rsidR="0024415F" w:rsidRPr="0024415F" w:rsidRDefault="0024415F" w:rsidP="0024415F">
      <w:pPr>
        <w:rPr>
          <w:b/>
          <w:bCs/>
        </w:rPr>
      </w:pPr>
      <w:r>
        <w:rPr>
          <w:b/>
          <w:bCs/>
        </w:rPr>
        <w:lastRenderedPageBreak/>
        <w:t>Demographic (ethnicity)</w:t>
      </w:r>
    </w:p>
    <w:p w14:paraId="1308AA4E" w14:textId="77777777" w:rsidR="0024415F" w:rsidRDefault="0024415F" w:rsidP="0024415F"/>
    <w:p w14:paraId="33A7CE2A" w14:textId="21E958D3" w:rsidR="0024415F" w:rsidRDefault="0024415F" w:rsidP="0024415F">
      <w:pPr>
        <w:rPr>
          <w:b/>
          <w:bCs/>
        </w:rPr>
      </w:pPr>
      <w:r>
        <w:rPr>
          <w:b/>
          <w:bCs/>
        </w:rPr>
        <w:t>Working from Home</w:t>
      </w:r>
    </w:p>
    <w:p w14:paraId="124B2BFB" w14:textId="68E2F7AD" w:rsidR="0024415F" w:rsidRDefault="0024415F" w:rsidP="0024415F">
      <w:pPr>
        <w:rPr>
          <w:b/>
          <w:bCs/>
        </w:rPr>
      </w:pPr>
    </w:p>
    <w:p w14:paraId="66448A3A" w14:textId="14C2600B" w:rsidR="0024415F" w:rsidRPr="0024415F" w:rsidRDefault="0024415F" w:rsidP="0024415F">
      <w:pPr>
        <w:rPr>
          <w:b/>
          <w:bCs/>
        </w:rPr>
      </w:pPr>
      <w:r>
        <w:rPr>
          <w:b/>
          <w:bCs/>
        </w:rPr>
        <w:t>Part-time work</w:t>
      </w:r>
    </w:p>
    <w:sectPr w:rsidR="0024415F" w:rsidRPr="0024415F" w:rsidSect="00AF22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mar Ljubijankic" w:date="2023-03-17T14:32:00Z" w:initials="AL">
    <w:p w14:paraId="20DB67EA" w14:textId="3529587D" w:rsidR="00A932FB" w:rsidRDefault="00A932FB">
      <w:pPr>
        <w:pStyle w:val="CommentText"/>
      </w:pPr>
      <w:r>
        <w:rPr>
          <w:rStyle w:val="CommentReference"/>
        </w:rPr>
        <w:annotationRef/>
      </w:r>
      <w:r>
        <w:t>Don’t recall who did that estimate</w:t>
      </w:r>
    </w:p>
  </w:comment>
  <w:comment w:id="1" w:author="Ammar Ljubijankic" w:date="2023-03-17T14:34:00Z" w:initials="AL">
    <w:p w14:paraId="2DB7BD4B" w14:textId="547B334A" w:rsidR="00A932FB" w:rsidRDefault="00A932FB">
      <w:pPr>
        <w:pStyle w:val="CommentText"/>
      </w:pPr>
      <w:r>
        <w:rPr>
          <w:rStyle w:val="CommentReference"/>
        </w:rPr>
        <w:annotationRef/>
      </w:r>
      <w:r>
        <w:t xml:space="preserve">Add some suitable reference, </w:t>
      </w:r>
      <w:proofErr w:type="gramStart"/>
      <w:r>
        <w:t>e.g.</w:t>
      </w:r>
      <w:proofErr w:type="gramEnd"/>
      <w:r>
        <w:t xml:space="preserve"> announcements or some analysis (GLAE’s)</w:t>
      </w:r>
    </w:p>
  </w:comment>
  <w:comment w:id="2" w:author="Ammar Ljubijankic" w:date="2023-03-17T14:56:00Z" w:initials="AL">
    <w:p w14:paraId="62230BFE" w14:textId="7C264215" w:rsidR="002D342D" w:rsidRDefault="002D342D">
      <w:pPr>
        <w:pStyle w:val="CommentText"/>
      </w:pPr>
      <w:r>
        <w:rPr>
          <w:rStyle w:val="CommentReference"/>
        </w:rPr>
        <w:annotationRef/>
      </w:r>
      <w:r>
        <w:t>Employment rates: 70% vs 93%.</w:t>
      </w:r>
    </w:p>
  </w:comment>
  <w:comment w:id="3" w:author="Ammar Ljubijankic" w:date="2023-03-17T15:31:00Z" w:initials="AL">
    <w:p w14:paraId="39051A3B" w14:textId="559001A7" w:rsidR="00AE4C10" w:rsidRDefault="00AE4C10">
      <w:pPr>
        <w:pStyle w:val="CommentText"/>
      </w:pPr>
      <w:r>
        <w:rPr>
          <w:rStyle w:val="CommentReference"/>
        </w:rPr>
        <w:annotationRef/>
      </w:r>
      <w:r>
        <w:t>Was 16% vs 12% in 2018, 39% vs 37% in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DB67EA" w15:done="0"/>
  <w15:commentEx w15:paraId="2DB7BD4B" w15:done="0"/>
  <w15:commentEx w15:paraId="62230BFE" w15:done="0"/>
  <w15:commentEx w15:paraId="39051A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EF89B" w16cex:dateUtc="2023-03-17T14:32:00Z"/>
  <w16cex:commentExtensible w16cex:durableId="27BEF8EA" w16cex:dateUtc="2023-03-17T14:34:00Z"/>
  <w16cex:commentExtensible w16cex:durableId="27BEFE14" w16cex:dateUtc="2023-03-17T14:56:00Z"/>
  <w16cex:commentExtensible w16cex:durableId="27BF0650" w16cex:dateUtc="2023-03-17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DB67EA" w16cid:durableId="27BEF89B"/>
  <w16cid:commentId w16cid:paraId="2DB7BD4B" w16cid:durableId="27BEF8EA"/>
  <w16cid:commentId w16cid:paraId="62230BFE" w16cid:durableId="27BEFE14"/>
  <w16cid:commentId w16cid:paraId="39051A3B" w16cid:durableId="27BF06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0686" w14:textId="77777777" w:rsidR="002D342D" w:rsidRDefault="002D342D" w:rsidP="002D342D">
      <w:r>
        <w:separator/>
      </w:r>
    </w:p>
  </w:endnote>
  <w:endnote w:type="continuationSeparator" w:id="0">
    <w:p w14:paraId="4B143229" w14:textId="77777777" w:rsidR="002D342D" w:rsidRDefault="002D342D" w:rsidP="002D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A457" w14:textId="77777777" w:rsidR="002D342D" w:rsidRDefault="002D342D" w:rsidP="002D342D">
      <w:r>
        <w:separator/>
      </w:r>
    </w:p>
  </w:footnote>
  <w:footnote w:type="continuationSeparator" w:id="0">
    <w:p w14:paraId="05449F2C" w14:textId="77777777" w:rsidR="002D342D" w:rsidRDefault="002D342D" w:rsidP="002D3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B17"/>
    <w:multiLevelType w:val="hybridMultilevel"/>
    <w:tmpl w:val="E620D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mar Ljubijankic">
    <w15:presenceInfo w15:providerId="None" w15:userId="Ammar Ljubijank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2D"/>
    <w:rsid w:val="000136B9"/>
    <w:rsid w:val="0024415F"/>
    <w:rsid w:val="002D342D"/>
    <w:rsid w:val="002E66FC"/>
    <w:rsid w:val="002F572D"/>
    <w:rsid w:val="00346496"/>
    <w:rsid w:val="0035694F"/>
    <w:rsid w:val="003A4AB1"/>
    <w:rsid w:val="0052711F"/>
    <w:rsid w:val="005363E7"/>
    <w:rsid w:val="005B45B9"/>
    <w:rsid w:val="006926D8"/>
    <w:rsid w:val="0077050A"/>
    <w:rsid w:val="008625B6"/>
    <w:rsid w:val="009A3BF3"/>
    <w:rsid w:val="00A512F4"/>
    <w:rsid w:val="00A53847"/>
    <w:rsid w:val="00A932FB"/>
    <w:rsid w:val="00AC6223"/>
    <w:rsid w:val="00AE4C10"/>
    <w:rsid w:val="00AF22A0"/>
    <w:rsid w:val="00B149FC"/>
    <w:rsid w:val="00BF6CC6"/>
    <w:rsid w:val="00C70649"/>
    <w:rsid w:val="00CB027B"/>
    <w:rsid w:val="00D43831"/>
    <w:rsid w:val="00EE472C"/>
    <w:rsid w:val="00F436E8"/>
    <w:rsid w:val="00F50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5B574"/>
  <w15:chartTrackingRefBased/>
  <w15:docId w15:val="{6BC5817C-099F-499F-B673-F494BB00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styleId="CommentReference">
    <w:name w:val="annotation reference"/>
    <w:basedOn w:val="DefaultParagraphFont"/>
    <w:semiHidden/>
    <w:unhideWhenUsed/>
    <w:rsid w:val="00A932FB"/>
    <w:rPr>
      <w:sz w:val="16"/>
      <w:szCs w:val="16"/>
    </w:rPr>
  </w:style>
  <w:style w:type="paragraph" w:styleId="CommentText">
    <w:name w:val="annotation text"/>
    <w:basedOn w:val="Normal"/>
    <w:link w:val="CommentTextChar"/>
    <w:semiHidden/>
    <w:unhideWhenUsed/>
    <w:rsid w:val="00A932FB"/>
    <w:rPr>
      <w:sz w:val="20"/>
      <w:szCs w:val="20"/>
    </w:rPr>
  </w:style>
  <w:style w:type="character" w:customStyle="1" w:styleId="CommentTextChar">
    <w:name w:val="Comment Text Char"/>
    <w:basedOn w:val="DefaultParagraphFont"/>
    <w:link w:val="CommentText"/>
    <w:semiHidden/>
    <w:rsid w:val="00A932FB"/>
    <w:rPr>
      <w:rFonts w:ascii="Foundry Form Sans" w:hAnsi="Foundry Form Sans"/>
      <w:lang w:eastAsia="en-US"/>
    </w:rPr>
  </w:style>
  <w:style w:type="paragraph" w:styleId="CommentSubject">
    <w:name w:val="annotation subject"/>
    <w:basedOn w:val="CommentText"/>
    <w:next w:val="CommentText"/>
    <w:link w:val="CommentSubjectChar"/>
    <w:semiHidden/>
    <w:unhideWhenUsed/>
    <w:rsid w:val="00A932FB"/>
    <w:rPr>
      <w:b/>
      <w:bCs/>
    </w:rPr>
  </w:style>
  <w:style w:type="character" w:customStyle="1" w:styleId="CommentSubjectChar">
    <w:name w:val="Comment Subject Char"/>
    <w:basedOn w:val="CommentTextChar"/>
    <w:link w:val="CommentSubject"/>
    <w:semiHidden/>
    <w:rsid w:val="00A932FB"/>
    <w:rPr>
      <w:rFonts w:ascii="Foundry Form Sans" w:hAnsi="Foundry Form Sans"/>
      <w:b/>
      <w:bCs/>
      <w:lang w:eastAsia="en-US"/>
    </w:rPr>
  </w:style>
  <w:style w:type="paragraph" w:styleId="ListParagraph">
    <w:name w:val="List Paragraph"/>
    <w:basedOn w:val="Normal"/>
    <w:uiPriority w:val="34"/>
    <w:qFormat/>
    <w:rsid w:val="00A932FB"/>
    <w:pPr>
      <w:ind w:left="720"/>
      <w:contextualSpacing/>
    </w:pPr>
  </w:style>
  <w:style w:type="paragraph" w:styleId="FootnoteText">
    <w:name w:val="footnote text"/>
    <w:basedOn w:val="Normal"/>
    <w:link w:val="FootnoteTextChar"/>
    <w:semiHidden/>
    <w:unhideWhenUsed/>
    <w:rsid w:val="002D342D"/>
    <w:rPr>
      <w:sz w:val="20"/>
      <w:szCs w:val="20"/>
    </w:rPr>
  </w:style>
  <w:style w:type="character" w:customStyle="1" w:styleId="FootnoteTextChar">
    <w:name w:val="Footnote Text Char"/>
    <w:basedOn w:val="DefaultParagraphFont"/>
    <w:link w:val="FootnoteText"/>
    <w:semiHidden/>
    <w:rsid w:val="002D342D"/>
    <w:rPr>
      <w:rFonts w:ascii="Foundry Form Sans" w:hAnsi="Foundry Form Sans"/>
      <w:lang w:eastAsia="en-US"/>
    </w:rPr>
  </w:style>
  <w:style w:type="character" w:styleId="FootnoteReference">
    <w:name w:val="footnote reference"/>
    <w:basedOn w:val="DefaultParagraphFont"/>
    <w:semiHidden/>
    <w:unhideWhenUsed/>
    <w:rsid w:val="002D342D"/>
    <w:rPr>
      <w:vertAlign w:val="superscript"/>
    </w:rPr>
  </w:style>
  <w:style w:type="table" w:customStyle="1" w:styleId="Academic">
    <w:name w:val="Academic"/>
    <w:basedOn w:val="TableNormal"/>
    <w:uiPriority w:val="99"/>
    <w:rsid w:val="00CB027B"/>
    <w:tblPr>
      <w:tblStyleRowBandSize w:val="1"/>
    </w:tblPr>
    <w:tblStylePr w:type="firstRow">
      <w:pPr>
        <w:jc w:val="left"/>
      </w:pPr>
      <w:rPr>
        <w:b/>
      </w:rPr>
      <w:tblPr/>
      <w:tcPr>
        <w:tcBorders>
          <w:top w:val="single" w:sz="18" w:space="0" w:color="auto"/>
          <w:bottom w:val="single" w:sz="18" w:space="0" w:color="auto"/>
        </w:tcBorders>
      </w:tcPr>
    </w:tblStylePr>
    <w:tblStylePr w:type="lastRow">
      <w:tblPr/>
      <w:tcPr>
        <w:tcBorders>
          <w:bottom w:val="single" w:sz="18" w:space="0" w:color="auto"/>
        </w:tcBorders>
      </w:tcPr>
    </w:tblStylePr>
    <w:tblStylePr w:type="band2Horz">
      <w:tblPr/>
      <w:tcPr>
        <w:tcBorders>
          <w:top w:val="nil"/>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ustomXml" Target="../customXml/item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6" ma:contentTypeDescription="Create a new document." ma:contentTypeScope="" ma:versionID="58db4c0cb4a6c8574584e2b7e3b481f7">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7f205f5aa0458c3a5f4d8c0367cd4bd4"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6A3BB-FD15-4B1E-A866-A8D70528A1A5}">
  <ds:schemaRefs>
    <ds:schemaRef ds:uri="http://schemas.openxmlformats.org/officeDocument/2006/bibliography"/>
  </ds:schemaRefs>
</ds:datastoreItem>
</file>

<file path=customXml/itemProps2.xml><?xml version="1.0" encoding="utf-8"?>
<ds:datastoreItem xmlns:ds="http://schemas.openxmlformats.org/officeDocument/2006/customXml" ds:itemID="{AFA7A702-9A1A-4D25-B34C-FAEF48FA47FE}"/>
</file>

<file path=customXml/itemProps3.xml><?xml version="1.0" encoding="utf-8"?>
<ds:datastoreItem xmlns:ds="http://schemas.openxmlformats.org/officeDocument/2006/customXml" ds:itemID="{83E51310-78D9-4BF3-8A21-9708480F6535}"/>
</file>

<file path=docProps/app.xml><?xml version="1.0" encoding="utf-8"?>
<Properties xmlns="http://schemas.openxmlformats.org/officeDocument/2006/extended-properties" xmlns:vt="http://schemas.openxmlformats.org/officeDocument/2006/docPropsVTypes">
  <Template>Normal.dotm</Template>
  <TotalTime>10</TotalTime>
  <Pages>4</Pages>
  <Words>850</Words>
  <Characters>7104</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Ljubijankic</dc:creator>
  <cp:keywords/>
  <dc:description/>
  <cp:lastModifiedBy>Ammar Ljubijankic</cp:lastModifiedBy>
  <cp:revision>3</cp:revision>
  <dcterms:created xsi:type="dcterms:W3CDTF">2023-03-21T09:14:00Z</dcterms:created>
  <dcterms:modified xsi:type="dcterms:W3CDTF">2023-03-21T10:00:00Z</dcterms:modified>
</cp:coreProperties>
</file>